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07692" w14:textId="77777777" w:rsidR="00645767" w:rsidRPr="006C098A" w:rsidRDefault="00645767" w:rsidP="006C098A">
      <w:pPr>
        <w:jc w:val="center"/>
        <w:rPr>
          <w:b/>
        </w:rPr>
      </w:pPr>
      <w:bookmarkStart w:id="0" w:name="_GoBack"/>
      <w:bookmarkEnd w:id="0"/>
      <w:r w:rsidRPr="006C098A">
        <w:rPr>
          <w:b/>
        </w:rPr>
        <w:t xml:space="preserve">Response to </w:t>
      </w:r>
      <w:r>
        <w:rPr>
          <w:b/>
        </w:rPr>
        <w:t>Professor</w:t>
      </w:r>
      <w:r w:rsidR="005E7CD6">
        <w:rPr>
          <w:b/>
        </w:rPr>
        <w:t xml:space="preserve"> </w:t>
      </w:r>
      <w:r w:rsidRPr="006C098A">
        <w:rPr>
          <w:b/>
        </w:rPr>
        <w:t>Hogendorn</w:t>
      </w:r>
    </w:p>
    <w:p w14:paraId="29618254" w14:textId="77777777" w:rsidR="00645767" w:rsidRDefault="00645767" w:rsidP="002D2BF3"/>
    <w:p w14:paraId="1CD18857" w14:textId="0A25FDCB" w:rsidR="00A30CDF" w:rsidRPr="002153DD" w:rsidRDefault="00A30CDF" w:rsidP="00A30CDF">
      <w:pPr>
        <w:rPr>
          <w:lang w:val="en"/>
        </w:rPr>
      </w:pPr>
      <w:r>
        <w:rPr>
          <w:lang w:val="en"/>
        </w:rPr>
        <w:t xml:space="preserve">We appreciate the comments and suggestions made by Professor Hogendorn in his peer review </w:t>
      </w:r>
      <w:r w:rsidR="00EA3FA9">
        <w:rPr>
          <w:lang w:val="en"/>
        </w:rPr>
        <w:t xml:space="preserve">of version 2 </w:t>
      </w:r>
      <w:r>
        <w:rPr>
          <w:lang w:val="en"/>
        </w:rPr>
        <w:t xml:space="preserve">of </w:t>
      </w:r>
      <w:r>
        <w:t>the Connect America Cost Model (</w:t>
      </w:r>
      <w:r w:rsidR="00EA3FA9">
        <w:t xml:space="preserve">abbreviated either </w:t>
      </w:r>
      <w:r w:rsidR="006721A4">
        <w:t xml:space="preserve">as CACM or </w:t>
      </w:r>
      <w:r>
        <w:t>CAM)</w:t>
      </w:r>
      <w:r w:rsidR="00EA3FA9">
        <w:t>.</w:t>
      </w:r>
      <w:r>
        <w:rPr>
          <w:rStyle w:val="FootnoteReference"/>
        </w:rPr>
        <w:footnoteReference w:id="2"/>
      </w:r>
      <w:r>
        <w:rPr>
          <w:lang w:val="en"/>
        </w:rPr>
        <w:t xml:space="preserve"> </w:t>
      </w:r>
      <w:r w:rsidR="00EA3FA9">
        <w:rPr>
          <w:lang w:val="en"/>
        </w:rPr>
        <w:t xml:space="preserve"> W</w:t>
      </w:r>
      <w:r>
        <w:rPr>
          <w:lang w:val="en"/>
        </w:rPr>
        <w:t>e are pleased that he acknowledges that the model has “a vastly more accurate method of measuring costs, using both much more detail at the engineering level and a far more precise method of modeling geographic locations”</w:t>
      </w:r>
      <w:r w:rsidR="00952413">
        <w:rPr>
          <w:lang w:val="en"/>
        </w:rPr>
        <w:t xml:space="preserve"> </w:t>
      </w:r>
      <w:r w:rsidR="00256DFD">
        <w:rPr>
          <w:lang w:val="en"/>
        </w:rPr>
        <w:t>and “</w:t>
      </w:r>
      <w:r w:rsidR="00256DFD" w:rsidRPr="00256DFD">
        <w:t xml:space="preserve">is more accurate in its treatment of the road network </w:t>
      </w:r>
      <w:r w:rsidR="00952413" w:rsidRPr="00952413">
        <w:t xml:space="preserve">than any other model </w:t>
      </w:r>
      <w:r w:rsidR="00256DFD">
        <w:t>[</w:t>
      </w:r>
      <w:r w:rsidR="00CB6C84">
        <w:t>he was</w:t>
      </w:r>
      <w:r w:rsidR="00256DFD">
        <w:t>]</w:t>
      </w:r>
      <w:r w:rsidR="00952413" w:rsidRPr="00952413">
        <w:t xml:space="preserve"> aware of</w:t>
      </w:r>
      <w:r w:rsidR="00256DFD">
        <w:t>”</w:t>
      </w:r>
      <w:r w:rsidR="00952413">
        <w:t>.</w:t>
      </w:r>
      <w:r w:rsidR="00744930">
        <w:rPr>
          <w:rStyle w:val="FootnoteReference"/>
          <w:lang w:val="en"/>
        </w:rPr>
        <w:footnoteReference w:id="3"/>
      </w:r>
      <w:r>
        <w:rPr>
          <w:lang w:val="en"/>
        </w:rPr>
        <w:t xml:space="preserve">  </w:t>
      </w:r>
      <w:r w:rsidR="005A6637">
        <w:rPr>
          <w:lang w:val="en"/>
        </w:rPr>
        <w:t>He ha</w:t>
      </w:r>
      <w:r w:rsidR="006721A4">
        <w:rPr>
          <w:lang w:val="en"/>
        </w:rPr>
        <w:t>s</w:t>
      </w:r>
      <w:r w:rsidR="005A6637">
        <w:rPr>
          <w:lang w:val="en"/>
        </w:rPr>
        <w:t xml:space="preserve"> many good comments, and as he acknowledges, many of his comments relate to default input assumptions </w:t>
      </w:r>
      <w:r w:rsidR="00207BD8">
        <w:rPr>
          <w:lang w:val="en"/>
        </w:rPr>
        <w:t xml:space="preserve">in the model at the time of his review, as </w:t>
      </w:r>
      <w:r w:rsidR="005A6637">
        <w:rPr>
          <w:lang w:val="en"/>
        </w:rPr>
        <w:t xml:space="preserve">discussed in the model documentation.  We note that that the </w:t>
      </w:r>
      <w:r w:rsidR="00D44CFB">
        <w:rPr>
          <w:lang w:val="en"/>
        </w:rPr>
        <w:t xml:space="preserve">Wireline Competition </w:t>
      </w:r>
      <w:r w:rsidR="005A6637">
        <w:rPr>
          <w:lang w:val="en"/>
        </w:rPr>
        <w:t>Bureau</w:t>
      </w:r>
      <w:r w:rsidR="00D44CFB">
        <w:rPr>
          <w:lang w:val="en"/>
        </w:rPr>
        <w:t xml:space="preserve"> (Bureau)</w:t>
      </w:r>
      <w:r w:rsidR="005A6637">
        <w:rPr>
          <w:lang w:val="en"/>
        </w:rPr>
        <w:t xml:space="preserve"> has sought further comment on input values, and has not yet adopted any input values for the CAM.</w:t>
      </w:r>
    </w:p>
    <w:p w14:paraId="2D683172" w14:textId="77777777" w:rsidR="00207BD8" w:rsidRDefault="00207BD8" w:rsidP="00A30CDF"/>
    <w:p w14:paraId="113DB2F7" w14:textId="77777777" w:rsidR="00A30CDF" w:rsidRDefault="00A30CDF" w:rsidP="00167501">
      <w:r w:rsidRPr="001B2494">
        <w:rPr>
          <w:b/>
        </w:rPr>
        <w:t>Background</w:t>
      </w:r>
      <w:r>
        <w:t xml:space="preserve">  </w:t>
      </w:r>
    </w:p>
    <w:p w14:paraId="07076B53" w14:textId="76C28ACC" w:rsidR="00645767" w:rsidRDefault="00645767" w:rsidP="00167501">
      <w:r w:rsidRPr="00125C7B">
        <w:t xml:space="preserve">The </w:t>
      </w:r>
      <w:r>
        <w:t>CAM</w:t>
      </w:r>
      <w:r w:rsidRPr="00125C7B">
        <w:t xml:space="preserve"> estimates, for every census block, </w:t>
      </w:r>
      <w:r>
        <w:t>the</w:t>
      </w:r>
      <w:r w:rsidRPr="00125C7B">
        <w:t xml:space="preserve"> cost</w:t>
      </w:r>
      <w:r>
        <w:t xml:space="preserve"> of providing </w:t>
      </w:r>
      <w:r w:rsidR="00842545">
        <w:t xml:space="preserve">a </w:t>
      </w:r>
      <w:r>
        <w:t xml:space="preserve">voice </w:t>
      </w:r>
      <w:r w:rsidR="00842545">
        <w:t>and</w:t>
      </w:r>
      <w:r>
        <w:t xml:space="preserve"> broadband-capable network.  That cost is levelized, that is, is turned into a constant (or kind of average) monthly cost associated with </w:t>
      </w:r>
      <w:r w:rsidRPr="00125C7B">
        <w:t>serving the census block over the network’s entire life.</w:t>
      </w:r>
      <w:r>
        <w:rPr>
          <w:rStyle w:val="FootnoteReference"/>
        </w:rPr>
        <w:footnoteReference w:id="4"/>
      </w:r>
      <w:r w:rsidRPr="00125C7B">
        <w:t xml:space="preserve">  </w:t>
      </w:r>
      <w:r>
        <w:t>Given costs for each block, the model can be used to calculate support</w:t>
      </w:r>
      <w:r w:rsidRPr="00125C7B">
        <w:t>.</w:t>
      </w:r>
      <w:r>
        <w:rPr>
          <w:rStyle w:val="FootnoteReference"/>
        </w:rPr>
        <w:footnoteReference w:id="5"/>
      </w:r>
      <w:r w:rsidRPr="00125C7B">
        <w:t xml:space="preserve">  </w:t>
      </w:r>
      <w:r>
        <w:t xml:space="preserve">In particular, a </w:t>
      </w:r>
      <w:r w:rsidR="00207BD8">
        <w:t>future</w:t>
      </w:r>
      <w:r>
        <w:t xml:space="preserve"> Bureau order will determine a lower “benchmark” that identifies areas that could be economically viable absent subsidies</w:t>
      </w:r>
      <w:r w:rsidR="00844C9B">
        <w:t xml:space="preserve"> (“the funding threshold”</w:t>
      </w:r>
      <w:r w:rsidR="00F45B52">
        <w:t>)</w:t>
      </w:r>
      <w:r>
        <w:t>, and an upper cost threshold that delineate</w:t>
      </w:r>
      <w:r w:rsidR="00952413">
        <w:t>s</w:t>
      </w:r>
      <w:r>
        <w:t xml:space="preserve"> those deemed to be extremely high cost.  The total subsidy will be equal to the cost of supplying eligible Census blocks that are more expensive to serve than the funding threshold, but are not more expensive than the extremely high cost threshold.  The total budget for support in price cap areas was set by the Commission to not exceed $1.8 billion.</w:t>
      </w:r>
      <w:r>
        <w:rPr>
          <w:rStyle w:val="FootnoteReference"/>
        </w:rPr>
        <w:footnoteReference w:id="6"/>
      </w:r>
      <w:r>
        <w:t xml:space="preserve">  Thus</w:t>
      </w:r>
      <w:r w:rsidR="008718C8">
        <w:t>,</w:t>
      </w:r>
      <w:r>
        <w:t xml:space="preserve"> changes in cost or support calculations </w:t>
      </w:r>
      <w:r w:rsidR="002B133D">
        <w:t xml:space="preserve">will </w:t>
      </w:r>
      <w:r>
        <w:t xml:space="preserve">change the obligations that carriers have to accept to receive funding, but </w:t>
      </w:r>
      <w:r w:rsidR="00B12566">
        <w:t>will</w:t>
      </w:r>
      <w:r>
        <w:t xml:space="preserve"> not change the total amount of funding.</w:t>
      </w:r>
    </w:p>
    <w:p w14:paraId="42AD0E78" w14:textId="77777777" w:rsidR="00A30CDF" w:rsidRDefault="00A30CDF" w:rsidP="00167501"/>
    <w:p w14:paraId="0410D7BB" w14:textId="18DE438F" w:rsidR="00645767" w:rsidRDefault="00A30CDF" w:rsidP="00167501">
      <w:r>
        <w:rPr>
          <w:lang w:val="en"/>
        </w:rPr>
        <w:t xml:space="preserve">There are </w:t>
      </w:r>
      <w:r w:rsidR="006A6FF2">
        <w:rPr>
          <w:lang w:val="en"/>
        </w:rPr>
        <w:t>four</w:t>
      </w:r>
      <w:r>
        <w:rPr>
          <w:lang w:val="en"/>
        </w:rPr>
        <w:t xml:space="preserve"> primary points of discussion from the review that we address at length in this response: (1) </w:t>
      </w:r>
      <w:r w:rsidR="006F09B0">
        <w:rPr>
          <w:lang w:val="en"/>
        </w:rPr>
        <w:t xml:space="preserve">future changes in profitability for service areas covered, </w:t>
      </w:r>
      <w:r w:rsidR="00207BD8">
        <w:rPr>
          <w:lang w:val="en"/>
        </w:rPr>
        <w:lastRenderedPageBreak/>
        <w:t>(</w:t>
      </w:r>
      <w:r w:rsidR="00C309AF">
        <w:rPr>
          <w:lang w:val="en"/>
        </w:rPr>
        <w:t>2</w:t>
      </w:r>
      <w:r w:rsidR="00207BD8">
        <w:rPr>
          <w:lang w:val="en"/>
        </w:rPr>
        <w:t xml:space="preserve">) </w:t>
      </w:r>
      <w:r w:rsidR="00A719CD">
        <w:rPr>
          <w:lang w:val="en"/>
        </w:rPr>
        <w:t xml:space="preserve">the CAM </w:t>
      </w:r>
      <w:r w:rsidR="006F09B0">
        <w:rPr>
          <w:lang w:val="en"/>
        </w:rPr>
        <w:t>take rate</w:t>
      </w:r>
      <w:r w:rsidR="00A719CD">
        <w:rPr>
          <w:lang w:val="en"/>
        </w:rPr>
        <w:t xml:space="preserve">, </w:t>
      </w:r>
      <w:r w:rsidR="00C309AF">
        <w:rPr>
          <w:lang w:val="en"/>
        </w:rPr>
        <w:t xml:space="preserve">(3) pricing, </w:t>
      </w:r>
      <w:r w:rsidR="00A719CD">
        <w:rPr>
          <w:lang w:val="en"/>
        </w:rPr>
        <w:t xml:space="preserve">and </w:t>
      </w:r>
      <w:r w:rsidR="006A6FF2">
        <w:rPr>
          <w:lang w:val="en"/>
        </w:rPr>
        <w:t xml:space="preserve">(4) </w:t>
      </w:r>
      <w:r w:rsidR="00A719CD">
        <w:rPr>
          <w:lang w:val="en"/>
        </w:rPr>
        <w:t>the exclusion of video revenues</w:t>
      </w:r>
      <w:r>
        <w:rPr>
          <w:lang w:val="en"/>
        </w:rPr>
        <w:t xml:space="preserve">. </w:t>
      </w:r>
      <w:r w:rsidR="000A0C16">
        <w:rPr>
          <w:lang w:val="en"/>
        </w:rPr>
        <w:t xml:space="preserve"> </w:t>
      </w:r>
      <w:r>
        <w:rPr>
          <w:lang w:val="en"/>
        </w:rPr>
        <w:t xml:space="preserve">We also briefly discuss other comments at the end of this response. </w:t>
      </w:r>
      <w:r w:rsidR="00D74096">
        <w:rPr>
          <w:lang w:val="en"/>
        </w:rPr>
        <w:t xml:space="preserve"> </w:t>
      </w:r>
      <w:r w:rsidR="000A0C16">
        <w:rPr>
          <w:lang w:val="en"/>
        </w:rPr>
        <w:t xml:space="preserve">For ease of reference, Professor Hogendorn’s comments are provided in italics, and we have, as much as possible, responded to his comments in the order they appear in his review.  </w:t>
      </w:r>
    </w:p>
    <w:p w14:paraId="1530D503" w14:textId="77777777" w:rsidR="00645767" w:rsidRDefault="00645767" w:rsidP="0013397D"/>
    <w:p w14:paraId="0D6890C9" w14:textId="77777777" w:rsidR="006F09B0" w:rsidRDefault="00460A87" w:rsidP="0013397D">
      <w:pPr>
        <w:rPr>
          <w:b/>
        </w:rPr>
      </w:pPr>
      <w:r>
        <w:rPr>
          <w:b/>
        </w:rPr>
        <w:t>S</w:t>
      </w:r>
      <w:r w:rsidR="006F09B0">
        <w:rPr>
          <w:b/>
        </w:rPr>
        <w:t>ervice areas covered</w:t>
      </w:r>
    </w:p>
    <w:p w14:paraId="7F872770" w14:textId="77777777" w:rsidR="006F09B0" w:rsidRDefault="006F09B0" w:rsidP="00637A2F">
      <w:pPr>
        <w:rPr>
          <w:i/>
        </w:rPr>
      </w:pPr>
      <w:r>
        <w:rPr>
          <w:i/>
        </w:rPr>
        <w:t xml:space="preserve">On the demand side, the CACM is used primarily for those areas which do not have broadband service according to the National Broadband Map (NBM). . . . </w:t>
      </w:r>
      <w:r w:rsidR="002A02B6">
        <w:rPr>
          <w:i/>
        </w:rPr>
        <w:t xml:space="preserve"> </w:t>
      </w:r>
      <w:r w:rsidR="00654E50" w:rsidRPr="00637A2F">
        <w:rPr>
          <w:i/>
        </w:rPr>
        <w:t xml:space="preserve">For a run of the CACM, </w:t>
      </w:r>
      <w:r w:rsidR="00654E50">
        <w:rPr>
          <w:i/>
        </w:rPr>
        <w:t>[the]</w:t>
      </w:r>
      <w:r>
        <w:rPr>
          <w:i/>
        </w:rPr>
        <w:t xml:space="preserve"> boundary </w:t>
      </w:r>
      <w:r w:rsidR="00654E50">
        <w:rPr>
          <w:i/>
        </w:rPr>
        <w:t xml:space="preserve">[between unprofitable areas and areas in which at least a monopolist would be viable] </w:t>
      </w:r>
      <w:r>
        <w:rPr>
          <w:i/>
        </w:rPr>
        <w:t xml:space="preserve">is taken as fixed based on current inputs from the NBM.  </w:t>
      </w:r>
      <w:r w:rsidRPr="001B2494">
        <w:rPr>
          <w:i/>
        </w:rPr>
        <w:t>This leads to concern that some of the areas modeled by the CACM would become profitable in the future if demand grows</w:t>
      </w:r>
      <w:r w:rsidR="002A02B6">
        <w:rPr>
          <w:i/>
        </w:rPr>
        <w:t xml:space="preserve">. . . .  </w:t>
      </w:r>
      <w:r w:rsidR="00380B87" w:rsidRPr="00380B87">
        <w:rPr>
          <w:i/>
        </w:rPr>
        <w:t>If in fact demand is growing over the time period, then private investment might occur even without Connect America funding</w:t>
      </w:r>
      <w:r w:rsidRPr="001B2494">
        <w:rPr>
          <w:i/>
        </w:rPr>
        <w:t>.</w:t>
      </w:r>
      <w:r w:rsidR="0055726E">
        <w:rPr>
          <w:rStyle w:val="FootnoteReference"/>
          <w:i/>
        </w:rPr>
        <w:footnoteReference w:id="7"/>
      </w:r>
    </w:p>
    <w:p w14:paraId="7F00EB45" w14:textId="77777777" w:rsidR="006F09B0" w:rsidRPr="001B2494" w:rsidRDefault="006F09B0" w:rsidP="0013397D">
      <w:pPr>
        <w:rPr>
          <w:i/>
        </w:rPr>
      </w:pPr>
    </w:p>
    <w:p w14:paraId="614EB25F" w14:textId="6E85F7F6" w:rsidR="00645767" w:rsidRDefault="006F09B0" w:rsidP="00125C7B">
      <w:r>
        <w:t xml:space="preserve">Professor Hogendorn </w:t>
      </w:r>
      <w:r w:rsidR="00A014CD">
        <w:t>implicitly</w:t>
      </w:r>
      <w:r>
        <w:t xml:space="preserve"> appears to be concerned</w:t>
      </w:r>
      <w:r w:rsidR="004005E2">
        <w:t xml:space="preserve"> that </w:t>
      </w:r>
      <w:r w:rsidR="00EC7C22">
        <w:t xml:space="preserve">support amounts derived from </w:t>
      </w:r>
      <w:r>
        <w:t xml:space="preserve"> </w:t>
      </w:r>
      <w:r w:rsidR="00645767">
        <w:t xml:space="preserve">the model </w:t>
      </w:r>
      <w:r w:rsidR="00645767" w:rsidRPr="00125C7B">
        <w:t>might overstate the subsidy</w:t>
      </w:r>
      <w:r w:rsidR="000534C0">
        <w:t xml:space="preserve"> </w:t>
      </w:r>
      <w:r w:rsidR="00645767" w:rsidRPr="00125C7B">
        <w:t xml:space="preserve">required in a territory that </w:t>
      </w:r>
      <w:r w:rsidR="00B54D01">
        <w:t>is</w:t>
      </w:r>
      <w:r w:rsidR="00B54D01" w:rsidRPr="00125C7B">
        <w:t xml:space="preserve"> </w:t>
      </w:r>
      <w:r w:rsidR="00645767" w:rsidRPr="00125C7B">
        <w:t>not presently commercially viable</w:t>
      </w:r>
      <w:r w:rsidR="00B54D01">
        <w:t>, but</w:t>
      </w:r>
      <w:r w:rsidR="00645767" w:rsidRPr="00125C7B">
        <w:t xml:space="preserve"> will become so in the future</w:t>
      </w:r>
      <w:r w:rsidR="00645767">
        <w:t xml:space="preserve"> (though of course the reverse is also possible)</w:t>
      </w:r>
      <w:r w:rsidR="00645767" w:rsidRPr="00125C7B">
        <w:t>.</w:t>
      </w:r>
      <w:r w:rsidR="000067D6">
        <w:rPr>
          <w:rStyle w:val="FootnoteReference"/>
        </w:rPr>
        <w:footnoteReference w:id="8"/>
      </w:r>
      <w:r w:rsidR="00645767" w:rsidRPr="00125C7B">
        <w:t xml:space="preserve">  </w:t>
      </w:r>
    </w:p>
    <w:p w14:paraId="231DCD8A" w14:textId="77777777" w:rsidR="00645767" w:rsidRPr="00125C7B" w:rsidRDefault="00645767" w:rsidP="00125C7B"/>
    <w:p w14:paraId="4962F79B" w14:textId="77777777" w:rsidR="00645767" w:rsidRDefault="00645767" w:rsidP="000B3FE5">
      <w:r w:rsidRPr="00125C7B">
        <w:t>Census blocks could become more viable over time for a variety of reasons</w:t>
      </w:r>
      <w:r>
        <w:t>: costs could fall, either from falling</w:t>
      </w:r>
      <w:r w:rsidRPr="00125C7B">
        <w:t xml:space="preserve"> input prices</w:t>
      </w:r>
      <w:r>
        <w:t xml:space="preserve"> and/or rising</w:t>
      </w:r>
      <w:r w:rsidRPr="00125C7B">
        <w:t xml:space="preserve"> productivity </w:t>
      </w:r>
      <w:r>
        <w:t xml:space="preserve">in telecommunications; and revenues could increase, for example, due to </w:t>
      </w:r>
      <w:r w:rsidR="00D8382A">
        <w:t>demand changes t</w:t>
      </w:r>
      <w:r w:rsidR="000067D6">
        <w:t xml:space="preserve">hat allow greater </w:t>
      </w:r>
      <w:r>
        <w:t>retail prices,</w:t>
      </w:r>
      <w:r w:rsidRPr="00125C7B">
        <w:t xml:space="preserve"> </w:t>
      </w:r>
      <w:r w:rsidR="000067D6">
        <w:t xml:space="preserve">or cause </w:t>
      </w:r>
      <w:r w:rsidRPr="00125C7B">
        <w:t>a shift towar</w:t>
      </w:r>
      <w:r>
        <w:t>ds services with higher margins,</w:t>
      </w:r>
      <w:r w:rsidRPr="00125C7B">
        <w:t xml:space="preserve"> and</w:t>
      </w:r>
      <w:r>
        <w:t>/or</w:t>
      </w:r>
      <w:r w:rsidRPr="00125C7B">
        <w:t xml:space="preserve"> </w:t>
      </w:r>
      <w:r w:rsidR="000067D6">
        <w:t xml:space="preserve">due to </w:t>
      </w:r>
      <w:r w:rsidRPr="00125C7B">
        <w:t>an increase in the number of subscribing households. </w:t>
      </w:r>
    </w:p>
    <w:p w14:paraId="74C1D24B" w14:textId="77777777" w:rsidR="00645767" w:rsidRPr="00125C7B" w:rsidRDefault="00645767" w:rsidP="000B3FE5"/>
    <w:p w14:paraId="4AAD710B" w14:textId="56FA546D" w:rsidR="00645767" w:rsidRDefault="00645767" w:rsidP="00125C7B">
      <w:r>
        <w:t xml:space="preserve">Each of these possible changes is discussed in turn, </w:t>
      </w:r>
      <w:r w:rsidR="006F09B0">
        <w:t>which will inform the Bureau’s analysis in adopting the final cost model</w:t>
      </w:r>
      <w:r w:rsidR="00EC5B27">
        <w:t xml:space="preserve"> and </w:t>
      </w:r>
      <w:r w:rsidR="00D61FE4">
        <w:t>funding</w:t>
      </w:r>
      <w:r w:rsidR="00EC5B27">
        <w:t xml:space="preserve"> thresholds</w:t>
      </w:r>
      <w:r w:rsidR="006F09B0">
        <w:t xml:space="preserve">.  </w:t>
      </w:r>
      <w:r w:rsidR="00EC5B27">
        <w:t>We note that the Bureau has sought comment on what revenue assumptions are appropriate to adopt for the final model.</w:t>
      </w:r>
      <w:r w:rsidR="00EC5B27">
        <w:rPr>
          <w:rStyle w:val="FootnoteReference"/>
        </w:rPr>
        <w:footnoteReference w:id="9"/>
      </w:r>
      <w:r w:rsidR="00EC5B27">
        <w:t xml:space="preserve">  In </w:t>
      </w:r>
      <w:r w:rsidR="00C73B84">
        <w:t>one or more</w:t>
      </w:r>
      <w:r w:rsidR="00EC5B27">
        <w:t xml:space="preserve"> future order</w:t>
      </w:r>
      <w:r w:rsidR="00C73B84">
        <w:t>s</w:t>
      </w:r>
      <w:r w:rsidR="00EC5B27">
        <w:t xml:space="preserve">, the Bureau </w:t>
      </w:r>
      <w:r w:rsidR="00C73B84">
        <w:t xml:space="preserve">expects to </w:t>
      </w:r>
      <w:r w:rsidR="00EC5B27">
        <w:t>finalize the input values for the model and set a funding threshold that takes into account reasonable estimates of expected per location levelized revenues.</w:t>
      </w:r>
    </w:p>
    <w:p w14:paraId="7AD69F1D" w14:textId="77777777" w:rsidR="00A85BCD" w:rsidRDefault="00A85BCD" w:rsidP="00125C7B"/>
    <w:p w14:paraId="16A31FDD" w14:textId="149FCF0E" w:rsidR="00645767" w:rsidRDefault="00645767" w:rsidP="00125C7B">
      <w:r w:rsidRPr="000B3FE5">
        <w:rPr>
          <w:i/>
        </w:rPr>
        <w:lastRenderedPageBreak/>
        <w:t>Costs could fall</w:t>
      </w:r>
      <w:r>
        <w:t xml:space="preserve">. </w:t>
      </w:r>
      <w:r w:rsidR="00EC4824">
        <w:t xml:space="preserve"> </w:t>
      </w:r>
      <w:r w:rsidR="00BF12F1">
        <w:t>T</w:t>
      </w:r>
      <w:r w:rsidR="00EC4824">
        <w:t>he model assumes that input prices remain fixed, and there are no productivity increases</w:t>
      </w:r>
      <w:r w:rsidR="00BF12F1">
        <w:t>.  I</w:t>
      </w:r>
      <w:r w:rsidR="00EC4824">
        <w:t>n actuality, these things will likely change, and in a manner that could lead the CAM</w:t>
      </w:r>
      <w:r w:rsidR="00BF12F1">
        <w:t>, for those areas where the subsidy is likely to apply,</w:t>
      </w:r>
      <w:r w:rsidR="00EC4824">
        <w:t xml:space="preserve"> to </w:t>
      </w:r>
      <w:r w:rsidR="002540AE">
        <w:t xml:space="preserve">at </w:t>
      </w:r>
      <w:r w:rsidR="006721A4">
        <w:t xml:space="preserve">most </w:t>
      </w:r>
      <w:r w:rsidR="00EC4824">
        <w:t xml:space="preserve">mildly overstate costs.  </w:t>
      </w:r>
      <w:r>
        <w:t xml:space="preserve">If it is assumed that, consistent with </w:t>
      </w:r>
      <w:r w:rsidRPr="00DB12D0">
        <w:t xml:space="preserve">the </w:t>
      </w:r>
      <w:r w:rsidRPr="00DB12D0">
        <w:rPr>
          <w:i/>
          <w:iCs/>
        </w:rPr>
        <w:t>USF/ICC Transformation Order</w:t>
      </w:r>
      <w:r w:rsidRPr="00DB12D0">
        <w:rPr>
          <w:iCs/>
        </w:rPr>
        <w:t>,</w:t>
      </w:r>
      <w:r w:rsidRPr="00DB12D0">
        <w:t xml:space="preserve"> the</w:t>
      </w:r>
      <w:r>
        <w:t xml:space="preserve"> cost model is </w:t>
      </w:r>
      <w:r w:rsidR="001E109C">
        <w:t xml:space="preserve">used to determine support amounts for </w:t>
      </w:r>
      <w:r>
        <w:t>lines with costs that lie below the top first percentile,</w:t>
      </w:r>
      <w:r>
        <w:rPr>
          <w:rStyle w:val="FootnoteReference"/>
        </w:rPr>
        <w:footnoteReference w:id="10"/>
      </w:r>
      <w:r w:rsidR="006F09B0">
        <w:t xml:space="preserve"> </w:t>
      </w:r>
      <w:r>
        <w:t>then we estimate that subsidies will apply to lines with costs that lie below this upper threshold, and somewhere above the 90</w:t>
      </w:r>
      <w:r w:rsidRPr="00096D28">
        <w:rPr>
          <w:vertAlign w:val="superscript"/>
        </w:rPr>
        <w:t>th</w:t>
      </w:r>
      <w:r>
        <w:t xml:space="preserve"> cost percentile.  The following table divides the CAM’s costs into </w:t>
      </w:r>
      <w:r w:rsidR="0055165B">
        <w:t>ten</w:t>
      </w:r>
      <w:r>
        <w:t xml:space="preserve"> </w:t>
      </w:r>
      <w:r w:rsidR="00BF12F1">
        <w:t xml:space="preserve">aggregate </w:t>
      </w:r>
      <w:r>
        <w:t>categories, indicating the proportion each represents of total costs for lines in the 90</w:t>
      </w:r>
      <w:r w:rsidRPr="00096D28">
        <w:rPr>
          <w:vertAlign w:val="superscript"/>
        </w:rPr>
        <w:t>th</w:t>
      </w:r>
      <w:r>
        <w:t xml:space="preserve"> to 99</w:t>
      </w:r>
      <w:r w:rsidRPr="00096D28">
        <w:rPr>
          <w:vertAlign w:val="superscript"/>
        </w:rPr>
        <w:t>th</w:t>
      </w:r>
      <w:r>
        <w:t xml:space="preserve"> cost percentiles. </w:t>
      </w:r>
      <w:r w:rsidR="00BF12F1">
        <w:t xml:space="preserve"> </w:t>
      </w:r>
      <w:r>
        <w:t>It also provides estimates of the average growth in the prices of each, and productivity changes.</w:t>
      </w:r>
      <w:r w:rsidR="002C6151">
        <w:rPr>
          <w:rStyle w:val="FootnoteReference"/>
        </w:rPr>
        <w:footnoteReference w:id="11"/>
      </w:r>
      <w:r>
        <w:t xml:space="preserve">  Using a range of extreme values for these forecasts,</w:t>
      </w:r>
      <w:r w:rsidR="00EC4824">
        <w:rPr>
          <w:rStyle w:val="FootnoteReference"/>
        </w:rPr>
        <w:footnoteReference w:id="12"/>
      </w:r>
      <w:r>
        <w:t xml:space="preserve"> the table shows that overall costs are likely to fall no more than </w:t>
      </w:r>
      <w:r w:rsidR="001705EE">
        <w:t>2.1</w:t>
      </w:r>
      <w:r>
        <w:t xml:space="preserve"> p</w:t>
      </w:r>
      <w:r w:rsidR="001705EE">
        <w:t>ercent, and could even rise by 1.6</w:t>
      </w:r>
      <w:r>
        <w:t xml:space="preserve"> percent.</w:t>
      </w:r>
      <w:r w:rsidR="0055165B">
        <w:t xml:space="preserve"> </w:t>
      </w:r>
      <w:r w:rsidR="004E6F6E">
        <w:t xml:space="preserve"> </w:t>
      </w:r>
      <w:r w:rsidR="002540AE">
        <w:t>While</w:t>
      </w:r>
      <w:r w:rsidR="002540AE" w:rsidRPr="002540AE">
        <w:t xml:space="preserve"> </w:t>
      </w:r>
      <w:r w:rsidR="002540AE">
        <w:t>the midpoint of this range, -0.25 percent, is negative, suggesting a small expected cost overstatement, given forecast errors, any number in this range is essentially indistinguishable from zero.  Additionally, other factors suggest the CAM understates costs</w:t>
      </w:r>
      <w:r w:rsidR="00040F73">
        <w:t>, f</w:t>
      </w:r>
      <w:r w:rsidR="002540AE">
        <w:t xml:space="preserve">or example, </w:t>
      </w:r>
      <w:r w:rsidR="00040F73">
        <w:t xml:space="preserve">because </w:t>
      </w:r>
      <w:r w:rsidR="002540AE">
        <w:t>the CAM</w:t>
      </w:r>
      <w:r w:rsidR="00973491">
        <w:t xml:space="preserve"> optimizes costs at a high level, so in general will not account for special circumstances that generally work to raise costs</w:t>
      </w:r>
      <w:r w:rsidR="00040F73">
        <w:t xml:space="preserve">, and due to </w:t>
      </w:r>
      <w:r w:rsidR="00040F73" w:rsidDel="0055165B">
        <w:t xml:space="preserve">the CAM’s assumptions about retail prices and possibly also </w:t>
      </w:r>
      <w:r w:rsidR="00BF12F1">
        <w:t xml:space="preserve">retail service </w:t>
      </w:r>
      <w:r w:rsidR="00040F73" w:rsidDel="0055165B">
        <w:t>quality, discussed below</w:t>
      </w:r>
      <w:r w:rsidR="00BF12F1">
        <w:t>.</w:t>
      </w:r>
      <w:r w:rsidR="00040F73" w:rsidRPr="00125C7B" w:rsidDel="0055165B">
        <w:t xml:space="preserve"> </w:t>
      </w:r>
      <w:r w:rsidR="002540A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964"/>
        <w:gridCol w:w="768"/>
        <w:gridCol w:w="957"/>
        <w:gridCol w:w="957"/>
        <w:gridCol w:w="876"/>
        <w:gridCol w:w="882"/>
        <w:gridCol w:w="1086"/>
        <w:gridCol w:w="1097"/>
      </w:tblGrid>
      <w:tr w:rsidR="005616B6" w:rsidRPr="003646BE" w14:paraId="23D06717" w14:textId="77777777" w:rsidTr="003646BE">
        <w:tc>
          <w:tcPr>
            <w:tcW w:w="0" w:type="auto"/>
            <w:tcBorders>
              <w:top w:val="nil"/>
              <w:left w:val="nil"/>
              <w:bottom w:val="nil"/>
              <w:right w:val="nil"/>
            </w:tcBorders>
          </w:tcPr>
          <w:p w14:paraId="0B0A0C5F" w14:textId="77777777" w:rsidR="00645767" w:rsidRPr="003646BE" w:rsidRDefault="00645767" w:rsidP="00125C7B">
            <w:pPr>
              <w:rPr>
                <w:sz w:val="20"/>
                <w:szCs w:val="20"/>
              </w:rPr>
            </w:pPr>
          </w:p>
        </w:tc>
        <w:tc>
          <w:tcPr>
            <w:tcW w:w="0" w:type="auto"/>
            <w:tcBorders>
              <w:top w:val="nil"/>
              <w:left w:val="nil"/>
              <w:right w:val="nil"/>
            </w:tcBorders>
          </w:tcPr>
          <w:p w14:paraId="1B895D00" w14:textId="77777777" w:rsidR="00645767" w:rsidRPr="003646BE" w:rsidRDefault="00645767" w:rsidP="00125C7B">
            <w:pPr>
              <w:rPr>
                <w:sz w:val="20"/>
                <w:szCs w:val="20"/>
              </w:rPr>
            </w:pPr>
          </w:p>
        </w:tc>
        <w:tc>
          <w:tcPr>
            <w:tcW w:w="0" w:type="auto"/>
            <w:tcBorders>
              <w:top w:val="nil"/>
              <w:left w:val="nil"/>
            </w:tcBorders>
          </w:tcPr>
          <w:p w14:paraId="7FC17D39" w14:textId="77777777" w:rsidR="00645767" w:rsidRPr="003646BE" w:rsidRDefault="00645767" w:rsidP="00125C7B">
            <w:pPr>
              <w:rPr>
                <w:sz w:val="20"/>
                <w:szCs w:val="20"/>
              </w:rPr>
            </w:pPr>
          </w:p>
        </w:tc>
        <w:tc>
          <w:tcPr>
            <w:tcW w:w="0" w:type="auto"/>
            <w:gridSpan w:val="2"/>
          </w:tcPr>
          <w:p w14:paraId="3CEDE4B3" w14:textId="77777777" w:rsidR="00645767" w:rsidRPr="003646BE" w:rsidRDefault="00645767" w:rsidP="003646BE">
            <w:pPr>
              <w:jc w:val="center"/>
              <w:rPr>
                <w:sz w:val="20"/>
                <w:szCs w:val="20"/>
              </w:rPr>
            </w:pPr>
            <w:r w:rsidRPr="003646BE">
              <w:rPr>
                <w:sz w:val="20"/>
                <w:szCs w:val="20"/>
              </w:rPr>
              <w:t>Annual price change</w:t>
            </w:r>
          </w:p>
        </w:tc>
        <w:tc>
          <w:tcPr>
            <w:tcW w:w="0" w:type="auto"/>
            <w:gridSpan w:val="2"/>
          </w:tcPr>
          <w:p w14:paraId="0D6B7D93" w14:textId="77777777" w:rsidR="00645767" w:rsidRPr="003646BE" w:rsidRDefault="00645767" w:rsidP="003646BE">
            <w:pPr>
              <w:jc w:val="center"/>
              <w:rPr>
                <w:sz w:val="20"/>
                <w:szCs w:val="20"/>
              </w:rPr>
            </w:pPr>
            <w:r w:rsidRPr="003646BE">
              <w:rPr>
                <w:sz w:val="20"/>
                <w:szCs w:val="20"/>
              </w:rPr>
              <w:t>Reduce costs by:</w:t>
            </w:r>
          </w:p>
        </w:tc>
        <w:tc>
          <w:tcPr>
            <w:tcW w:w="0" w:type="auto"/>
            <w:tcBorders>
              <w:top w:val="nil"/>
              <w:right w:val="nil"/>
            </w:tcBorders>
          </w:tcPr>
          <w:p w14:paraId="6FBD1C02" w14:textId="77777777" w:rsidR="00645767" w:rsidRPr="003646BE" w:rsidRDefault="00645767" w:rsidP="00125C7B">
            <w:pPr>
              <w:rPr>
                <w:sz w:val="20"/>
                <w:szCs w:val="20"/>
              </w:rPr>
            </w:pPr>
          </w:p>
        </w:tc>
        <w:tc>
          <w:tcPr>
            <w:tcW w:w="0" w:type="auto"/>
            <w:tcBorders>
              <w:top w:val="nil"/>
              <w:left w:val="nil"/>
              <w:right w:val="nil"/>
            </w:tcBorders>
          </w:tcPr>
          <w:p w14:paraId="44E86DFD" w14:textId="77777777" w:rsidR="00645767" w:rsidRPr="003646BE" w:rsidRDefault="00645767" w:rsidP="00125C7B">
            <w:pPr>
              <w:rPr>
                <w:sz w:val="20"/>
                <w:szCs w:val="20"/>
              </w:rPr>
            </w:pPr>
          </w:p>
        </w:tc>
      </w:tr>
      <w:tr w:rsidR="005616B6" w:rsidRPr="003646BE" w14:paraId="7862FC53" w14:textId="77777777" w:rsidTr="003646BE">
        <w:tc>
          <w:tcPr>
            <w:tcW w:w="0" w:type="auto"/>
            <w:tcBorders>
              <w:top w:val="nil"/>
              <w:left w:val="nil"/>
            </w:tcBorders>
          </w:tcPr>
          <w:p w14:paraId="0D0FB194" w14:textId="77777777" w:rsidR="00645767" w:rsidRPr="003646BE" w:rsidRDefault="00645767" w:rsidP="00125C7B">
            <w:pPr>
              <w:rPr>
                <w:sz w:val="20"/>
                <w:szCs w:val="20"/>
              </w:rPr>
            </w:pPr>
          </w:p>
        </w:tc>
        <w:tc>
          <w:tcPr>
            <w:tcW w:w="0" w:type="auto"/>
          </w:tcPr>
          <w:p w14:paraId="2E1C3489" w14:textId="77777777" w:rsidR="00645767" w:rsidRPr="003646BE" w:rsidRDefault="00645767" w:rsidP="003646BE">
            <w:pPr>
              <w:jc w:val="center"/>
              <w:rPr>
                <w:sz w:val="20"/>
                <w:szCs w:val="20"/>
              </w:rPr>
            </w:pPr>
            <w:r w:rsidRPr="003646BE">
              <w:rPr>
                <w:sz w:val="20"/>
                <w:szCs w:val="20"/>
              </w:rPr>
              <w:t>Baseline</w:t>
            </w:r>
          </w:p>
          <w:p w14:paraId="0B184756" w14:textId="77777777" w:rsidR="00645767" w:rsidRPr="003646BE" w:rsidRDefault="00645767" w:rsidP="003646BE">
            <w:pPr>
              <w:jc w:val="center"/>
              <w:rPr>
                <w:sz w:val="20"/>
                <w:szCs w:val="20"/>
              </w:rPr>
            </w:pPr>
            <w:r w:rsidRPr="003646BE">
              <w:rPr>
                <w:sz w:val="20"/>
                <w:szCs w:val="20"/>
              </w:rPr>
              <w:t>($M)</w:t>
            </w:r>
          </w:p>
        </w:tc>
        <w:tc>
          <w:tcPr>
            <w:tcW w:w="0" w:type="auto"/>
          </w:tcPr>
          <w:p w14:paraId="3D75605F" w14:textId="77777777" w:rsidR="00645767" w:rsidRPr="003646BE" w:rsidRDefault="00645767" w:rsidP="003646BE">
            <w:pPr>
              <w:jc w:val="center"/>
              <w:rPr>
                <w:sz w:val="20"/>
                <w:szCs w:val="20"/>
              </w:rPr>
            </w:pPr>
            <w:r w:rsidRPr="003646BE">
              <w:rPr>
                <w:sz w:val="20"/>
                <w:szCs w:val="20"/>
              </w:rPr>
              <w:t>% of</w:t>
            </w:r>
          </w:p>
          <w:p w14:paraId="5AFEE3D8" w14:textId="77777777" w:rsidR="00645767" w:rsidRPr="003646BE" w:rsidRDefault="00645767" w:rsidP="003646BE">
            <w:pPr>
              <w:jc w:val="center"/>
              <w:rPr>
                <w:sz w:val="20"/>
                <w:szCs w:val="20"/>
              </w:rPr>
            </w:pPr>
            <w:r w:rsidRPr="003646BE">
              <w:rPr>
                <w:sz w:val="20"/>
                <w:szCs w:val="20"/>
              </w:rPr>
              <w:t>total</w:t>
            </w:r>
          </w:p>
        </w:tc>
        <w:tc>
          <w:tcPr>
            <w:tcW w:w="0" w:type="auto"/>
          </w:tcPr>
          <w:p w14:paraId="7F77AC4F" w14:textId="77777777" w:rsidR="00645767" w:rsidRPr="003646BE" w:rsidRDefault="00645767" w:rsidP="003646BE">
            <w:pPr>
              <w:jc w:val="center"/>
              <w:rPr>
                <w:sz w:val="20"/>
                <w:szCs w:val="20"/>
              </w:rPr>
            </w:pPr>
            <w:r w:rsidRPr="003646BE">
              <w:rPr>
                <w:sz w:val="20"/>
                <w:szCs w:val="20"/>
              </w:rPr>
              <w:t>Low</w:t>
            </w:r>
          </w:p>
          <w:p w14:paraId="2D1A408C" w14:textId="77777777" w:rsidR="00645767" w:rsidRPr="003646BE" w:rsidRDefault="00645767" w:rsidP="003646BE">
            <w:pPr>
              <w:jc w:val="center"/>
              <w:rPr>
                <w:sz w:val="20"/>
                <w:szCs w:val="20"/>
              </w:rPr>
            </w:pPr>
            <w:r w:rsidRPr="003646BE">
              <w:rPr>
                <w:sz w:val="20"/>
                <w:szCs w:val="20"/>
              </w:rPr>
              <w:t>estimate</w:t>
            </w:r>
          </w:p>
        </w:tc>
        <w:tc>
          <w:tcPr>
            <w:tcW w:w="0" w:type="auto"/>
          </w:tcPr>
          <w:p w14:paraId="632AF96C" w14:textId="77777777" w:rsidR="00645767" w:rsidRPr="003646BE" w:rsidRDefault="00645767" w:rsidP="003646BE">
            <w:pPr>
              <w:jc w:val="center"/>
              <w:rPr>
                <w:sz w:val="20"/>
                <w:szCs w:val="20"/>
              </w:rPr>
            </w:pPr>
            <w:r w:rsidRPr="003646BE">
              <w:rPr>
                <w:sz w:val="20"/>
                <w:szCs w:val="20"/>
              </w:rPr>
              <w:t>High</w:t>
            </w:r>
          </w:p>
          <w:p w14:paraId="02AF97C7" w14:textId="77777777" w:rsidR="00645767" w:rsidRPr="003646BE" w:rsidRDefault="00645767" w:rsidP="003646BE">
            <w:pPr>
              <w:jc w:val="center"/>
              <w:rPr>
                <w:sz w:val="20"/>
                <w:szCs w:val="20"/>
              </w:rPr>
            </w:pPr>
            <w:r w:rsidRPr="003646BE">
              <w:rPr>
                <w:sz w:val="20"/>
                <w:szCs w:val="20"/>
              </w:rPr>
              <w:t>estimate</w:t>
            </w:r>
          </w:p>
        </w:tc>
        <w:tc>
          <w:tcPr>
            <w:tcW w:w="0" w:type="auto"/>
          </w:tcPr>
          <w:p w14:paraId="255E6438" w14:textId="77777777" w:rsidR="00645767" w:rsidRPr="003646BE" w:rsidRDefault="00645767" w:rsidP="003646BE">
            <w:pPr>
              <w:jc w:val="center"/>
              <w:rPr>
                <w:sz w:val="20"/>
                <w:szCs w:val="20"/>
              </w:rPr>
            </w:pPr>
            <w:r w:rsidRPr="003646BE">
              <w:rPr>
                <w:sz w:val="20"/>
                <w:szCs w:val="20"/>
              </w:rPr>
              <w:t>Low TFP</w:t>
            </w:r>
            <w:r w:rsidR="00B16498">
              <w:rPr>
                <w:sz w:val="20"/>
                <w:szCs w:val="20"/>
              </w:rPr>
              <w:t>*</w:t>
            </w:r>
          </w:p>
          <w:p w14:paraId="3137714B" w14:textId="77777777" w:rsidR="00645767" w:rsidRPr="003646BE" w:rsidRDefault="00645767" w:rsidP="003646BE">
            <w:pPr>
              <w:jc w:val="center"/>
              <w:rPr>
                <w:sz w:val="20"/>
                <w:szCs w:val="20"/>
              </w:rPr>
            </w:pPr>
            <w:r w:rsidRPr="003646BE">
              <w:rPr>
                <w:sz w:val="20"/>
                <w:szCs w:val="20"/>
              </w:rPr>
              <w:t>growth</w:t>
            </w:r>
          </w:p>
        </w:tc>
        <w:tc>
          <w:tcPr>
            <w:tcW w:w="0" w:type="auto"/>
          </w:tcPr>
          <w:p w14:paraId="37021686" w14:textId="77777777" w:rsidR="00645767" w:rsidRPr="003646BE" w:rsidRDefault="00645767" w:rsidP="003646BE">
            <w:pPr>
              <w:jc w:val="center"/>
              <w:rPr>
                <w:sz w:val="20"/>
                <w:szCs w:val="20"/>
              </w:rPr>
            </w:pPr>
            <w:r w:rsidRPr="003646BE">
              <w:rPr>
                <w:sz w:val="20"/>
                <w:szCs w:val="20"/>
              </w:rPr>
              <w:t>High TFP</w:t>
            </w:r>
            <w:r w:rsidR="00B16498">
              <w:rPr>
                <w:sz w:val="20"/>
                <w:szCs w:val="20"/>
              </w:rPr>
              <w:t>*</w:t>
            </w:r>
          </w:p>
          <w:p w14:paraId="6626E912" w14:textId="77777777" w:rsidR="00645767" w:rsidRPr="003646BE" w:rsidRDefault="00645767" w:rsidP="003646BE">
            <w:pPr>
              <w:jc w:val="center"/>
              <w:rPr>
                <w:sz w:val="20"/>
                <w:szCs w:val="20"/>
              </w:rPr>
            </w:pPr>
            <w:r w:rsidRPr="003646BE">
              <w:rPr>
                <w:sz w:val="20"/>
                <w:szCs w:val="20"/>
              </w:rPr>
              <w:t>growth</w:t>
            </w:r>
          </w:p>
        </w:tc>
        <w:tc>
          <w:tcPr>
            <w:tcW w:w="0" w:type="auto"/>
          </w:tcPr>
          <w:p w14:paraId="7DC841EF" w14:textId="77777777" w:rsidR="00645767" w:rsidRPr="003646BE" w:rsidRDefault="00B16498" w:rsidP="003646BE">
            <w:pPr>
              <w:jc w:val="center"/>
              <w:rPr>
                <w:sz w:val="20"/>
                <w:szCs w:val="20"/>
              </w:rPr>
            </w:pPr>
            <w:r>
              <w:rPr>
                <w:sz w:val="20"/>
                <w:szCs w:val="20"/>
              </w:rPr>
              <w:t>Change: l</w:t>
            </w:r>
            <w:r w:rsidR="00645767" w:rsidRPr="003646BE">
              <w:rPr>
                <w:sz w:val="20"/>
                <w:szCs w:val="20"/>
              </w:rPr>
              <w:t>ow cost</w:t>
            </w:r>
          </w:p>
          <w:p w14:paraId="06966B55" w14:textId="77777777" w:rsidR="00645767" w:rsidRPr="003646BE" w:rsidRDefault="00645767" w:rsidP="003646BE">
            <w:pPr>
              <w:jc w:val="center"/>
              <w:rPr>
                <w:sz w:val="20"/>
                <w:szCs w:val="20"/>
              </w:rPr>
            </w:pPr>
            <w:r w:rsidRPr="003646BE">
              <w:rPr>
                <w:sz w:val="20"/>
                <w:szCs w:val="20"/>
              </w:rPr>
              <w:t>estimate</w:t>
            </w:r>
          </w:p>
        </w:tc>
        <w:tc>
          <w:tcPr>
            <w:tcW w:w="0" w:type="auto"/>
          </w:tcPr>
          <w:p w14:paraId="53A058F2" w14:textId="77777777" w:rsidR="00645767" w:rsidRPr="003646BE" w:rsidRDefault="00B16498" w:rsidP="003646BE">
            <w:pPr>
              <w:jc w:val="center"/>
              <w:rPr>
                <w:sz w:val="20"/>
                <w:szCs w:val="20"/>
              </w:rPr>
            </w:pPr>
            <w:r>
              <w:rPr>
                <w:sz w:val="20"/>
                <w:szCs w:val="20"/>
              </w:rPr>
              <w:t>Change: h</w:t>
            </w:r>
            <w:r w:rsidR="00645767" w:rsidRPr="003646BE">
              <w:rPr>
                <w:sz w:val="20"/>
                <w:szCs w:val="20"/>
              </w:rPr>
              <w:t>igh cost</w:t>
            </w:r>
          </w:p>
          <w:p w14:paraId="4981172D" w14:textId="77777777" w:rsidR="00645767" w:rsidRPr="003646BE" w:rsidRDefault="00645767" w:rsidP="003646BE">
            <w:pPr>
              <w:jc w:val="center"/>
              <w:rPr>
                <w:sz w:val="20"/>
                <w:szCs w:val="20"/>
              </w:rPr>
            </w:pPr>
            <w:r w:rsidRPr="003646BE">
              <w:rPr>
                <w:sz w:val="20"/>
                <w:szCs w:val="20"/>
              </w:rPr>
              <w:t>estimate</w:t>
            </w:r>
          </w:p>
        </w:tc>
      </w:tr>
      <w:tr w:rsidR="005616B6" w:rsidRPr="003646BE" w14:paraId="1054547B" w14:textId="77777777" w:rsidTr="003646BE">
        <w:tc>
          <w:tcPr>
            <w:tcW w:w="0" w:type="auto"/>
          </w:tcPr>
          <w:p w14:paraId="0876FA56" w14:textId="77777777" w:rsidR="00645767" w:rsidRPr="003646BE" w:rsidRDefault="00645767" w:rsidP="00125C7B">
            <w:pPr>
              <w:rPr>
                <w:sz w:val="20"/>
                <w:szCs w:val="20"/>
              </w:rPr>
            </w:pPr>
            <w:r w:rsidRPr="003646BE">
              <w:rPr>
                <w:sz w:val="20"/>
                <w:szCs w:val="20"/>
              </w:rPr>
              <w:t>Labor</w:t>
            </w:r>
          </w:p>
        </w:tc>
        <w:tc>
          <w:tcPr>
            <w:tcW w:w="0" w:type="auto"/>
          </w:tcPr>
          <w:p w14:paraId="576E6439" w14:textId="77777777" w:rsidR="00645767" w:rsidRPr="003646BE" w:rsidRDefault="00645767" w:rsidP="005616B6">
            <w:pPr>
              <w:jc w:val="right"/>
              <w:rPr>
                <w:sz w:val="20"/>
                <w:szCs w:val="20"/>
              </w:rPr>
            </w:pPr>
            <w:r w:rsidRPr="003646BE">
              <w:rPr>
                <w:sz w:val="20"/>
                <w:szCs w:val="20"/>
              </w:rPr>
              <w:t>$17,</w:t>
            </w:r>
            <w:r w:rsidR="005616B6" w:rsidRPr="003646BE">
              <w:rPr>
                <w:sz w:val="20"/>
                <w:szCs w:val="20"/>
              </w:rPr>
              <w:t>6</w:t>
            </w:r>
            <w:r w:rsidR="005616B6">
              <w:rPr>
                <w:sz w:val="20"/>
                <w:szCs w:val="20"/>
              </w:rPr>
              <w:t>7</w:t>
            </w:r>
            <w:r w:rsidR="005616B6" w:rsidRPr="003646BE">
              <w:rPr>
                <w:sz w:val="20"/>
                <w:szCs w:val="20"/>
              </w:rPr>
              <w:t>8</w:t>
            </w:r>
          </w:p>
        </w:tc>
        <w:tc>
          <w:tcPr>
            <w:tcW w:w="0" w:type="auto"/>
          </w:tcPr>
          <w:p w14:paraId="4107B447" w14:textId="77777777" w:rsidR="00645767" w:rsidRPr="003646BE" w:rsidRDefault="00645767" w:rsidP="003646BE">
            <w:pPr>
              <w:jc w:val="right"/>
              <w:rPr>
                <w:sz w:val="20"/>
                <w:szCs w:val="20"/>
              </w:rPr>
            </w:pPr>
            <w:r w:rsidRPr="003646BE">
              <w:rPr>
                <w:sz w:val="20"/>
                <w:szCs w:val="20"/>
              </w:rPr>
              <w:t>70</w:t>
            </w:r>
            <w:r w:rsidR="005616B6">
              <w:rPr>
                <w:sz w:val="20"/>
                <w:szCs w:val="20"/>
              </w:rPr>
              <w:t>.0</w:t>
            </w:r>
            <w:r w:rsidRPr="003646BE">
              <w:rPr>
                <w:sz w:val="20"/>
                <w:szCs w:val="20"/>
              </w:rPr>
              <w:t>%</w:t>
            </w:r>
          </w:p>
        </w:tc>
        <w:tc>
          <w:tcPr>
            <w:tcW w:w="0" w:type="auto"/>
          </w:tcPr>
          <w:p w14:paraId="5F9BCBE7" w14:textId="77777777" w:rsidR="00645767" w:rsidRPr="003646BE" w:rsidRDefault="00645767" w:rsidP="003646BE">
            <w:pPr>
              <w:jc w:val="right"/>
              <w:rPr>
                <w:sz w:val="20"/>
                <w:szCs w:val="20"/>
              </w:rPr>
            </w:pPr>
            <w:r w:rsidRPr="003646BE">
              <w:rPr>
                <w:sz w:val="20"/>
                <w:szCs w:val="20"/>
              </w:rPr>
              <w:t>0.9%</w:t>
            </w:r>
          </w:p>
        </w:tc>
        <w:tc>
          <w:tcPr>
            <w:tcW w:w="0" w:type="auto"/>
          </w:tcPr>
          <w:p w14:paraId="76EA3B06" w14:textId="77777777" w:rsidR="00645767" w:rsidRPr="003646BE" w:rsidRDefault="00645767" w:rsidP="003646BE">
            <w:pPr>
              <w:jc w:val="right"/>
              <w:rPr>
                <w:sz w:val="20"/>
                <w:szCs w:val="20"/>
              </w:rPr>
            </w:pPr>
            <w:r w:rsidRPr="003646BE">
              <w:rPr>
                <w:sz w:val="20"/>
                <w:szCs w:val="20"/>
              </w:rPr>
              <w:t>3.6%</w:t>
            </w:r>
          </w:p>
        </w:tc>
        <w:tc>
          <w:tcPr>
            <w:tcW w:w="0" w:type="auto"/>
          </w:tcPr>
          <w:p w14:paraId="12E75AC8" w14:textId="77777777" w:rsidR="00645767" w:rsidRPr="003646BE" w:rsidRDefault="00645767" w:rsidP="003646BE">
            <w:pPr>
              <w:jc w:val="right"/>
              <w:rPr>
                <w:sz w:val="20"/>
                <w:szCs w:val="20"/>
              </w:rPr>
            </w:pPr>
            <w:r w:rsidRPr="003646BE">
              <w:rPr>
                <w:sz w:val="20"/>
                <w:szCs w:val="20"/>
              </w:rPr>
              <w:t>0.1%</w:t>
            </w:r>
          </w:p>
        </w:tc>
        <w:tc>
          <w:tcPr>
            <w:tcW w:w="0" w:type="auto"/>
          </w:tcPr>
          <w:p w14:paraId="50925909" w14:textId="77777777" w:rsidR="00645767" w:rsidRPr="003646BE" w:rsidRDefault="00645767" w:rsidP="003646BE">
            <w:pPr>
              <w:jc w:val="right"/>
              <w:rPr>
                <w:sz w:val="20"/>
                <w:szCs w:val="20"/>
              </w:rPr>
            </w:pPr>
            <w:r w:rsidRPr="003646BE">
              <w:rPr>
                <w:sz w:val="20"/>
                <w:szCs w:val="20"/>
              </w:rPr>
              <w:t>0.7%</w:t>
            </w:r>
          </w:p>
        </w:tc>
        <w:tc>
          <w:tcPr>
            <w:tcW w:w="0" w:type="auto"/>
          </w:tcPr>
          <w:p w14:paraId="196E98D2" w14:textId="77777777" w:rsidR="00645767" w:rsidRPr="003646BE" w:rsidRDefault="00645767" w:rsidP="003646BE">
            <w:pPr>
              <w:jc w:val="right"/>
              <w:rPr>
                <w:sz w:val="20"/>
                <w:szCs w:val="20"/>
              </w:rPr>
            </w:pPr>
            <w:r w:rsidRPr="003646BE">
              <w:rPr>
                <w:sz w:val="20"/>
                <w:szCs w:val="20"/>
              </w:rPr>
              <w:t>$17,710</w:t>
            </w:r>
          </w:p>
        </w:tc>
        <w:tc>
          <w:tcPr>
            <w:tcW w:w="0" w:type="auto"/>
          </w:tcPr>
          <w:p w14:paraId="42E96F01" w14:textId="77777777" w:rsidR="00645767" w:rsidRPr="003646BE" w:rsidRDefault="00645767" w:rsidP="003646BE">
            <w:pPr>
              <w:jc w:val="right"/>
              <w:rPr>
                <w:sz w:val="20"/>
                <w:szCs w:val="20"/>
              </w:rPr>
            </w:pPr>
            <w:r w:rsidRPr="003646BE">
              <w:rPr>
                <w:sz w:val="20"/>
                <w:szCs w:val="20"/>
              </w:rPr>
              <w:t>$18,301</w:t>
            </w:r>
          </w:p>
        </w:tc>
      </w:tr>
      <w:tr w:rsidR="005616B6" w:rsidRPr="003646BE" w14:paraId="4E1550AD" w14:textId="77777777" w:rsidTr="003646BE">
        <w:tc>
          <w:tcPr>
            <w:tcW w:w="0" w:type="auto"/>
          </w:tcPr>
          <w:p w14:paraId="0E39A15E" w14:textId="77777777" w:rsidR="00645767" w:rsidRPr="003646BE" w:rsidRDefault="00645767" w:rsidP="00125C7B">
            <w:pPr>
              <w:rPr>
                <w:sz w:val="20"/>
                <w:szCs w:val="20"/>
              </w:rPr>
            </w:pPr>
            <w:r w:rsidRPr="003646BE">
              <w:rPr>
                <w:sz w:val="20"/>
                <w:szCs w:val="20"/>
              </w:rPr>
              <w:t>Fiber</w:t>
            </w:r>
          </w:p>
        </w:tc>
        <w:tc>
          <w:tcPr>
            <w:tcW w:w="0" w:type="auto"/>
          </w:tcPr>
          <w:p w14:paraId="53F04CD8" w14:textId="77777777" w:rsidR="00645767" w:rsidRPr="003646BE" w:rsidRDefault="00645767" w:rsidP="003646BE">
            <w:pPr>
              <w:jc w:val="right"/>
              <w:rPr>
                <w:sz w:val="20"/>
                <w:szCs w:val="20"/>
              </w:rPr>
            </w:pPr>
            <w:r w:rsidRPr="003646BE">
              <w:rPr>
                <w:sz w:val="20"/>
                <w:szCs w:val="20"/>
              </w:rPr>
              <w:t>$918</w:t>
            </w:r>
          </w:p>
        </w:tc>
        <w:tc>
          <w:tcPr>
            <w:tcW w:w="0" w:type="auto"/>
          </w:tcPr>
          <w:p w14:paraId="44C0CF10" w14:textId="77777777" w:rsidR="00645767" w:rsidRPr="003646BE" w:rsidRDefault="00645767" w:rsidP="003646BE">
            <w:pPr>
              <w:jc w:val="right"/>
              <w:rPr>
                <w:sz w:val="20"/>
                <w:szCs w:val="20"/>
              </w:rPr>
            </w:pPr>
            <w:r w:rsidRPr="003646BE">
              <w:rPr>
                <w:sz w:val="20"/>
                <w:szCs w:val="20"/>
              </w:rPr>
              <w:t>3</w:t>
            </w:r>
            <w:r w:rsidR="005616B6">
              <w:rPr>
                <w:sz w:val="20"/>
                <w:szCs w:val="20"/>
              </w:rPr>
              <w:t>.6</w:t>
            </w:r>
            <w:r w:rsidRPr="003646BE">
              <w:rPr>
                <w:sz w:val="20"/>
                <w:szCs w:val="20"/>
              </w:rPr>
              <w:t>%</w:t>
            </w:r>
          </w:p>
        </w:tc>
        <w:tc>
          <w:tcPr>
            <w:tcW w:w="0" w:type="auto"/>
          </w:tcPr>
          <w:p w14:paraId="33D4756D" w14:textId="77777777" w:rsidR="00645767" w:rsidRPr="003646BE" w:rsidRDefault="00645767" w:rsidP="003646BE">
            <w:pPr>
              <w:jc w:val="right"/>
              <w:rPr>
                <w:sz w:val="20"/>
                <w:szCs w:val="20"/>
              </w:rPr>
            </w:pPr>
            <w:r w:rsidRPr="003646BE">
              <w:rPr>
                <w:sz w:val="20"/>
                <w:szCs w:val="20"/>
              </w:rPr>
              <w:t>-5</w:t>
            </w:r>
            <w:r w:rsidR="005B7E64">
              <w:rPr>
                <w:sz w:val="20"/>
                <w:szCs w:val="20"/>
              </w:rPr>
              <w:t>.0</w:t>
            </w:r>
            <w:r w:rsidRPr="003646BE">
              <w:rPr>
                <w:sz w:val="20"/>
                <w:szCs w:val="20"/>
              </w:rPr>
              <w:t>%</w:t>
            </w:r>
          </w:p>
        </w:tc>
        <w:tc>
          <w:tcPr>
            <w:tcW w:w="0" w:type="auto"/>
          </w:tcPr>
          <w:p w14:paraId="78A99D8D" w14:textId="77777777" w:rsidR="00645767" w:rsidRPr="003646BE" w:rsidRDefault="00645767" w:rsidP="003646BE">
            <w:pPr>
              <w:jc w:val="right"/>
              <w:rPr>
                <w:sz w:val="20"/>
                <w:szCs w:val="20"/>
              </w:rPr>
            </w:pPr>
            <w:r w:rsidRPr="003646BE">
              <w:rPr>
                <w:sz w:val="20"/>
                <w:szCs w:val="20"/>
              </w:rPr>
              <w:t>-5</w:t>
            </w:r>
            <w:r w:rsidR="005B7E64">
              <w:rPr>
                <w:sz w:val="20"/>
                <w:szCs w:val="20"/>
              </w:rPr>
              <w:t>.0</w:t>
            </w:r>
            <w:r w:rsidRPr="003646BE">
              <w:rPr>
                <w:sz w:val="20"/>
                <w:szCs w:val="20"/>
              </w:rPr>
              <w:t>%</w:t>
            </w:r>
          </w:p>
        </w:tc>
        <w:tc>
          <w:tcPr>
            <w:tcW w:w="0" w:type="auto"/>
          </w:tcPr>
          <w:p w14:paraId="1E0E2AF4" w14:textId="77777777" w:rsidR="00645767" w:rsidRPr="003646BE" w:rsidRDefault="00645767" w:rsidP="003646BE">
            <w:pPr>
              <w:jc w:val="right"/>
              <w:rPr>
                <w:sz w:val="20"/>
                <w:szCs w:val="20"/>
              </w:rPr>
            </w:pPr>
            <w:r w:rsidRPr="003646BE">
              <w:rPr>
                <w:sz w:val="20"/>
                <w:szCs w:val="20"/>
              </w:rPr>
              <w:t>0.1%</w:t>
            </w:r>
          </w:p>
        </w:tc>
        <w:tc>
          <w:tcPr>
            <w:tcW w:w="0" w:type="auto"/>
          </w:tcPr>
          <w:p w14:paraId="20928884" w14:textId="77777777" w:rsidR="00645767" w:rsidRPr="003646BE" w:rsidRDefault="00645767" w:rsidP="003646BE">
            <w:pPr>
              <w:jc w:val="right"/>
              <w:rPr>
                <w:sz w:val="20"/>
                <w:szCs w:val="20"/>
              </w:rPr>
            </w:pPr>
            <w:r w:rsidRPr="003646BE">
              <w:rPr>
                <w:sz w:val="20"/>
                <w:szCs w:val="20"/>
              </w:rPr>
              <w:t>0.7%</w:t>
            </w:r>
          </w:p>
        </w:tc>
        <w:tc>
          <w:tcPr>
            <w:tcW w:w="0" w:type="auto"/>
          </w:tcPr>
          <w:p w14:paraId="308BFA6F" w14:textId="77777777" w:rsidR="00645767" w:rsidRPr="003646BE" w:rsidRDefault="00645767" w:rsidP="003646BE">
            <w:pPr>
              <w:jc w:val="right"/>
              <w:rPr>
                <w:sz w:val="20"/>
                <w:szCs w:val="20"/>
              </w:rPr>
            </w:pPr>
            <w:r w:rsidRPr="003646BE">
              <w:rPr>
                <w:sz w:val="20"/>
                <w:szCs w:val="20"/>
              </w:rPr>
              <w:t>$865</w:t>
            </w:r>
          </w:p>
        </w:tc>
        <w:tc>
          <w:tcPr>
            <w:tcW w:w="0" w:type="auto"/>
          </w:tcPr>
          <w:p w14:paraId="05133CEF" w14:textId="77777777" w:rsidR="00645767" w:rsidRPr="003646BE" w:rsidRDefault="00645767" w:rsidP="003646BE">
            <w:pPr>
              <w:jc w:val="right"/>
              <w:rPr>
                <w:sz w:val="20"/>
                <w:szCs w:val="20"/>
              </w:rPr>
            </w:pPr>
            <w:r w:rsidRPr="003646BE">
              <w:rPr>
                <w:sz w:val="20"/>
                <w:szCs w:val="20"/>
              </w:rPr>
              <w:t>$871</w:t>
            </w:r>
          </w:p>
        </w:tc>
      </w:tr>
      <w:tr w:rsidR="005616B6" w:rsidRPr="003646BE" w14:paraId="1667CE9B" w14:textId="77777777" w:rsidTr="003646BE">
        <w:tc>
          <w:tcPr>
            <w:tcW w:w="0" w:type="auto"/>
          </w:tcPr>
          <w:p w14:paraId="22C4CB00" w14:textId="77777777" w:rsidR="00645767" w:rsidRPr="003646BE" w:rsidRDefault="00645767" w:rsidP="00125C7B">
            <w:pPr>
              <w:rPr>
                <w:sz w:val="20"/>
                <w:szCs w:val="20"/>
              </w:rPr>
            </w:pPr>
            <w:r w:rsidRPr="003646BE">
              <w:rPr>
                <w:sz w:val="20"/>
                <w:szCs w:val="20"/>
              </w:rPr>
              <w:t>Poles</w:t>
            </w:r>
          </w:p>
        </w:tc>
        <w:tc>
          <w:tcPr>
            <w:tcW w:w="0" w:type="auto"/>
          </w:tcPr>
          <w:p w14:paraId="72AC83C8" w14:textId="77777777" w:rsidR="00645767" w:rsidRPr="003646BE" w:rsidRDefault="00645767" w:rsidP="003646BE">
            <w:pPr>
              <w:jc w:val="right"/>
              <w:rPr>
                <w:sz w:val="20"/>
                <w:szCs w:val="20"/>
              </w:rPr>
            </w:pPr>
            <w:r w:rsidRPr="003646BE">
              <w:rPr>
                <w:sz w:val="20"/>
                <w:szCs w:val="20"/>
              </w:rPr>
              <w:t>$497</w:t>
            </w:r>
          </w:p>
        </w:tc>
        <w:tc>
          <w:tcPr>
            <w:tcW w:w="0" w:type="auto"/>
          </w:tcPr>
          <w:p w14:paraId="5F48861E" w14:textId="77777777" w:rsidR="00645767" w:rsidRPr="003646BE" w:rsidRDefault="00645767" w:rsidP="003646BE">
            <w:pPr>
              <w:jc w:val="right"/>
              <w:rPr>
                <w:sz w:val="20"/>
                <w:szCs w:val="20"/>
              </w:rPr>
            </w:pPr>
            <w:r w:rsidRPr="003646BE">
              <w:rPr>
                <w:sz w:val="20"/>
                <w:szCs w:val="20"/>
              </w:rPr>
              <w:t>2</w:t>
            </w:r>
            <w:r w:rsidR="005616B6">
              <w:rPr>
                <w:sz w:val="20"/>
                <w:szCs w:val="20"/>
              </w:rPr>
              <w:t>.0</w:t>
            </w:r>
            <w:r w:rsidRPr="003646BE">
              <w:rPr>
                <w:sz w:val="20"/>
                <w:szCs w:val="20"/>
              </w:rPr>
              <w:t>%</w:t>
            </w:r>
          </w:p>
        </w:tc>
        <w:tc>
          <w:tcPr>
            <w:tcW w:w="0" w:type="auto"/>
          </w:tcPr>
          <w:p w14:paraId="7C4E0D7A" w14:textId="77777777" w:rsidR="00645767" w:rsidRPr="003646BE" w:rsidRDefault="00645767" w:rsidP="003646BE">
            <w:pPr>
              <w:jc w:val="right"/>
              <w:rPr>
                <w:sz w:val="20"/>
                <w:szCs w:val="20"/>
              </w:rPr>
            </w:pPr>
            <w:r w:rsidRPr="003646BE">
              <w:rPr>
                <w:sz w:val="20"/>
                <w:szCs w:val="20"/>
              </w:rPr>
              <w:t>2.0%</w:t>
            </w:r>
          </w:p>
        </w:tc>
        <w:tc>
          <w:tcPr>
            <w:tcW w:w="0" w:type="auto"/>
          </w:tcPr>
          <w:p w14:paraId="596806B1" w14:textId="77777777" w:rsidR="00645767" w:rsidRPr="003646BE" w:rsidRDefault="00645767" w:rsidP="003646BE">
            <w:pPr>
              <w:jc w:val="right"/>
              <w:rPr>
                <w:sz w:val="20"/>
                <w:szCs w:val="20"/>
              </w:rPr>
            </w:pPr>
            <w:r w:rsidRPr="003646BE">
              <w:rPr>
                <w:sz w:val="20"/>
                <w:szCs w:val="20"/>
              </w:rPr>
              <w:t>2.0%</w:t>
            </w:r>
          </w:p>
        </w:tc>
        <w:tc>
          <w:tcPr>
            <w:tcW w:w="0" w:type="auto"/>
          </w:tcPr>
          <w:p w14:paraId="06D59A6F" w14:textId="77777777" w:rsidR="00645767" w:rsidRPr="003646BE" w:rsidRDefault="00645767" w:rsidP="003646BE">
            <w:pPr>
              <w:jc w:val="right"/>
              <w:rPr>
                <w:sz w:val="20"/>
                <w:szCs w:val="20"/>
              </w:rPr>
            </w:pPr>
            <w:r w:rsidRPr="003646BE">
              <w:rPr>
                <w:sz w:val="20"/>
                <w:szCs w:val="20"/>
              </w:rPr>
              <w:t>0.1%</w:t>
            </w:r>
          </w:p>
        </w:tc>
        <w:tc>
          <w:tcPr>
            <w:tcW w:w="0" w:type="auto"/>
          </w:tcPr>
          <w:p w14:paraId="4B92378A" w14:textId="77777777" w:rsidR="00645767" w:rsidRPr="003646BE" w:rsidRDefault="00645767" w:rsidP="003646BE">
            <w:pPr>
              <w:jc w:val="right"/>
              <w:rPr>
                <w:sz w:val="20"/>
                <w:szCs w:val="20"/>
              </w:rPr>
            </w:pPr>
            <w:r w:rsidRPr="003646BE">
              <w:rPr>
                <w:sz w:val="20"/>
                <w:szCs w:val="20"/>
              </w:rPr>
              <w:t>0.7%</w:t>
            </w:r>
          </w:p>
        </w:tc>
        <w:tc>
          <w:tcPr>
            <w:tcW w:w="0" w:type="auto"/>
          </w:tcPr>
          <w:p w14:paraId="43699135" w14:textId="77777777" w:rsidR="00645767" w:rsidRPr="003646BE" w:rsidRDefault="00645767" w:rsidP="003646BE">
            <w:pPr>
              <w:jc w:val="right"/>
              <w:rPr>
                <w:sz w:val="20"/>
                <w:szCs w:val="20"/>
              </w:rPr>
            </w:pPr>
            <w:r w:rsidRPr="003646BE">
              <w:rPr>
                <w:sz w:val="20"/>
                <w:szCs w:val="20"/>
              </w:rPr>
              <w:t>$503</w:t>
            </w:r>
          </w:p>
        </w:tc>
        <w:tc>
          <w:tcPr>
            <w:tcW w:w="0" w:type="auto"/>
          </w:tcPr>
          <w:p w14:paraId="43F4838F" w14:textId="77777777" w:rsidR="00645767" w:rsidRPr="003646BE" w:rsidRDefault="00645767" w:rsidP="003646BE">
            <w:pPr>
              <w:jc w:val="right"/>
              <w:rPr>
                <w:sz w:val="20"/>
                <w:szCs w:val="20"/>
              </w:rPr>
            </w:pPr>
            <w:r w:rsidRPr="003646BE">
              <w:rPr>
                <w:sz w:val="20"/>
                <w:szCs w:val="20"/>
              </w:rPr>
              <w:t>$506</w:t>
            </w:r>
          </w:p>
        </w:tc>
      </w:tr>
      <w:tr w:rsidR="005616B6" w:rsidRPr="003646BE" w14:paraId="4054505D" w14:textId="77777777" w:rsidTr="003646BE">
        <w:tc>
          <w:tcPr>
            <w:tcW w:w="0" w:type="auto"/>
          </w:tcPr>
          <w:p w14:paraId="276DD8FE" w14:textId="77777777" w:rsidR="00645767" w:rsidRPr="003646BE" w:rsidRDefault="00645767" w:rsidP="00125C7B">
            <w:pPr>
              <w:rPr>
                <w:sz w:val="20"/>
                <w:szCs w:val="20"/>
              </w:rPr>
            </w:pPr>
            <w:r w:rsidRPr="003646BE">
              <w:rPr>
                <w:sz w:val="20"/>
                <w:szCs w:val="20"/>
              </w:rPr>
              <w:t>Conduit</w:t>
            </w:r>
          </w:p>
        </w:tc>
        <w:tc>
          <w:tcPr>
            <w:tcW w:w="0" w:type="auto"/>
          </w:tcPr>
          <w:p w14:paraId="3C2A4318" w14:textId="77777777" w:rsidR="00645767" w:rsidRPr="003646BE" w:rsidRDefault="00645767" w:rsidP="003646BE">
            <w:pPr>
              <w:jc w:val="right"/>
              <w:rPr>
                <w:sz w:val="20"/>
                <w:szCs w:val="20"/>
              </w:rPr>
            </w:pPr>
            <w:r w:rsidRPr="003646BE">
              <w:rPr>
                <w:sz w:val="20"/>
                <w:szCs w:val="20"/>
              </w:rPr>
              <w:t>$804</w:t>
            </w:r>
          </w:p>
        </w:tc>
        <w:tc>
          <w:tcPr>
            <w:tcW w:w="0" w:type="auto"/>
          </w:tcPr>
          <w:p w14:paraId="3C5CB9C0" w14:textId="77777777" w:rsidR="00645767" w:rsidRPr="003646BE" w:rsidRDefault="00645767" w:rsidP="003646BE">
            <w:pPr>
              <w:jc w:val="right"/>
              <w:rPr>
                <w:sz w:val="20"/>
                <w:szCs w:val="20"/>
              </w:rPr>
            </w:pPr>
            <w:r w:rsidRPr="003646BE">
              <w:rPr>
                <w:sz w:val="20"/>
                <w:szCs w:val="20"/>
              </w:rPr>
              <w:t>3</w:t>
            </w:r>
            <w:r w:rsidR="005616B6">
              <w:rPr>
                <w:sz w:val="20"/>
                <w:szCs w:val="20"/>
              </w:rPr>
              <w:t>.2</w:t>
            </w:r>
            <w:r w:rsidRPr="003646BE">
              <w:rPr>
                <w:sz w:val="20"/>
                <w:szCs w:val="20"/>
              </w:rPr>
              <w:t>%</w:t>
            </w:r>
          </w:p>
        </w:tc>
        <w:tc>
          <w:tcPr>
            <w:tcW w:w="0" w:type="auto"/>
          </w:tcPr>
          <w:p w14:paraId="4C4EBFE9" w14:textId="77777777" w:rsidR="00645767" w:rsidRPr="003646BE" w:rsidRDefault="00645767" w:rsidP="003646BE">
            <w:pPr>
              <w:jc w:val="right"/>
              <w:rPr>
                <w:sz w:val="20"/>
                <w:szCs w:val="20"/>
              </w:rPr>
            </w:pPr>
            <w:r w:rsidRPr="003646BE">
              <w:rPr>
                <w:sz w:val="20"/>
                <w:szCs w:val="20"/>
              </w:rPr>
              <w:t>0.0%</w:t>
            </w:r>
          </w:p>
        </w:tc>
        <w:tc>
          <w:tcPr>
            <w:tcW w:w="0" w:type="auto"/>
          </w:tcPr>
          <w:p w14:paraId="04251A3A" w14:textId="77777777" w:rsidR="00645767" w:rsidRPr="003646BE" w:rsidRDefault="00645767" w:rsidP="003646BE">
            <w:pPr>
              <w:jc w:val="right"/>
              <w:rPr>
                <w:sz w:val="20"/>
                <w:szCs w:val="20"/>
              </w:rPr>
            </w:pPr>
            <w:r w:rsidRPr="003646BE">
              <w:rPr>
                <w:sz w:val="20"/>
                <w:szCs w:val="20"/>
              </w:rPr>
              <w:t>0.0%</w:t>
            </w:r>
          </w:p>
        </w:tc>
        <w:tc>
          <w:tcPr>
            <w:tcW w:w="0" w:type="auto"/>
          </w:tcPr>
          <w:p w14:paraId="1E6BC89D" w14:textId="77777777" w:rsidR="00645767" w:rsidRPr="003646BE" w:rsidRDefault="00645767" w:rsidP="003646BE">
            <w:pPr>
              <w:jc w:val="right"/>
              <w:rPr>
                <w:sz w:val="20"/>
                <w:szCs w:val="20"/>
              </w:rPr>
            </w:pPr>
            <w:r w:rsidRPr="003646BE">
              <w:rPr>
                <w:sz w:val="20"/>
                <w:szCs w:val="20"/>
              </w:rPr>
              <w:t>0.1%</w:t>
            </w:r>
          </w:p>
        </w:tc>
        <w:tc>
          <w:tcPr>
            <w:tcW w:w="0" w:type="auto"/>
          </w:tcPr>
          <w:p w14:paraId="27FBE296" w14:textId="77777777" w:rsidR="00645767" w:rsidRPr="003646BE" w:rsidRDefault="00645767" w:rsidP="003646BE">
            <w:pPr>
              <w:jc w:val="right"/>
              <w:rPr>
                <w:sz w:val="20"/>
                <w:szCs w:val="20"/>
              </w:rPr>
            </w:pPr>
            <w:r w:rsidRPr="003646BE">
              <w:rPr>
                <w:sz w:val="20"/>
                <w:szCs w:val="20"/>
              </w:rPr>
              <w:t>0.7%</w:t>
            </w:r>
          </w:p>
        </w:tc>
        <w:tc>
          <w:tcPr>
            <w:tcW w:w="0" w:type="auto"/>
          </w:tcPr>
          <w:p w14:paraId="05306D23" w14:textId="77777777" w:rsidR="00645767" w:rsidRPr="003646BE" w:rsidRDefault="00645767" w:rsidP="003646BE">
            <w:pPr>
              <w:jc w:val="right"/>
              <w:rPr>
                <w:sz w:val="20"/>
                <w:szCs w:val="20"/>
              </w:rPr>
            </w:pPr>
            <w:r w:rsidRPr="003646BE">
              <w:rPr>
                <w:sz w:val="20"/>
                <w:szCs w:val="20"/>
              </w:rPr>
              <w:t>$798</w:t>
            </w:r>
          </w:p>
        </w:tc>
        <w:tc>
          <w:tcPr>
            <w:tcW w:w="0" w:type="auto"/>
          </w:tcPr>
          <w:p w14:paraId="2DD7869F" w14:textId="77777777" w:rsidR="00645767" w:rsidRPr="003646BE" w:rsidRDefault="00645767" w:rsidP="003646BE">
            <w:pPr>
              <w:jc w:val="right"/>
              <w:rPr>
                <w:sz w:val="20"/>
                <w:szCs w:val="20"/>
              </w:rPr>
            </w:pPr>
            <w:r w:rsidRPr="003646BE">
              <w:rPr>
                <w:sz w:val="20"/>
                <w:szCs w:val="20"/>
              </w:rPr>
              <w:t>$803</w:t>
            </w:r>
          </w:p>
        </w:tc>
      </w:tr>
      <w:tr w:rsidR="005616B6" w:rsidRPr="003646BE" w14:paraId="1E999101" w14:textId="77777777" w:rsidTr="003646BE">
        <w:tc>
          <w:tcPr>
            <w:tcW w:w="0" w:type="auto"/>
          </w:tcPr>
          <w:p w14:paraId="7D9BC803" w14:textId="77777777" w:rsidR="005616B6" w:rsidRPr="003646BE" w:rsidRDefault="005616B6" w:rsidP="00125C7B">
            <w:pPr>
              <w:rPr>
                <w:sz w:val="20"/>
                <w:szCs w:val="20"/>
              </w:rPr>
            </w:pPr>
            <w:r>
              <w:rPr>
                <w:sz w:val="20"/>
                <w:szCs w:val="20"/>
              </w:rPr>
              <w:t>Drop</w:t>
            </w:r>
          </w:p>
        </w:tc>
        <w:tc>
          <w:tcPr>
            <w:tcW w:w="0" w:type="auto"/>
          </w:tcPr>
          <w:p w14:paraId="5C551F30" w14:textId="77777777" w:rsidR="005616B6" w:rsidRPr="003646BE" w:rsidRDefault="005616B6" w:rsidP="003646BE">
            <w:pPr>
              <w:jc w:val="right"/>
              <w:rPr>
                <w:sz w:val="20"/>
                <w:szCs w:val="20"/>
              </w:rPr>
            </w:pPr>
            <w:r>
              <w:rPr>
                <w:sz w:val="20"/>
                <w:szCs w:val="20"/>
              </w:rPr>
              <w:t>$81</w:t>
            </w:r>
          </w:p>
        </w:tc>
        <w:tc>
          <w:tcPr>
            <w:tcW w:w="0" w:type="auto"/>
          </w:tcPr>
          <w:p w14:paraId="489A5745" w14:textId="77777777" w:rsidR="005616B6" w:rsidRPr="003646BE" w:rsidRDefault="005616B6" w:rsidP="003646BE">
            <w:pPr>
              <w:jc w:val="right"/>
              <w:rPr>
                <w:sz w:val="20"/>
                <w:szCs w:val="20"/>
              </w:rPr>
            </w:pPr>
            <w:r>
              <w:rPr>
                <w:sz w:val="20"/>
                <w:szCs w:val="20"/>
              </w:rPr>
              <w:t>0.3%</w:t>
            </w:r>
          </w:p>
        </w:tc>
        <w:tc>
          <w:tcPr>
            <w:tcW w:w="0" w:type="auto"/>
          </w:tcPr>
          <w:p w14:paraId="6412BBF2" w14:textId="77777777" w:rsidR="005616B6" w:rsidRPr="003646BE" w:rsidRDefault="005616B6" w:rsidP="003646BE">
            <w:pPr>
              <w:jc w:val="right"/>
              <w:rPr>
                <w:sz w:val="20"/>
                <w:szCs w:val="20"/>
              </w:rPr>
            </w:pPr>
            <w:r>
              <w:rPr>
                <w:sz w:val="20"/>
                <w:szCs w:val="20"/>
              </w:rPr>
              <w:t>-2.0%</w:t>
            </w:r>
          </w:p>
        </w:tc>
        <w:tc>
          <w:tcPr>
            <w:tcW w:w="0" w:type="auto"/>
          </w:tcPr>
          <w:p w14:paraId="3DC11080" w14:textId="77777777" w:rsidR="005616B6" w:rsidRPr="003646BE" w:rsidRDefault="005616B6" w:rsidP="003646BE">
            <w:pPr>
              <w:jc w:val="right"/>
              <w:rPr>
                <w:sz w:val="20"/>
                <w:szCs w:val="20"/>
              </w:rPr>
            </w:pPr>
            <w:r>
              <w:rPr>
                <w:sz w:val="20"/>
                <w:szCs w:val="20"/>
              </w:rPr>
              <w:t>-2.0%</w:t>
            </w:r>
          </w:p>
        </w:tc>
        <w:tc>
          <w:tcPr>
            <w:tcW w:w="0" w:type="auto"/>
          </w:tcPr>
          <w:p w14:paraId="32A2D352" w14:textId="77777777" w:rsidR="005616B6" w:rsidRPr="003646BE" w:rsidRDefault="005616B6" w:rsidP="003646BE">
            <w:pPr>
              <w:jc w:val="right"/>
              <w:rPr>
                <w:sz w:val="20"/>
                <w:szCs w:val="20"/>
              </w:rPr>
            </w:pPr>
            <w:r w:rsidRPr="003646BE">
              <w:rPr>
                <w:sz w:val="20"/>
                <w:szCs w:val="20"/>
              </w:rPr>
              <w:t>0.1%</w:t>
            </w:r>
          </w:p>
        </w:tc>
        <w:tc>
          <w:tcPr>
            <w:tcW w:w="0" w:type="auto"/>
          </w:tcPr>
          <w:p w14:paraId="2B91BBF2" w14:textId="77777777" w:rsidR="005616B6" w:rsidRPr="003646BE" w:rsidRDefault="005616B6" w:rsidP="003646BE">
            <w:pPr>
              <w:jc w:val="right"/>
              <w:rPr>
                <w:sz w:val="20"/>
                <w:szCs w:val="20"/>
              </w:rPr>
            </w:pPr>
            <w:r w:rsidRPr="003646BE">
              <w:rPr>
                <w:sz w:val="20"/>
                <w:szCs w:val="20"/>
              </w:rPr>
              <w:t>0.7%</w:t>
            </w:r>
          </w:p>
        </w:tc>
        <w:tc>
          <w:tcPr>
            <w:tcW w:w="0" w:type="auto"/>
          </w:tcPr>
          <w:p w14:paraId="10E3ED83" w14:textId="77777777" w:rsidR="005616B6" w:rsidRPr="003646BE" w:rsidRDefault="005616B6" w:rsidP="003646BE">
            <w:pPr>
              <w:jc w:val="right"/>
              <w:rPr>
                <w:sz w:val="20"/>
                <w:szCs w:val="20"/>
              </w:rPr>
            </w:pPr>
            <w:r>
              <w:rPr>
                <w:sz w:val="20"/>
                <w:szCs w:val="20"/>
              </w:rPr>
              <w:t>$79</w:t>
            </w:r>
          </w:p>
        </w:tc>
        <w:tc>
          <w:tcPr>
            <w:tcW w:w="0" w:type="auto"/>
          </w:tcPr>
          <w:p w14:paraId="131B6FB8" w14:textId="77777777" w:rsidR="005616B6" w:rsidRPr="003646BE" w:rsidRDefault="00A8437C" w:rsidP="003646BE">
            <w:pPr>
              <w:jc w:val="right"/>
              <w:rPr>
                <w:sz w:val="20"/>
                <w:szCs w:val="20"/>
              </w:rPr>
            </w:pPr>
            <w:r>
              <w:rPr>
                <w:sz w:val="20"/>
                <w:szCs w:val="20"/>
              </w:rPr>
              <w:t>$80</w:t>
            </w:r>
          </w:p>
        </w:tc>
      </w:tr>
      <w:tr w:rsidR="005616B6" w:rsidRPr="003646BE" w14:paraId="58AD2BF1" w14:textId="77777777" w:rsidTr="003646BE">
        <w:tc>
          <w:tcPr>
            <w:tcW w:w="0" w:type="auto"/>
          </w:tcPr>
          <w:p w14:paraId="045C9ED2" w14:textId="77777777" w:rsidR="005616B6" w:rsidRPr="003646BE" w:rsidRDefault="005616B6" w:rsidP="00125C7B">
            <w:pPr>
              <w:rPr>
                <w:sz w:val="20"/>
                <w:szCs w:val="20"/>
              </w:rPr>
            </w:pPr>
            <w:r>
              <w:rPr>
                <w:sz w:val="20"/>
                <w:szCs w:val="20"/>
              </w:rPr>
              <w:t>ONT</w:t>
            </w:r>
          </w:p>
        </w:tc>
        <w:tc>
          <w:tcPr>
            <w:tcW w:w="0" w:type="auto"/>
          </w:tcPr>
          <w:p w14:paraId="70458E64" w14:textId="77777777" w:rsidR="005616B6" w:rsidRPr="003646BE" w:rsidRDefault="005616B6" w:rsidP="003646BE">
            <w:pPr>
              <w:jc w:val="right"/>
              <w:rPr>
                <w:sz w:val="20"/>
                <w:szCs w:val="20"/>
              </w:rPr>
            </w:pPr>
            <w:r>
              <w:rPr>
                <w:sz w:val="20"/>
                <w:szCs w:val="20"/>
              </w:rPr>
              <w:t>$859</w:t>
            </w:r>
          </w:p>
        </w:tc>
        <w:tc>
          <w:tcPr>
            <w:tcW w:w="0" w:type="auto"/>
          </w:tcPr>
          <w:p w14:paraId="377483B2" w14:textId="77777777" w:rsidR="005616B6" w:rsidRPr="003646BE" w:rsidRDefault="005616B6" w:rsidP="003646BE">
            <w:pPr>
              <w:jc w:val="right"/>
              <w:rPr>
                <w:sz w:val="20"/>
                <w:szCs w:val="20"/>
              </w:rPr>
            </w:pPr>
            <w:r>
              <w:rPr>
                <w:sz w:val="20"/>
                <w:szCs w:val="20"/>
              </w:rPr>
              <w:t>3.4%</w:t>
            </w:r>
          </w:p>
        </w:tc>
        <w:tc>
          <w:tcPr>
            <w:tcW w:w="0" w:type="auto"/>
          </w:tcPr>
          <w:p w14:paraId="0BED16C3" w14:textId="77777777" w:rsidR="005616B6" w:rsidRPr="003646BE" w:rsidRDefault="005616B6" w:rsidP="003646BE">
            <w:pPr>
              <w:jc w:val="right"/>
              <w:rPr>
                <w:sz w:val="20"/>
                <w:szCs w:val="20"/>
              </w:rPr>
            </w:pPr>
            <w:r>
              <w:rPr>
                <w:sz w:val="20"/>
                <w:szCs w:val="20"/>
              </w:rPr>
              <w:t>-5.0%</w:t>
            </w:r>
          </w:p>
        </w:tc>
        <w:tc>
          <w:tcPr>
            <w:tcW w:w="0" w:type="auto"/>
          </w:tcPr>
          <w:p w14:paraId="218EFB2D" w14:textId="77777777" w:rsidR="005616B6" w:rsidRPr="003646BE" w:rsidRDefault="005616B6" w:rsidP="003646BE">
            <w:pPr>
              <w:jc w:val="right"/>
              <w:rPr>
                <w:sz w:val="20"/>
                <w:szCs w:val="20"/>
              </w:rPr>
            </w:pPr>
            <w:r>
              <w:rPr>
                <w:sz w:val="20"/>
                <w:szCs w:val="20"/>
              </w:rPr>
              <w:t>-5.0%</w:t>
            </w:r>
          </w:p>
        </w:tc>
        <w:tc>
          <w:tcPr>
            <w:tcW w:w="0" w:type="auto"/>
          </w:tcPr>
          <w:p w14:paraId="0546BA01" w14:textId="77777777" w:rsidR="005616B6" w:rsidRPr="003646BE" w:rsidRDefault="005616B6" w:rsidP="003646BE">
            <w:pPr>
              <w:jc w:val="right"/>
              <w:rPr>
                <w:sz w:val="20"/>
                <w:szCs w:val="20"/>
              </w:rPr>
            </w:pPr>
            <w:r w:rsidRPr="003646BE">
              <w:rPr>
                <w:sz w:val="20"/>
                <w:szCs w:val="20"/>
              </w:rPr>
              <w:t>0.1%</w:t>
            </w:r>
          </w:p>
        </w:tc>
        <w:tc>
          <w:tcPr>
            <w:tcW w:w="0" w:type="auto"/>
          </w:tcPr>
          <w:p w14:paraId="055A64E0" w14:textId="77777777" w:rsidR="005616B6" w:rsidRPr="003646BE" w:rsidRDefault="005616B6" w:rsidP="003646BE">
            <w:pPr>
              <w:jc w:val="right"/>
              <w:rPr>
                <w:sz w:val="20"/>
                <w:szCs w:val="20"/>
              </w:rPr>
            </w:pPr>
            <w:r w:rsidRPr="003646BE">
              <w:rPr>
                <w:sz w:val="20"/>
                <w:szCs w:val="20"/>
              </w:rPr>
              <w:t>0.7%</w:t>
            </w:r>
          </w:p>
        </w:tc>
        <w:tc>
          <w:tcPr>
            <w:tcW w:w="0" w:type="auto"/>
          </w:tcPr>
          <w:p w14:paraId="77DC94CD" w14:textId="77777777" w:rsidR="005616B6" w:rsidRPr="003646BE" w:rsidRDefault="005616B6" w:rsidP="003646BE">
            <w:pPr>
              <w:jc w:val="right"/>
              <w:rPr>
                <w:sz w:val="20"/>
                <w:szCs w:val="20"/>
              </w:rPr>
            </w:pPr>
            <w:r>
              <w:rPr>
                <w:sz w:val="20"/>
                <w:szCs w:val="20"/>
              </w:rPr>
              <w:t>$810</w:t>
            </w:r>
          </w:p>
        </w:tc>
        <w:tc>
          <w:tcPr>
            <w:tcW w:w="0" w:type="auto"/>
          </w:tcPr>
          <w:p w14:paraId="64457BD9" w14:textId="77777777" w:rsidR="005616B6" w:rsidRPr="003646BE" w:rsidRDefault="00A8437C" w:rsidP="003646BE">
            <w:pPr>
              <w:jc w:val="right"/>
              <w:rPr>
                <w:sz w:val="20"/>
                <w:szCs w:val="20"/>
              </w:rPr>
            </w:pPr>
            <w:r>
              <w:rPr>
                <w:sz w:val="20"/>
                <w:szCs w:val="20"/>
              </w:rPr>
              <w:t>$816</w:t>
            </w:r>
          </w:p>
        </w:tc>
      </w:tr>
      <w:tr w:rsidR="005616B6" w:rsidRPr="003646BE" w14:paraId="6EC0A0DD" w14:textId="77777777" w:rsidTr="003646BE">
        <w:tc>
          <w:tcPr>
            <w:tcW w:w="0" w:type="auto"/>
          </w:tcPr>
          <w:p w14:paraId="067B9CEA" w14:textId="77777777" w:rsidR="005616B6" w:rsidRPr="003646BE" w:rsidRDefault="00CF0975" w:rsidP="00125C7B">
            <w:pPr>
              <w:rPr>
                <w:sz w:val="20"/>
                <w:szCs w:val="20"/>
              </w:rPr>
            </w:pPr>
            <w:r>
              <w:rPr>
                <w:sz w:val="20"/>
                <w:szCs w:val="20"/>
              </w:rPr>
              <w:t>Fiber p</w:t>
            </w:r>
            <w:r w:rsidR="005616B6">
              <w:rPr>
                <w:sz w:val="20"/>
                <w:szCs w:val="20"/>
              </w:rPr>
              <w:t>edestal</w:t>
            </w:r>
            <w:r>
              <w:rPr>
                <w:sz w:val="20"/>
                <w:szCs w:val="20"/>
              </w:rPr>
              <w:t>s</w:t>
            </w:r>
          </w:p>
        </w:tc>
        <w:tc>
          <w:tcPr>
            <w:tcW w:w="0" w:type="auto"/>
          </w:tcPr>
          <w:p w14:paraId="4F3F60BF" w14:textId="77777777" w:rsidR="005616B6" w:rsidRPr="003646BE" w:rsidRDefault="005616B6" w:rsidP="003646BE">
            <w:pPr>
              <w:jc w:val="right"/>
              <w:rPr>
                <w:sz w:val="20"/>
                <w:szCs w:val="20"/>
              </w:rPr>
            </w:pPr>
            <w:r>
              <w:rPr>
                <w:sz w:val="20"/>
                <w:szCs w:val="20"/>
              </w:rPr>
              <w:t>$442</w:t>
            </w:r>
          </w:p>
        </w:tc>
        <w:tc>
          <w:tcPr>
            <w:tcW w:w="0" w:type="auto"/>
          </w:tcPr>
          <w:p w14:paraId="4D6F71E0" w14:textId="77777777" w:rsidR="005616B6" w:rsidRPr="003646BE" w:rsidRDefault="005616B6" w:rsidP="003646BE">
            <w:pPr>
              <w:jc w:val="right"/>
              <w:rPr>
                <w:sz w:val="20"/>
                <w:szCs w:val="20"/>
              </w:rPr>
            </w:pPr>
            <w:r>
              <w:rPr>
                <w:sz w:val="20"/>
                <w:szCs w:val="20"/>
              </w:rPr>
              <w:t>1.8%</w:t>
            </w:r>
          </w:p>
        </w:tc>
        <w:tc>
          <w:tcPr>
            <w:tcW w:w="0" w:type="auto"/>
          </w:tcPr>
          <w:p w14:paraId="47708D32" w14:textId="77777777" w:rsidR="005616B6" w:rsidRPr="003646BE" w:rsidRDefault="005616B6" w:rsidP="003646BE">
            <w:pPr>
              <w:jc w:val="right"/>
              <w:rPr>
                <w:sz w:val="20"/>
                <w:szCs w:val="20"/>
              </w:rPr>
            </w:pPr>
            <w:r>
              <w:rPr>
                <w:sz w:val="20"/>
                <w:szCs w:val="20"/>
              </w:rPr>
              <w:t>-5.0%</w:t>
            </w:r>
          </w:p>
        </w:tc>
        <w:tc>
          <w:tcPr>
            <w:tcW w:w="0" w:type="auto"/>
          </w:tcPr>
          <w:p w14:paraId="43E58371" w14:textId="77777777" w:rsidR="005616B6" w:rsidRPr="003646BE" w:rsidRDefault="005616B6" w:rsidP="003646BE">
            <w:pPr>
              <w:jc w:val="right"/>
              <w:rPr>
                <w:sz w:val="20"/>
                <w:szCs w:val="20"/>
              </w:rPr>
            </w:pPr>
            <w:r>
              <w:rPr>
                <w:sz w:val="20"/>
                <w:szCs w:val="20"/>
              </w:rPr>
              <w:t>-5.0%</w:t>
            </w:r>
          </w:p>
        </w:tc>
        <w:tc>
          <w:tcPr>
            <w:tcW w:w="0" w:type="auto"/>
          </w:tcPr>
          <w:p w14:paraId="56F05C71" w14:textId="77777777" w:rsidR="005616B6" w:rsidRPr="003646BE" w:rsidRDefault="005616B6" w:rsidP="003646BE">
            <w:pPr>
              <w:jc w:val="right"/>
              <w:rPr>
                <w:sz w:val="20"/>
                <w:szCs w:val="20"/>
              </w:rPr>
            </w:pPr>
            <w:r w:rsidRPr="003646BE">
              <w:rPr>
                <w:sz w:val="20"/>
                <w:szCs w:val="20"/>
              </w:rPr>
              <w:t>0.1%</w:t>
            </w:r>
          </w:p>
        </w:tc>
        <w:tc>
          <w:tcPr>
            <w:tcW w:w="0" w:type="auto"/>
          </w:tcPr>
          <w:p w14:paraId="5E174573" w14:textId="77777777" w:rsidR="005616B6" w:rsidRPr="003646BE" w:rsidRDefault="005616B6" w:rsidP="003646BE">
            <w:pPr>
              <w:jc w:val="right"/>
              <w:rPr>
                <w:sz w:val="20"/>
                <w:szCs w:val="20"/>
              </w:rPr>
            </w:pPr>
            <w:r w:rsidRPr="003646BE">
              <w:rPr>
                <w:sz w:val="20"/>
                <w:szCs w:val="20"/>
              </w:rPr>
              <w:t>0.7%</w:t>
            </w:r>
          </w:p>
        </w:tc>
        <w:tc>
          <w:tcPr>
            <w:tcW w:w="0" w:type="auto"/>
          </w:tcPr>
          <w:p w14:paraId="3DD023EB" w14:textId="77777777" w:rsidR="005616B6" w:rsidRPr="003646BE" w:rsidRDefault="005616B6" w:rsidP="003646BE">
            <w:pPr>
              <w:jc w:val="right"/>
              <w:rPr>
                <w:sz w:val="20"/>
                <w:szCs w:val="20"/>
              </w:rPr>
            </w:pPr>
            <w:r>
              <w:rPr>
                <w:sz w:val="20"/>
                <w:szCs w:val="20"/>
              </w:rPr>
              <w:t>$417</w:t>
            </w:r>
          </w:p>
        </w:tc>
        <w:tc>
          <w:tcPr>
            <w:tcW w:w="0" w:type="auto"/>
          </w:tcPr>
          <w:p w14:paraId="74FED1B9" w14:textId="77777777" w:rsidR="005616B6" w:rsidRPr="003646BE" w:rsidRDefault="00A8437C" w:rsidP="003646BE">
            <w:pPr>
              <w:jc w:val="right"/>
              <w:rPr>
                <w:sz w:val="20"/>
                <w:szCs w:val="20"/>
              </w:rPr>
            </w:pPr>
            <w:r>
              <w:rPr>
                <w:sz w:val="20"/>
                <w:szCs w:val="20"/>
              </w:rPr>
              <w:t>$419</w:t>
            </w:r>
          </w:p>
        </w:tc>
      </w:tr>
      <w:tr w:rsidR="005616B6" w:rsidRPr="003646BE" w14:paraId="3E06C167" w14:textId="77777777" w:rsidTr="003646BE">
        <w:tc>
          <w:tcPr>
            <w:tcW w:w="0" w:type="auto"/>
          </w:tcPr>
          <w:p w14:paraId="6EE82575" w14:textId="77777777" w:rsidR="005616B6" w:rsidRPr="003646BE" w:rsidRDefault="005616B6" w:rsidP="00125C7B">
            <w:pPr>
              <w:rPr>
                <w:sz w:val="20"/>
                <w:szCs w:val="20"/>
              </w:rPr>
            </w:pPr>
            <w:r>
              <w:rPr>
                <w:sz w:val="20"/>
                <w:szCs w:val="20"/>
              </w:rPr>
              <w:t>Splitter</w:t>
            </w:r>
            <w:r w:rsidR="005C0CBD">
              <w:rPr>
                <w:sz w:val="20"/>
                <w:szCs w:val="20"/>
              </w:rPr>
              <w:t>s</w:t>
            </w:r>
          </w:p>
        </w:tc>
        <w:tc>
          <w:tcPr>
            <w:tcW w:w="0" w:type="auto"/>
          </w:tcPr>
          <w:p w14:paraId="5AF1FE5A" w14:textId="77777777" w:rsidR="005616B6" w:rsidRPr="003646BE" w:rsidRDefault="005616B6" w:rsidP="005616B6">
            <w:pPr>
              <w:jc w:val="right"/>
              <w:rPr>
                <w:sz w:val="20"/>
                <w:szCs w:val="20"/>
              </w:rPr>
            </w:pPr>
            <w:r>
              <w:rPr>
                <w:sz w:val="20"/>
                <w:szCs w:val="20"/>
              </w:rPr>
              <w:t>$1,589</w:t>
            </w:r>
          </w:p>
        </w:tc>
        <w:tc>
          <w:tcPr>
            <w:tcW w:w="0" w:type="auto"/>
          </w:tcPr>
          <w:p w14:paraId="10B79E7C" w14:textId="77777777" w:rsidR="005616B6" w:rsidRPr="003646BE" w:rsidRDefault="005616B6" w:rsidP="003646BE">
            <w:pPr>
              <w:jc w:val="right"/>
              <w:rPr>
                <w:sz w:val="20"/>
                <w:szCs w:val="20"/>
              </w:rPr>
            </w:pPr>
            <w:r>
              <w:rPr>
                <w:sz w:val="20"/>
                <w:szCs w:val="20"/>
              </w:rPr>
              <w:t>6.3%</w:t>
            </w:r>
          </w:p>
        </w:tc>
        <w:tc>
          <w:tcPr>
            <w:tcW w:w="0" w:type="auto"/>
          </w:tcPr>
          <w:p w14:paraId="6F47C214" w14:textId="77777777" w:rsidR="005616B6" w:rsidRPr="003646BE" w:rsidRDefault="005616B6" w:rsidP="003646BE">
            <w:pPr>
              <w:jc w:val="right"/>
              <w:rPr>
                <w:sz w:val="20"/>
                <w:szCs w:val="20"/>
              </w:rPr>
            </w:pPr>
            <w:r>
              <w:rPr>
                <w:sz w:val="20"/>
                <w:szCs w:val="20"/>
              </w:rPr>
              <w:t>-5.0%</w:t>
            </w:r>
          </w:p>
        </w:tc>
        <w:tc>
          <w:tcPr>
            <w:tcW w:w="0" w:type="auto"/>
          </w:tcPr>
          <w:p w14:paraId="2EED5A99" w14:textId="77777777" w:rsidR="005616B6" w:rsidRPr="003646BE" w:rsidRDefault="005616B6" w:rsidP="003646BE">
            <w:pPr>
              <w:jc w:val="right"/>
              <w:rPr>
                <w:sz w:val="20"/>
                <w:szCs w:val="20"/>
              </w:rPr>
            </w:pPr>
            <w:r>
              <w:rPr>
                <w:sz w:val="20"/>
                <w:szCs w:val="20"/>
              </w:rPr>
              <w:t>-5.0%</w:t>
            </w:r>
          </w:p>
        </w:tc>
        <w:tc>
          <w:tcPr>
            <w:tcW w:w="0" w:type="auto"/>
          </w:tcPr>
          <w:p w14:paraId="62B9779F" w14:textId="77777777" w:rsidR="005616B6" w:rsidRPr="003646BE" w:rsidRDefault="005616B6" w:rsidP="003646BE">
            <w:pPr>
              <w:jc w:val="right"/>
              <w:rPr>
                <w:sz w:val="20"/>
                <w:szCs w:val="20"/>
              </w:rPr>
            </w:pPr>
            <w:r w:rsidRPr="003646BE">
              <w:rPr>
                <w:sz w:val="20"/>
                <w:szCs w:val="20"/>
              </w:rPr>
              <w:t>0.1%</w:t>
            </w:r>
          </w:p>
        </w:tc>
        <w:tc>
          <w:tcPr>
            <w:tcW w:w="0" w:type="auto"/>
          </w:tcPr>
          <w:p w14:paraId="002EF904" w14:textId="77777777" w:rsidR="005616B6" w:rsidRPr="003646BE" w:rsidRDefault="005616B6" w:rsidP="003646BE">
            <w:pPr>
              <w:jc w:val="right"/>
              <w:rPr>
                <w:sz w:val="20"/>
                <w:szCs w:val="20"/>
              </w:rPr>
            </w:pPr>
            <w:r w:rsidRPr="003646BE">
              <w:rPr>
                <w:sz w:val="20"/>
                <w:szCs w:val="20"/>
              </w:rPr>
              <w:t>0.7%</w:t>
            </w:r>
          </w:p>
        </w:tc>
        <w:tc>
          <w:tcPr>
            <w:tcW w:w="0" w:type="auto"/>
          </w:tcPr>
          <w:p w14:paraId="2513B14C" w14:textId="77777777" w:rsidR="005616B6" w:rsidRPr="003646BE" w:rsidRDefault="005616B6" w:rsidP="003646BE">
            <w:pPr>
              <w:jc w:val="right"/>
              <w:rPr>
                <w:sz w:val="20"/>
                <w:szCs w:val="20"/>
              </w:rPr>
            </w:pPr>
            <w:r>
              <w:rPr>
                <w:sz w:val="20"/>
                <w:szCs w:val="20"/>
              </w:rPr>
              <w:t>$1,499</w:t>
            </w:r>
          </w:p>
        </w:tc>
        <w:tc>
          <w:tcPr>
            <w:tcW w:w="0" w:type="auto"/>
          </w:tcPr>
          <w:p w14:paraId="7F8575D7" w14:textId="77777777" w:rsidR="005616B6" w:rsidRPr="003646BE" w:rsidRDefault="00A8437C" w:rsidP="003646BE">
            <w:pPr>
              <w:jc w:val="right"/>
              <w:rPr>
                <w:sz w:val="20"/>
                <w:szCs w:val="20"/>
              </w:rPr>
            </w:pPr>
            <w:r>
              <w:rPr>
                <w:sz w:val="20"/>
                <w:szCs w:val="20"/>
              </w:rPr>
              <w:t>$1,509</w:t>
            </w:r>
          </w:p>
        </w:tc>
      </w:tr>
      <w:tr w:rsidR="005616B6" w:rsidRPr="003646BE" w14:paraId="55577145" w14:textId="77777777" w:rsidTr="003646BE">
        <w:tc>
          <w:tcPr>
            <w:tcW w:w="0" w:type="auto"/>
          </w:tcPr>
          <w:p w14:paraId="24364F7B" w14:textId="77777777" w:rsidR="005616B6" w:rsidRPr="003646BE" w:rsidRDefault="005616B6" w:rsidP="00125C7B">
            <w:pPr>
              <w:rPr>
                <w:sz w:val="20"/>
                <w:szCs w:val="20"/>
              </w:rPr>
            </w:pPr>
            <w:r w:rsidRPr="003646BE">
              <w:rPr>
                <w:sz w:val="20"/>
                <w:szCs w:val="20"/>
              </w:rPr>
              <w:t>Electronics</w:t>
            </w:r>
          </w:p>
        </w:tc>
        <w:tc>
          <w:tcPr>
            <w:tcW w:w="0" w:type="auto"/>
          </w:tcPr>
          <w:p w14:paraId="5293EAF6" w14:textId="77777777" w:rsidR="005616B6" w:rsidRPr="003646BE" w:rsidRDefault="005616B6" w:rsidP="005616B6">
            <w:pPr>
              <w:jc w:val="right"/>
              <w:rPr>
                <w:sz w:val="20"/>
                <w:szCs w:val="20"/>
              </w:rPr>
            </w:pPr>
            <w:r w:rsidRPr="003646BE">
              <w:rPr>
                <w:sz w:val="20"/>
                <w:szCs w:val="20"/>
              </w:rPr>
              <w:t>$</w:t>
            </w:r>
            <w:r>
              <w:rPr>
                <w:sz w:val="20"/>
                <w:szCs w:val="20"/>
              </w:rPr>
              <w:t>847</w:t>
            </w:r>
          </w:p>
        </w:tc>
        <w:tc>
          <w:tcPr>
            <w:tcW w:w="0" w:type="auto"/>
          </w:tcPr>
          <w:p w14:paraId="0FA9D1F0" w14:textId="77777777" w:rsidR="005616B6" w:rsidRPr="003646BE" w:rsidRDefault="005616B6" w:rsidP="003646BE">
            <w:pPr>
              <w:jc w:val="right"/>
              <w:rPr>
                <w:sz w:val="20"/>
                <w:szCs w:val="20"/>
              </w:rPr>
            </w:pPr>
            <w:r>
              <w:rPr>
                <w:sz w:val="20"/>
                <w:szCs w:val="20"/>
              </w:rPr>
              <w:t>3.4</w:t>
            </w:r>
            <w:r w:rsidRPr="003646BE">
              <w:rPr>
                <w:sz w:val="20"/>
                <w:szCs w:val="20"/>
              </w:rPr>
              <w:t>%</w:t>
            </w:r>
          </w:p>
        </w:tc>
        <w:tc>
          <w:tcPr>
            <w:tcW w:w="0" w:type="auto"/>
          </w:tcPr>
          <w:p w14:paraId="00E78D41" w14:textId="77777777" w:rsidR="005616B6" w:rsidRPr="003646BE" w:rsidRDefault="005616B6" w:rsidP="003646BE">
            <w:pPr>
              <w:jc w:val="right"/>
              <w:rPr>
                <w:sz w:val="20"/>
                <w:szCs w:val="20"/>
              </w:rPr>
            </w:pPr>
            <w:r w:rsidRPr="003646BE">
              <w:rPr>
                <w:sz w:val="20"/>
                <w:szCs w:val="20"/>
              </w:rPr>
              <w:t>-</w:t>
            </w:r>
            <w:r>
              <w:rPr>
                <w:sz w:val="20"/>
                <w:szCs w:val="20"/>
              </w:rPr>
              <w:t>3</w:t>
            </w:r>
            <w:r w:rsidRPr="003646BE">
              <w:rPr>
                <w:sz w:val="20"/>
                <w:szCs w:val="20"/>
              </w:rPr>
              <w:t>0</w:t>
            </w:r>
            <w:r w:rsidR="005B7E64">
              <w:rPr>
                <w:sz w:val="20"/>
                <w:szCs w:val="20"/>
              </w:rPr>
              <w:t>.0</w:t>
            </w:r>
            <w:r w:rsidRPr="003646BE">
              <w:rPr>
                <w:sz w:val="20"/>
                <w:szCs w:val="20"/>
              </w:rPr>
              <w:t>%</w:t>
            </w:r>
          </w:p>
        </w:tc>
        <w:tc>
          <w:tcPr>
            <w:tcW w:w="0" w:type="auto"/>
          </w:tcPr>
          <w:p w14:paraId="4E229868" w14:textId="77777777" w:rsidR="005616B6" w:rsidRPr="003646BE" w:rsidRDefault="005616B6" w:rsidP="005616B6">
            <w:pPr>
              <w:jc w:val="right"/>
              <w:rPr>
                <w:sz w:val="20"/>
                <w:szCs w:val="20"/>
              </w:rPr>
            </w:pPr>
            <w:r w:rsidRPr="003646BE">
              <w:rPr>
                <w:sz w:val="20"/>
                <w:szCs w:val="20"/>
              </w:rPr>
              <w:t>-</w:t>
            </w:r>
            <w:r>
              <w:rPr>
                <w:sz w:val="20"/>
                <w:szCs w:val="20"/>
              </w:rPr>
              <w:t>10</w:t>
            </w:r>
            <w:r w:rsidR="005B7E64">
              <w:rPr>
                <w:sz w:val="20"/>
                <w:szCs w:val="20"/>
              </w:rPr>
              <w:t>.0</w:t>
            </w:r>
            <w:r w:rsidRPr="003646BE">
              <w:rPr>
                <w:sz w:val="20"/>
                <w:szCs w:val="20"/>
              </w:rPr>
              <w:t>%</w:t>
            </w:r>
          </w:p>
        </w:tc>
        <w:tc>
          <w:tcPr>
            <w:tcW w:w="0" w:type="auto"/>
          </w:tcPr>
          <w:p w14:paraId="203DA48D" w14:textId="77777777" w:rsidR="005616B6" w:rsidRPr="003646BE" w:rsidRDefault="005616B6" w:rsidP="003646BE">
            <w:pPr>
              <w:jc w:val="right"/>
              <w:rPr>
                <w:sz w:val="20"/>
                <w:szCs w:val="20"/>
              </w:rPr>
            </w:pPr>
            <w:r w:rsidRPr="003646BE">
              <w:rPr>
                <w:sz w:val="20"/>
                <w:szCs w:val="20"/>
              </w:rPr>
              <w:t>0.1%</w:t>
            </w:r>
          </w:p>
        </w:tc>
        <w:tc>
          <w:tcPr>
            <w:tcW w:w="0" w:type="auto"/>
          </w:tcPr>
          <w:p w14:paraId="77DE8132" w14:textId="77777777" w:rsidR="005616B6" w:rsidRPr="003646BE" w:rsidRDefault="005616B6" w:rsidP="003646BE">
            <w:pPr>
              <w:jc w:val="right"/>
              <w:rPr>
                <w:sz w:val="20"/>
                <w:szCs w:val="20"/>
              </w:rPr>
            </w:pPr>
            <w:r w:rsidRPr="003646BE">
              <w:rPr>
                <w:sz w:val="20"/>
                <w:szCs w:val="20"/>
              </w:rPr>
              <w:t>0.7%</w:t>
            </w:r>
          </w:p>
        </w:tc>
        <w:tc>
          <w:tcPr>
            <w:tcW w:w="0" w:type="auto"/>
          </w:tcPr>
          <w:p w14:paraId="2E0F6269" w14:textId="77777777" w:rsidR="005616B6" w:rsidRPr="003646BE" w:rsidRDefault="005616B6" w:rsidP="005616B6">
            <w:pPr>
              <w:jc w:val="right"/>
              <w:rPr>
                <w:sz w:val="20"/>
                <w:szCs w:val="20"/>
              </w:rPr>
            </w:pPr>
            <w:r w:rsidRPr="003646BE">
              <w:rPr>
                <w:sz w:val="20"/>
                <w:szCs w:val="20"/>
              </w:rPr>
              <w:t>$</w:t>
            </w:r>
            <w:r>
              <w:rPr>
                <w:sz w:val="20"/>
                <w:szCs w:val="20"/>
              </w:rPr>
              <w:t>588</w:t>
            </w:r>
          </w:p>
        </w:tc>
        <w:tc>
          <w:tcPr>
            <w:tcW w:w="0" w:type="auto"/>
          </w:tcPr>
          <w:p w14:paraId="1F3F2ABE" w14:textId="77777777" w:rsidR="005616B6" w:rsidRPr="003646BE" w:rsidRDefault="005616B6" w:rsidP="003646BE">
            <w:pPr>
              <w:jc w:val="right"/>
              <w:rPr>
                <w:sz w:val="20"/>
                <w:szCs w:val="20"/>
              </w:rPr>
            </w:pPr>
            <w:r w:rsidRPr="003646BE">
              <w:rPr>
                <w:sz w:val="20"/>
                <w:szCs w:val="20"/>
              </w:rPr>
              <w:t>$</w:t>
            </w:r>
            <w:r w:rsidR="00A8437C">
              <w:rPr>
                <w:sz w:val="20"/>
                <w:szCs w:val="20"/>
              </w:rPr>
              <w:t>762</w:t>
            </w:r>
          </w:p>
        </w:tc>
      </w:tr>
      <w:tr w:rsidR="005616B6" w:rsidRPr="003646BE" w14:paraId="2872B1CE" w14:textId="77777777" w:rsidTr="003646BE">
        <w:tc>
          <w:tcPr>
            <w:tcW w:w="0" w:type="auto"/>
          </w:tcPr>
          <w:p w14:paraId="16A15164" w14:textId="77777777" w:rsidR="005616B6" w:rsidRPr="003646BE" w:rsidRDefault="005616B6" w:rsidP="00125C7B">
            <w:pPr>
              <w:rPr>
                <w:sz w:val="20"/>
                <w:szCs w:val="20"/>
              </w:rPr>
            </w:pPr>
            <w:r w:rsidRPr="003646BE">
              <w:rPr>
                <w:sz w:val="20"/>
                <w:szCs w:val="20"/>
              </w:rPr>
              <w:t>Land/Bldgs</w:t>
            </w:r>
          </w:p>
        </w:tc>
        <w:tc>
          <w:tcPr>
            <w:tcW w:w="0" w:type="auto"/>
          </w:tcPr>
          <w:p w14:paraId="45BC1D54" w14:textId="77777777" w:rsidR="005616B6" w:rsidRPr="003646BE" w:rsidRDefault="005616B6" w:rsidP="003646BE">
            <w:pPr>
              <w:jc w:val="right"/>
              <w:rPr>
                <w:sz w:val="20"/>
                <w:szCs w:val="20"/>
              </w:rPr>
            </w:pPr>
            <w:r w:rsidRPr="003646BE">
              <w:rPr>
                <w:sz w:val="20"/>
                <w:szCs w:val="20"/>
              </w:rPr>
              <w:t>$1,526</w:t>
            </w:r>
          </w:p>
        </w:tc>
        <w:tc>
          <w:tcPr>
            <w:tcW w:w="0" w:type="auto"/>
          </w:tcPr>
          <w:p w14:paraId="5CBDFB9A" w14:textId="77777777" w:rsidR="005616B6" w:rsidRPr="003646BE" w:rsidRDefault="005616B6" w:rsidP="003646BE">
            <w:pPr>
              <w:jc w:val="right"/>
              <w:rPr>
                <w:sz w:val="20"/>
                <w:szCs w:val="20"/>
              </w:rPr>
            </w:pPr>
            <w:r w:rsidRPr="003646BE">
              <w:rPr>
                <w:sz w:val="20"/>
                <w:szCs w:val="20"/>
              </w:rPr>
              <w:t>6</w:t>
            </w:r>
            <w:r>
              <w:rPr>
                <w:sz w:val="20"/>
                <w:szCs w:val="20"/>
              </w:rPr>
              <w:t>.0</w:t>
            </w:r>
            <w:r w:rsidRPr="003646BE">
              <w:rPr>
                <w:sz w:val="20"/>
                <w:szCs w:val="20"/>
              </w:rPr>
              <w:t>%</w:t>
            </w:r>
          </w:p>
        </w:tc>
        <w:tc>
          <w:tcPr>
            <w:tcW w:w="0" w:type="auto"/>
          </w:tcPr>
          <w:p w14:paraId="7F6A25D9" w14:textId="77777777" w:rsidR="005616B6" w:rsidRPr="003646BE" w:rsidRDefault="005616B6" w:rsidP="003646BE">
            <w:pPr>
              <w:jc w:val="right"/>
              <w:rPr>
                <w:sz w:val="20"/>
                <w:szCs w:val="20"/>
              </w:rPr>
            </w:pPr>
            <w:r w:rsidRPr="003646BE">
              <w:rPr>
                <w:sz w:val="20"/>
                <w:szCs w:val="20"/>
              </w:rPr>
              <w:t>-5.1%</w:t>
            </w:r>
          </w:p>
        </w:tc>
        <w:tc>
          <w:tcPr>
            <w:tcW w:w="0" w:type="auto"/>
          </w:tcPr>
          <w:p w14:paraId="263AED0B" w14:textId="77777777" w:rsidR="005616B6" w:rsidRPr="003646BE" w:rsidRDefault="005616B6" w:rsidP="003646BE">
            <w:pPr>
              <w:jc w:val="right"/>
              <w:rPr>
                <w:sz w:val="20"/>
                <w:szCs w:val="20"/>
              </w:rPr>
            </w:pPr>
            <w:r w:rsidRPr="003646BE">
              <w:rPr>
                <w:sz w:val="20"/>
                <w:szCs w:val="20"/>
              </w:rPr>
              <w:t>3.4%</w:t>
            </w:r>
          </w:p>
        </w:tc>
        <w:tc>
          <w:tcPr>
            <w:tcW w:w="0" w:type="auto"/>
          </w:tcPr>
          <w:p w14:paraId="3DA49889" w14:textId="77777777" w:rsidR="005616B6" w:rsidRPr="003646BE" w:rsidRDefault="005616B6" w:rsidP="003646BE">
            <w:pPr>
              <w:jc w:val="right"/>
              <w:rPr>
                <w:sz w:val="20"/>
                <w:szCs w:val="20"/>
              </w:rPr>
            </w:pPr>
            <w:r w:rsidRPr="003646BE">
              <w:rPr>
                <w:sz w:val="20"/>
                <w:szCs w:val="20"/>
              </w:rPr>
              <w:t>0.1%</w:t>
            </w:r>
          </w:p>
        </w:tc>
        <w:tc>
          <w:tcPr>
            <w:tcW w:w="0" w:type="auto"/>
          </w:tcPr>
          <w:p w14:paraId="6E7C9BEE" w14:textId="77777777" w:rsidR="005616B6" w:rsidRPr="003646BE" w:rsidRDefault="005616B6" w:rsidP="003646BE">
            <w:pPr>
              <w:jc w:val="right"/>
              <w:rPr>
                <w:sz w:val="20"/>
                <w:szCs w:val="20"/>
              </w:rPr>
            </w:pPr>
            <w:r w:rsidRPr="003646BE">
              <w:rPr>
                <w:sz w:val="20"/>
                <w:szCs w:val="20"/>
              </w:rPr>
              <w:t>0.7%</w:t>
            </w:r>
          </w:p>
        </w:tc>
        <w:tc>
          <w:tcPr>
            <w:tcW w:w="0" w:type="auto"/>
          </w:tcPr>
          <w:p w14:paraId="3D76E356" w14:textId="77777777" w:rsidR="005616B6" w:rsidRPr="003646BE" w:rsidRDefault="005616B6" w:rsidP="003646BE">
            <w:pPr>
              <w:jc w:val="right"/>
              <w:rPr>
                <w:sz w:val="20"/>
                <w:szCs w:val="20"/>
              </w:rPr>
            </w:pPr>
            <w:r w:rsidRPr="003646BE">
              <w:rPr>
                <w:sz w:val="20"/>
                <w:szCs w:val="20"/>
              </w:rPr>
              <w:t>$1,437</w:t>
            </w:r>
          </w:p>
        </w:tc>
        <w:tc>
          <w:tcPr>
            <w:tcW w:w="0" w:type="auto"/>
          </w:tcPr>
          <w:p w14:paraId="14FC270C" w14:textId="77777777" w:rsidR="005616B6" w:rsidRPr="003646BE" w:rsidRDefault="005616B6" w:rsidP="003646BE">
            <w:pPr>
              <w:jc w:val="right"/>
              <w:rPr>
                <w:sz w:val="20"/>
                <w:szCs w:val="20"/>
              </w:rPr>
            </w:pPr>
            <w:r w:rsidRPr="003646BE">
              <w:rPr>
                <w:sz w:val="20"/>
                <w:szCs w:val="20"/>
              </w:rPr>
              <w:t>$1,577</w:t>
            </w:r>
          </w:p>
        </w:tc>
      </w:tr>
      <w:tr w:rsidR="005616B6" w:rsidRPr="003646BE" w14:paraId="6DA09455" w14:textId="77777777" w:rsidTr="00A663E3">
        <w:tc>
          <w:tcPr>
            <w:tcW w:w="0" w:type="auto"/>
          </w:tcPr>
          <w:p w14:paraId="531BF963" w14:textId="77777777" w:rsidR="005616B6" w:rsidRPr="003646BE" w:rsidRDefault="005616B6" w:rsidP="00125C7B">
            <w:pPr>
              <w:rPr>
                <w:sz w:val="20"/>
                <w:szCs w:val="20"/>
              </w:rPr>
            </w:pPr>
            <w:r w:rsidRPr="003646BE">
              <w:rPr>
                <w:sz w:val="20"/>
                <w:szCs w:val="20"/>
              </w:rPr>
              <w:t>Total</w:t>
            </w:r>
          </w:p>
        </w:tc>
        <w:tc>
          <w:tcPr>
            <w:tcW w:w="0" w:type="auto"/>
          </w:tcPr>
          <w:p w14:paraId="733B24BA" w14:textId="77777777" w:rsidR="005616B6" w:rsidRPr="003646BE" w:rsidRDefault="005616B6" w:rsidP="003646BE">
            <w:pPr>
              <w:jc w:val="right"/>
              <w:rPr>
                <w:b/>
                <w:sz w:val="20"/>
                <w:szCs w:val="20"/>
              </w:rPr>
            </w:pPr>
            <w:r w:rsidRPr="003646BE">
              <w:rPr>
                <w:b/>
                <w:sz w:val="20"/>
                <w:szCs w:val="20"/>
              </w:rPr>
              <w:t>$25,240</w:t>
            </w:r>
          </w:p>
        </w:tc>
        <w:tc>
          <w:tcPr>
            <w:tcW w:w="0" w:type="auto"/>
          </w:tcPr>
          <w:p w14:paraId="3EFCE4A3" w14:textId="77777777" w:rsidR="005616B6" w:rsidRPr="003646BE" w:rsidRDefault="005616B6" w:rsidP="003646BE">
            <w:pPr>
              <w:jc w:val="right"/>
              <w:rPr>
                <w:b/>
                <w:sz w:val="20"/>
                <w:szCs w:val="20"/>
              </w:rPr>
            </w:pPr>
            <w:r w:rsidRPr="003646BE">
              <w:rPr>
                <w:b/>
                <w:sz w:val="20"/>
                <w:szCs w:val="20"/>
              </w:rPr>
              <w:t>100%</w:t>
            </w:r>
          </w:p>
        </w:tc>
        <w:tc>
          <w:tcPr>
            <w:tcW w:w="0" w:type="auto"/>
            <w:tcBorders>
              <w:bottom w:val="single" w:sz="4" w:space="0" w:color="auto"/>
            </w:tcBorders>
          </w:tcPr>
          <w:p w14:paraId="06DC1ECE" w14:textId="77777777" w:rsidR="005616B6" w:rsidRPr="003646BE" w:rsidRDefault="005616B6" w:rsidP="003646BE">
            <w:pPr>
              <w:jc w:val="right"/>
              <w:rPr>
                <w:sz w:val="20"/>
                <w:szCs w:val="20"/>
              </w:rPr>
            </w:pPr>
          </w:p>
        </w:tc>
        <w:tc>
          <w:tcPr>
            <w:tcW w:w="0" w:type="auto"/>
            <w:tcBorders>
              <w:bottom w:val="single" w:sz="4" w:space="0" w:color="auto"/>
            </w:tcBorders>
          </w:tcPr>
          <w:p w14:paraId="4596734B" w14:textId="77777777" w:rsidR="005616B6" w:rsidRPr="003646BE" w:rsidRDefault="005616B6" w:rsidP="003646BE">
            <w:pPr>
              <w:jc w:val="right"/>
              <w:rPr>
                <w:sz w:val="20"/>
                <w:szCs w:val="20"/>
              </w:rPr>
            </w:pPr>
          </w:p>
        </w:tc>
        <w:tc>
          <w:tcPr>
            <w:tcW w:w="0" w:type="auto"/>
            <w:tcBorders>
              <w:bottom w:val="single" w:sz="4" w:space="0" w:color="auto"/>
            </w:tcBorders>
          </w:tcPr>
          <w:p w14:paraId="37D1CF66" w14:textId="77777777" w:rsidR="005616B6" w:rsidRPr="003646BE" w:rsidRDefault="005616B6" w:rsidP="003646BE">
            <w:pPr>
              <w:jc w:val="right"/>
              <w:rPr>
                <w:sz w:val="20"/>
                <w:szCs w:val="20"/>
              </w:rPr>
            </w:pPr>
          </w:p>
        </w:tc>
        <w:tc>
          <w:tcPr>
            <w:tcW w:w="0" w:type="auto"/>
            <w:tcBorders>
              <w:bottom w:val="single" w:sz="4" w:space="0" w:color="auto"/>
            </w:tcBorders>
          </w:tcPr>
          <w:p w14:paraId="070E5D04" w14:textId="77777777" w:rsidR="005616B6" w:rsidRPr="003646BE" w:rsidRDefault="005616B6" w:rsidP="003646BE">
            <w:pPr>
              <w:jc w:val="right"/>
              <w:rPr>
                <w:sz w:val="20"/>
                <w:szCs w:val="20"/>
              </w:rPr>
            </w:pPr>
          </w:p>
        </w:tc>
        <w:tc>
          <w:tcPr>
            <w:tcW w:w="0" w:type="auto"/>
          </w:tcPr>
          <w:p w14:paraId="4D131794" w14:textId="77777777" w:rsidR="005616B6" w:rsidRPr="003646BE" w:rsidRDefault="005616B6" w:rsidP="00A8437C">
            <w:pPr>
              <w:jc w:val="right"/>
              <w:rPr>
                <w:b/>
                <w:sz w:val="20"/>
                <w:szCs w:val="20"/>
              </w:rPr>
            </w:pPr>
            <w:r w:rsidRPr="003646BE">
              <w:rPr>
                <w:b/>
                <w:sz w:val="20"/>
                <w:szCs w:val="20"/>
              </w:rPr>
              <w:t>$24,</w:t>
            </w:r>
            <w:r w:rsidR="00A8437C">
              <w:rPr>
                <w:b/>
                <w:sz w:val="20"/>
                <w:szCs w:val="20"/>
              </w:rPr>
              <w:t>706</w:t>
            </w:r>
          </w:p>
        </w:tc>
        <w:tc>
          <w:tcPr>
            <w:tcW w:w="0" w:type="auto"/>
          </w:tcPr>
          <w:p w14:paraId="707C5A49" w14:textId="77777777" w:rsidR="005616B6" w:rsidRPr="003646BE" w:rsidRDefault="005616B6" w:rsidP="003646BE">
            <w:pPr>
              <w:jc w:val="right"/>
              <w:rPr>
                <w:b/>
                <w:sz w:val="20"/>
                <w:szCs w:val="20"/>
              </w:rPr>
            </w:pPr>
            <w:r w:rsidRPr="003646BE">
              <w:rPr>
                <w:b/>
                <w:sz w:val="20"/>
                <w:szCs w:val="20"/>
              </w:rPr>
              <w:t>$25,6</w:t>
            </w:r>
            <w:r w:rsidR="00A8437C">
              <w:rPr>
                <w:b/>
                <w:sz w:val="20"/>
                <w:szCs w:val="20"/>
              </w:rPr>
              <w:t>4</w:t>
            </w:r>
            <w:r w:rsidRPr="003646BE">
              <w:rPr>
                <w:b/>
                <w:sz w:val="20"/>
                <w:szCs w:val="20"/>
              </w:rPr>
              <w:t>2</w:t>
            </w:r>
          </w:p>
        </w:tc>
      </w:tr>
      <w:tr w:rsidR="00A8437C" w:rsidRPr="003646BE" w14:paraId="5F8DEF68" w14:textId="77777777" w:rsidTr="00A663E3">
        <w:tc>
          <w:tcPr>
            <w:tcW w:w="0" w:type="auto"/>
            <w:tcBorders>
              <w:left w:val="nil"/>
              <w:bottom w:val="nil"/>
              <w:right w:val="nil"/>
            </w:tcBorders>
          </w:tcPr>
          <w:p w14:paraId="44677DC9" w14:textId="77777777" w:rsidR="005616B6" w:rsidRPr="003646BE" w:rsidRDefault="005616B6" w:rsidP="00125C7B">
            <w:pPr>
              <w:rPr>
                <w:sz w:val="20"/>
                <w:szCs w:val="20"/>
              </w:rPr>
            </w:pPr>
          </w:p>
        </w:tc>
        <w:tc>
          <w:tcPr>
            <w:tcW w:w="0" w:type="auto"/>
            <w:tcBorders>
              <w:left w:val="nil"/>
              <w:bottom w:val="nil"/>
              <w:right w:val="nil"/>
            </w:tcBorders>
          </w:tcPr>
          <w:p w14:paraId="51515A11" w14:textId="77777777" w:rsidR="005616B6" w:rsidRPr="003646BE" w:rsidRDefault="005616B6" w:rsidP="003646BE">
            <w:pPr>
              <w:jc w:val="right"/>
              <w:rPr>
                <w:sz w:val="20"/>
                <w:szCs w:val="20"/>
              </w:rPr>
            </w:pPr>
          </w:p>
        </w:tc>
        <w:tc>
          <w:tcPr>
            <w:tcW w:w="0" w:type="auto"/>
            <w:tcBorders>
              <w:left w:val="nil"/>
              <w:bottom w:val="nil"/>
              <w:right w:val="single" w:sz="4" w:space="0" w:color="auto"/>
            </w:tcBorders>
          </w:tcPr>
          <w:p w14:paraId="38F9140B" w14:textId="77777777" w:rsidR="005616B6" w:rsidRPr="003646BE" w:rsidRDefault="005616B6" w:rsidP="003646BE">
            <w:pPr>
              <w:jc w:val="right"/>
              <w:rPr>
                <w:sz w:val="20"/>
                <w:szCs w:val="20"/>
              </w:rPr>
            </w:pPr>
          </w:p>
        </w:tc>
        <w:tc>
          <w:tcPr>
            <w:tcW w:w="0" w:type="auto"/>
            <w:gridSpan w:val="4"/>
            <w:tcBorders>
              <w:left w:val="single" w:sz="4" w:space="0" w:color="auto"/>
              <w:bottom w:val="single" w:sz="4" w:space="0" w:color="auto"/>
            </w:tcBorders>
          </w:tcPr>
          <w:p w14:paraId="4682C9FB" w14:textId="77777777" w:rsidR="005616B6" w:rsidRPr="00A663E3" w:rsidRDefault="005616B6" w:rsidP="003646BE">
            <w:pPr>
              <w:jc w:val="right"/>
              <w:rPr>
                <w:b/>
                <w:color w:val="C0504D"/>
                <w:sz w:val="20"/>
                <w:szCs w:val="20"/>
              </w:rPr>
            </w:pPr>
            <w:r w:rsidRPr="00A663E3">
              <w:rPr>
                <w:b/>
                <w:color w:val="C0504D"/>
                <w:sz w:val="20"/>
                <w:szCs w:val="20"/>
              </w:rPr>
              <w:t>Percent change from baseline:</w:t>
            </w:r>
          </w:p>
        </w:tc>
        <w:tc>
          <w:tcPr>
            <w:tcW w:w="0" w:type="auto"/>
          </w:tcPr>
          <w:p w14:paraId="228B6FD0" w14:textId="77777777" w:rsidR="005616B6" w:rsidRPr="00A663E3" w:rsidRDefault="005616B6" w:rsidP="00A8437C">
            <w:pPr>
              <w:jc w:val="right"/>
              <w:rPr>
                <w:b/>
                <w:color w:val="C0504D"/>
                <w:sz w:val="20"/>
                <w:szCs w:val="20"/>
              </w:rPr>
            </w:pPr>
            <w:r w:rsidRPr="00A663E3">
              <w:rPr>
                <w:b/>
                <w:color w:val="C0504D"/>
                <w:sz w:val="20"/>
                <w:szCs w:val="20"/>
              </w:rPr>
              <w:t>-</w:t>
            </w:r>
            <w:r w:rsidR="00A8437C">
              <w:rPr>
                <w:b/>
                <w:color w:val="C0504D"/>
                <w:sz w:val="20"/>
                <w:szCs w:val="20"/>
              </w:rPr>
              <w:t>2</w:t>
            </w:r>
            <w:r w:rsidR="00BD082D">
              <w:rPr>
                <w:b/>
                <w:color w:val="C0504D"/>
                <w:sz w:val="20"/>
                <w:szCs w:val="20"/>
              </w:rPr>
              <w:t>.1</w:t>
            </w:r>
            <w:r w:rsidRPr="00A663E3">
              <w:rPr>
                <w:b/>
                <w:color w:val="C0504D"/>
                <w:sz w:val="20"/>
                <w:szCs w:val="20"/>
              </w:rPr>
              <w:t>%</w:t>
            </w:r>
          </w:p>
        </w:tc>
        <w:tc>
          <w:tcPr>
            <w:tcW w:w="0" w:type="auto"/>
          </w:tcPr>
          <w:p w14:paraId="5A4D38EE" w14:textId="77777777" w:rsidR="005616B6" w:rsidRPr="00A663E3" w:rsidRDefault="00BD082D" w:rsidP="003646BE">
            <w:pPr>
              <w:jc w:val="right"/>
              <w:rPr>
                <w:b/>
                <w:color w:val="C0504D"/>
                <w:sz w:val="20"/>
                <w:szCs w:val="20"/>
              </w:rPr>
            </w:pPr>
            <w:r>
              <w:rPr>
                <w:b/>
                <w:color w:val="C0504D"/>
                <w:sz w:val="20"/>
                <w:szCs w:val="20"/>
              </w:rPr>
              <w:t>1.6</w:t>
            </w:r>
            <w:r w:rsidR="005616B6" w:rsidRPr="00A663E3">
              <w:rPr>
                <w:b/>
                <w:color w:val="C0504D"/>
                <w:sz w:val="20"/>
                <w:szCs w:val="20"/>
              </w:rPr>
              <w:t>%</w:t>
            </w:r>
          </w:p>
        </w:tc>
      </w:tr>
    </w:tbl>
    <w:p w14:paraId="632646AA" w14:textId="77777777" w:rsidR="00A663E3" w:rsidRDefault="00A663E3" w:rsidP="00125C7B">
      <w:pPr>
        <w:rPr>
          <w:sz w:val="20"/>
          <w:szCs w:val="20"/>
        </w:rPr>
      </w:pPr>
    </w:p>
    <w:p w14:paraId="4E71D873" w14:textId="77777777" w:rsidR="00645767" w:rsidRPr="00B16498" w:rsidRDefault="00B16498" w:rsidP="00125C7B">
      <w:pPr>
        <w:rPr>
          <w:sz w:val="20"/>
          <w:szCs w:val="20"/>
        </w:rPr>
      </w:pPr>
      <w:r>
        <w:rPr>
          <w:sz w:val="20"/>
          <w:szCs w:val="20"/>
        </w:rPr>
        <w:lastRenderedPageBreak/>
        <w:t xml:space="preserve">* TFP refers to total factor productivity.  </w:t>
      </w:r>
      <w:r w:rsidR="00F235A2">
        <w:rPr>
          <w:sz w:val="20"/>
          <w:szCs w:val="20"/>
        </w:rPr>
        <w:t>If TFP</w:t>
      </w:r>
      <w:r>
        <w:rPr>
          <w:sz w:val="20"/>
          <w:szCs w:val="20"/>
        </w:rPr>
        <w:t xml:space="preserve"> increase</w:t>
      </w:r>
      <w:r w:rsidR="00F235A2">
        <w:rPr>
          <w:sz w:val="20"/>
          <w:szCs w:val="20"/>
        </w:rPr>
        <w:t>s</w:t>
      </w:r>
      <w:r>
        <w:rPr>
          <w:sz w:val="20"/>
          <w:szCs w:val="20"/>
        </w:rPr>
        <w:t xml:space="preserve"> </w:t>
      </w:r>
      <w:r w:rsidR="00F235A2">
        <w:rPr>
          <w:sz w:val="20"/>
          <w:szCs w:val="20"/>
        </w:rPr>
        <w:t>by one percent</w:t>
      </w:r>
      <w:r>
        <w:rPr>
          <w:sz w:val="20"/>
          <w:szCs w:val="20"/>
        </w:rPr>
        <w:t xml:space="preserve">, </w:t>
      </w:r>
      <w:r w:rsidR="00F235A2">
        <w:rPr>
          <w:sz w:val="20"/>
          <w:szCs w:val="20"/>
        </w:rPr>
        <w:t xml:space="preserve">then, </w:t>
      </w:r>
      <w:r>
        <w:rPr>
          <w:sz w:val="20"/>
          <w:szCs w:val="20"/>
        </w:rPr>
        <w:t xml:space="preserve">holding input prices fixed, the same output </w:t>
      </w:r>
      <w:r w:rsidR="00F235A2">
        <w:rPr>
          <w:sz w:val="20"/>
          <w:szCs w:val="20"/>
        </w:rPr>
        <w:t>could be produced with one percent</w:t>
      </w:r>
      <w:r>
        <w:rPr>
          <w:sz w:val="20"/>
          <w:szCs w:val="20"/>
        </w:rPr>
        <w:t xml:space="preserve"> less expense on inputs.</w:t>
      </w:r>
    </w:p>
    <w:p w14:paraId="008994D0" w14:textId="77777777" w:rsidR="00B16498" w:rsidRDefault="00B16498" w:rsidP="00125C7B"/>
    <w:p w14:paraId="391EABA8" w14:textId="1A68DCC5" w:rsidR="00F235A2" w:rsidRDefault="00F235A2" w:rsidP="00125C7B">
      <w:r>
        <w:t>To the extent that either the lower and/or the upper thr</w:t>
      </w:r>
      <w:r w:rsidR="00FC20F9">
        <w:t xml:space="preserve">eshold are raised, </w:t>
      </w:r>
      <w:r w:rsidR="0036296B">
        <w:t xml:space="preserve">(i.e., to the extent support is provided to lines with costs exceeding the top one percent), </w:t>
      </w:r>
      <w:r w:rsidR="00FC20F9">
        <w:t>the</w:t>
      </w:r>
      <w:r>
        <w:t xml:space="preserve"> range </w:t>
      </w:r>
      <w:r w:rsidR="00FC20F9">
        <w:t xml:space="preserve">over which prices are likely to move </w:t>
      </w:r>
      <w:r>
        <w:t>is raised, lowering the extent to which the assumption of zero cost changes potentially understates costs.</w:t>
      </w:r>
      <w:r w:rsidR="004E6F6E">
        <w:rPr>
          <w:rStyle w:val="FootnoteReference"/>
        </w:rPr>
        <w:footnoteReference w:id="13"/>
      </w:r>
    </w:p>
    <w:p w14:paraId="68AC196E" w14:textId="77777777" w:rsidR="00F235A2" w:rsidRPr="00B16498" w:rsidRDefault="00F235A2" w:rsidP="00125C7B"/>
    <w:p w14:paraId="2D588E9E" w14:textId="73C0D994" w:rsidR="00645767" w:rsidRDefault="00645767" w:rsidP="00125C7B">
      <w:r w:rsidRPr="00B86D34">
        <w:rPr>
          <w:i/>
        </w:rPr>
        <w:t>Revenues could rise</w:t>
      </w:r>
      <w:r>
        <w:t xml:space="preserve">. </w:t>
      </w:r>
      <w:r w:rsidR="00935D27">
        <w:t xml:space="preserve"> </w:t>
      </w:r>
      <w:r w:rsidR="00192B6F">
        <w:t>Material increases in</w:t>
      </w:r>
      <w:r w:rsidRPr="00125C7B">
        <w:t xml:space="preserve"> retail prices also seem to be unlikely:</w:t>
      </w:r>
      <w:r>
        <w:t xml:space="preserve"> for example, </w:t>
      </w:r>
      <w:r w:rsidR="006F6383">
        <w:t>in one study</w:t>
      </w:r>
      <w:r w:rsidR="0018238A">
        <w:t>,</w:t>
      </w:r>
      <w:r w:rsidR="00192B6F">
        <w:t xml:space="preserve"> </w:t>
      </w:r>
      <w:r w:rsidR="00104FF3">
        <w:t xml:space="preserve">median </w:t>
      </w:r>
      <w:r>
        <w:t xml:space="preserve">prices </w:t>
      </w:r>
      <w:r w:rsidR="000367BA">
        <w:t xml:space="preserve">from 2004 to 2009 </w:t>
      </w:r>
      <w:r w:rsidR="00DE1A47">
        <w:t xml:space="preserve">fell </w:t>
      </w:r>
      <w:r>
        <w:t xml:space="preserve">for </w:t>
      </w:r>
      <w:r w:rsidR="00192B6F">
        <w:t xml:space="preserve">standalone cable </w:t>
      </w:r>
      <w:r w:rsidR="0056112C">
        <w:t xml:space="preserve">and DSL </w:t>
      </w:r>
      <w:r>
        <w:t>broadband services</w:t>
      </w:r>
      <w:r w:rsidR="006F6383">
        <w:t xml:space="preserve"> </w:t>
      </w:r>
      <w:r w:rsidR="00DE1A47">
        <w:t xml:space="preserve">for all </w:t>
      </w:r>
      <w:r w:rsidR="00AA1068">
        <w:t xml:space="preserve">reported </w:t>
      </w:r>
      <w:r w:rsidR="00DE1A47">
        <w:t>bandwidth</w:t>
      </w:r>
      <w:r w:rsidR="00AA1068">
        <w:t>s</w:t>
      </w:r>
      <w:r w:rsidR="00DE1A47">
        <w:t>, except</w:t>
      </w:r>
      <w:r w:rsidR="006F6383">
        <w:t xml:space="preserve"> one </w:t>
      </w:r>
      <w:r w:rsidR="001565B1">
        <w:t>in which the median price was</w:t>
      </w:r>
      <w:r w:rsidR="00DE1A47">
        <w:t xml:space="preserve"> </w:t>
      </w:r>
      <w:r w:rsidR="006F6383">
        <w:t xml:space="preserve">essentially </w:t>
      </w:r>
      <w:r w:rsidR="001565B1">
        <w:t>unchanged</w:t>
      </w:r>
      <w:r>
        <w:t>.</w:t>
      </w:r>
      <w:r>
        <w:rPr>
          <w:rStyle w:val="FootnoteReference"/>
        </w:rPr>
        <w:footnoteReference w:id="14"/>
      </w:r>
      <w:r w:rsidR="006F09B0">
        <w:t xml:space="preserve"> </w:t>
      </w:r>
      <w:r w:rsidR="006A6FF2">
        <w:t xml:space="preserve"> </w:t>
      </w:r>
      <w:r>
        <w:t xml:space="preserve">To the extent that such declines in retail prices are not considered in the setting of the </w:t>
      </w:r>
      <w:r w:rsidR="00AB5A17">
        <w:t xml:space="preserve">funding </w:t>
      </w:r>
      <w:r>
        <w:t xml:space="preserve">benchmark used to </w:t>
      </w:r>
      <w:r w:rsidR="009B2CB2">
        <w:t xml:space="preserve">determine </w:t>
      </w:r>
      <w:r>
        <w:t>subsidies, over time the model will increasingly understate the subsidy</w:t>
      </w:r>
      <w:r w:rsidR="001B2494">
        <w:t xml:space="preserve"> </w:t>
      </w:r>
      <w:r>
        <w:t>necessary for profitable supply of service.</w:t>
      </w:r>
      <w:r>
        <w:rPr>
          <w:rStyle w:val="FootnoteReference"/>
        </w:rPr>
        <w:footnoteReference w:id="15"/>
      </w:r>
      <w:r w:rsidR="006F09B0">
        <w:t xml:space="preserve">  </w:t>
      </w:r>
      <w:r w:rsidR="00707192">
        <w:t>Similarly</w:t>
      </w:r>
      <w:r>
        <w:t xml:space="preserve">, while a shift toward higher margin services cannot be ruled out, historically </w:t>
      </w:r>
      <w:r w:rsidR="000A4F99">
        <w:t xml:space="preserve">broadband services have seen </w:t>
      </w:r>
      <w:r>
        <w:t>a steady increase in service quality</w:t>
      </w:r>
      <w:r w:rsidR="005D0866">
        <w:t>, such as bandwidth</w:t>
      </w:r>
      <w:r w:rsidR="00CB4AF0">
        <w:t xml:space="preserve"> growth,</w:t>
      </w:r>
      <w:r>
        <w:t xml:space="preserve"> </w:t>
      </w:r>
      <w:r w:rsidR="00F576E4">
        <w:t xml:space="preserve">while </w:t>
      </w:r>
      <w:r w:rsidR="000F6780">
        <w:t>bandwidth</w:t>
      </w:r>
      <w:r w:rsidR="00F576E4">
        <w:t xml:space="preserve">-adjusted </w:t>
      </w:r>
      <w:r>
        <w:t>price</w:t>
      </w:r>
      <w:r w:rsidR="00F576E4">
        <w:t>s</w:t>
      </w:r>
      <w:r>
        <w:t xml:space="preserve"> </w:t>
      </w:r>
      <w:r w:rsidR="00F576E4">
        <w:t>have fallen</w:t>
      </w:r>
      <w:r>
        <w:t>.</w:t>
      </w:r>
      <w:r>
        <w:rPr>
          <w:rStyle w:val="FootnoteReference"/>
        </w:rPr>
        <w:footnoteReference w:id="16"/>
      </w:r>
      <w:r>
        <w:t xml:space="preserve">  Such quality increases are costly to provide, but these costs</w:t>
      </w:r>
      <w:r w:rsidR="005D0866">
        <w:t>,</w:t>
      </w:r>
      <w:r>
        <w:t xml:space="preserve"> </w:t>
      </w:r>
      <w:r w:rsidR="00CB4AF0">
        <w:t xml:space="preserve">as they might be incurred over the long life of a fiber network may </w:t>
      </w:r>
      <w:r>
        <w:t xml:space="preserve">not </w:t>
      </w:r>
      <w:r w:rsidR="00CB4AF0">
        <w:t xml:space="preserve">be fully </w:t>
      </w:r>
      <w:r>
        <w:t xml:space="preserve">accounted for in the model, again leading to an offsetting (though possibly small) understatement of costs.  </w:t>
      </w:r>
      <w:r w:rsidR="00DF698B">
        <w:t>P</w:t>
      </w:r>
      <w:r>
        <w:t xml:space="preserve">opulation growth in rural areas is not likely to be </w:t>
      </w:r>
      <w:r w:rsidR="00992541">
        <w:t>large</w:t>
      </w:r>
      <w:r>
        <w:t>,</w:t>
      </w:r>
      <w:r>
        <w:rPr>
          <w:rStyle w:val="FootnoteReference"/>
        </w:rPr>
        <w:footnoteReference w:id="17"/>
      </w:r>
      <w:r w:rsidR="00945087">
        <w:t xml:space="preserve"> </w:t>
      </w:r>
      <w:r>
        <w:t xml:space="preserve">so is unlikely to </w:t>
      </w:r>
      <w:r w:rsidR="00945087">
        <w:t>lead to a material increase in revenues</w:t>
      </w:r>
      <w:r>
        <w:t>.</w:t>
      </w:r>
      <w:r>
        <w:rPr>
          <w:rStyle w:val="FootnoteReference"/>
        </w:rPr>
        <w:footnoteReference w:id="18"/>
      </w:r>
      <w:r w:rsidR="00DF698B">
        <w:t xml:space="preserve">    </w:t>
      </w:r>
    </w:p>
    <w:p w14:paraId="39640E54" w14:textId="77777777" w:rsidR="00645767" w:rsidRDefault="00645767" w:rsidP="00125C7B"/>
    <w:p w14:paraId="4E867891" w14:textId="26F33037" w:rsidR="00645767" w:rsidRDefault="00645767" w:rsidP="00B03931">
      <w:r>
        <w:t xml:space="preserve">Moreover, to the extent </w:t>
      </w:r>
      <w:r w:rsidR="009D218F">
        <w:t xml:space="preserve">the </w:t>
      </w:r>
      <w:r w:rsidR="00441CB4">
        <w:t xml:space="preserve">funding threshold ultimately selected by the Bureau </w:t>
      </w:r>
      <w:r>
        <w:t>underestimate</w:t>
      </w:r>
      <w:r w:rsidR="009D218F">
        <w:t>s the potential for profit</w:t>
      </w:r>
      <w:r>
        <w:t>, the model</w:t>
      </w:r>
      <w:r w:rsidR="00EC5B27">
        <w:t>-based</w:t>
      </w:r>
      <w:r>
        <w:t xml:space="preserve"> subsidies only </w:t>
      </w:r>
      <w:r w:rsidR="00EC5B27">
        <w:t>will be available</w:t>
      </w:r>
      <w:r>
        <w:t xml:space="preserve"> for five years</w:t>
      </w:r>
      <w:r w:rsidR="00C73B84">
        <w:t xml:space="preserve"> for the carriers that elect to make a state-level commitment</w:t>
      </w:r>
      <w:r>
        <w:t xml:space="preserve">. </w:t>
      </w:r>
      <w:r w:rsidR="00BD7648">
        <w:t xml:space="preserve"> </w:t>
      </w:r>
      <w:r>
        <w:t xml:space="preserve">Accordingly, even if over the course of </w:t>
      </w:r>
      <w:r w:rsidR="000F6780">
        <w:t xml:space="preserve">that </w:t>
      </w:r>
      <w:r>
        <w:t xml:space="preserve">time </w:t>
      </w:r>
      <w:r w:rsidR="000F6780">
        <w:t xml:space="preserve">period </w:t>
      </w:r>
      <w:r>
        <w:t xml:space="preserve">some of the presently </w:t>
      </w:r>
      <w:r w:rsidR="00CB31E4">
        <w:t xml:space="preserve">unserved </w:t>
      </w:r>
      <w:r>
        <w:t xml:space="preserve">areas were to become materially profitable, this would not </w:t>
      </w:r>
      <w:r w:rsidR="00505A9D">
        <w:t xml:space="preserve">likely </w:t>
      </w:r>
      <w:r>
        <w:t xml:space="preserve">be </w:t>
      </w:r>
      <w:r w:rsidR="00505A9D">
        <w:t xml:space="preserve">the case </w:t>
      </w:r>
      <w:r>
        <w:t>for most geographies in the relevant timeframe</w:t>
      </w:r>
      <w:r w:rsidR="000F6780">
        <w:t xml:space="preserve"> for those carriers electing to receive model-based support</w:t>
      </w:r>
      <w:r>
        <w:t xml:space="preserve">, and the </w:t>
      </w:r>
      <w:r w:rsidR="000F6780">
        <w:t xml:space="preserve">competitive process envisioned by the Commission </w:t>
      </w:r>
      <w:r>
        <w:t xml:space="preserve">at the end of the five years could </w:t>
      </w:r>
      <w:r w:rsidR="00505A9D">
        <w:t>provide another opportunity to re-size the subsidy</w:t>
      </w:r>
      <w:r>
        <w:t xml:space="preserve">.  Consequently, carriers are unlikely to be able to </w:t>
      </w:r>
      <w:r w:rsidR="008D6B2F">
        <w:t xml:space="preserve">receive </w:t>
      </w:r>
      <w:r>
        <w:t>subsidies in locations they would have entered anyway.</w:t>
      </w:r>
      <w:r>
        <w:rPr>
          <w:rStyle w:val="FootnoteReference"/>
        </w:rPr>
        <w:footnoteReference w:id="19"/>
      </w:r>
    </w:p>
    <w:p w14:paraId="10EE1D72" w14:textId="77777777" w:rsidR="00645767" w:rsidRDefault="00645767" w:rsidP="00125C7B"/>
    <w:p w14:paraId="19EC4E12" w14:textId="77777777" w:rsidR="00645767" w:rsidRPr="00320FA8" w:rsidRDefault="00645767">
      <w:pPr>
        <w:rPr>
          <w:b/>
        </w:rPr>
      </w:pPr>
      <w:r w:rsidRPr="00320FA8">
        <w:rPr>
          <w:b/>
        </w:rPr>
        <w:t>Take Rate</w:t>
      </w:r>
    </w:p>
    <w:p w14:paraId="197BD019" w14:textId="77777777" w:rsidR="000534C0" w:rsidRPr="00320FA8" w:rsidRDefault="000534C0">
      <w:pPr>
        <w:rPr>
          <w:i/>
        </w:rPr>
      </w:pPr>
      <w:r w:rsidRPr="00320FA8">
        <w:rPr>
          <w:i/>
        </w:rPr>
        <w:t>The default take-rate in the CACM is 90%, which seems too high.</w:t>
      </w:r>
      <w:r w:rsidR="00323CDC">
        <w:rPr>
          <w:rStyle w:val="FootnoteReference"/>
          <w:i/>
        </w:rPr>
        <w:footnoteReference w:id="20"/>
      </w:r>
    </w:p>
    <w:p w14:paraId="3DEB1477" w14:textId="77777777" w:rsidR="000534C0" w:rsidRDefault="000534C0"/>
    <w:p w14:paraId="7E7CFAB5" w14:textId="77777777" w:rsidR="00441CB4" w:rsidRDefault="00645767">
      <w:r>
        <w:t>Professor Hogendorn</w:t>
      </w:r>
      <w:r w:rsidR="000534C0">
        <w:t xml:space="preserve">’s comment regarding </w:t>
      </w:r>
      <w:r>
        <w:t xml:space="preserve">the CAM’s default take rate of 90 percent </w:t>
      </w:r>
      <w:r w:rsidR="00441CB4">
        <w:t xml:space="preserve">at the time he conducted his review </w:t>
      </w:r>
      <w:r w:rsidR="000534C0">
        <w:t>appears to focus on whether this is an appropriate assumption regarding subscription levels</w:t>
      </w:r>
      <w:r>
        <w:t xml:space="preserve">.  </w:t>
      </w:r>
      <w:r w:rsidR="000534C0">
        <w:t>At the outset, w</w:t>
      </w:r>
      <w:r>
        <w:t>e note</w:t>
      </w:r>
      <w:r w:rsidR="00441CB4">
        <w:t xml:space="preserve"> that the Bureau has adjusted the default take rate in the current version of the model to a lower figure and has sought comment on the appropriate take rate to use in the model.</w:t>
      </w:r>
      <w:r w:rsidR="00441CB4">
        <w:rPr>
          <w:rStyle w:val="FootnoteReference"/>
        </w:rPr>
        <w:footnoteReference w:id="21"/>
      </w:r>
      <w:r w:rsidR="00441CB4">
        <w:t xml:space="preserve">   The Bureau will finalize the CAM take rate in a future order.</w:t>
      </w:r>
    </w:p>
    <w:p w14:paraId="1BAAFE06" w14:textId="77777777" w:rsidR="00441CB4" w:rsidRDefault="00441CB4"/>
    <w:p w14:paraId="09DFE0DC" w14:textId="0A974B31" w:rsidR="00645767" w:rsidRDefault="00441CB4">
      <w:r>
        <w:t>T</w:t>
      </w:r>
      <w:r w:rsidR="00645767">
        <w:t>he purpose of the CAM take rate is to determine the number of locations that are actually connected to the network by a drop and optical network terminator (as opposed to just being passed by the network).  The CAM take rate necessarily must be higher than current or even expected subscribership rate</w:t>
      </w:r>
      <w:r w:rsidR="00006BEF">
        <w:t>s</w:t>
      </w:r>
      <w:r w:rsidR="00645767">
        <w:t xml:space="preserve"> for at least two reasons.</w:t>
      </w:r>
      <w:r w:rsidR="00645767">
        <w:rPr>
          <w:rStyle w:val="FootnoteReference"/>
        </w:rPr>
        <w:footnoteReference w:id="22"/>
      </w:r>
      <w:r w:rsidR="00645767">
        <w:t xml:space="preserve">  First, at any point in time some locations will be vacant, or the occupiers will not presently wish to purchase broadband service, but this will change over time.  Such “churn” means that at any point in time the percent of locations that have last mile facilities always exceeds the subscription rate.  Second, because of the preceding point, and to the extent that subscription growth is expected over time, it is reasonable to assume that it is efficient to deploy to more locations than those with current subscribers (for example, because it is often cheaper to deploy to all locations in a street, than to extend service </w:t>
      </w:r>
      <w:r w:rsidR="005F2EE9">
        <w:t xml:space="preserve">piecemeal </w:t>
      </w:r>
      <w:r w:rsidR="00645767">
        <w:t>to each location as demand requires).</w:t>
      </w:r>
      <w:r w:rsidR="00D94A31">
        <w:rPr>
          <w:rStyle w:val="FootnoteReference"/>
        </w:rPr>
        <w:footnoteReference w:id="23"/>
      </w:r>
    </w:p>
    <w:p w14:paraId="6CC1FFA2" w14:textId="77777777" w:rsidR="00C309AF" w:rsidRDefault="00C309AF"/>
    <w:p w14:paraId="6978CE07" w14:textId="77777777" w:rsidR="00C309AF" w:rsidRDefault="00C309AF" w:rsidP="00C309AF">
      <w:pPr>
        <w:rPr>
          <w:b/>
        </w:rPr>
      </w:pPr>
      <w:r>
        <w:rPr>
          <w:b/>
        </w:rPr>
        <w:t>Pricing</w:t>
      </w:r>
    </w:p>
    <w:p w14:paraId="5A84DD33" w14:textId="77777777" w:rsidR="00C309AF" w:rsidRDefault="00C309AF" w:rsidP="00C309AF">
      <w:pPr>
        <w:rPr>
          <w:i/>
        </w:rPr>
      </w:pPr>
      <w:r>
        <w:rPr>
          <w:i/>
        </w:rPr>
        <w:t>Th</w:t>
      </w:r>
      <w:r w:rsidRPr="00831438">
        <w:rPr>
          <w:i/>
        </w:rPr>
        <w:t xml:space="preserve">e CACM default ARPU </w:t>
      </w:r>
      <w:r>
        <w:rPr>
          <w:i/>
        </w:rPr>
        <w:t xml:space="preserve">[average revenue per unit] </w:t>
      </w:r>
      <w:r w:rsidRPr="00831438">
        <w:rPr>
          <w:i/>
        </w:rPr>
        <w:t xml:space="preserve">inputs are “typical” prices for broadband in America. But the areas being dealt with will only have one provider whereas the “typical” area has facilities-based competition. </w:t>
      </w:r>
      <w:r>
        <w:rPr>
          <w:i/>
        </w:rPr>
        <w:t xml:space="preserve"> </w:t>
      </w:r>
      <w:r w:rsidRPr="00831438">
        <w:rPr>
          <w:i/>
        </w:rPr>
        <w:t>Economic theory would predict that a monopoly area would have higher prices, and thus higher ARPU and lower take rate</w:t>
      </w:r>
      <w:r>
        <w:rPr>
          <w:i/>
        </w:rPr>
        <w:t xml:space="preserve">, than an area with competition.  </w:t>
      </w:r>
      <w:r w:rsidRPr="00831438">
        <w:rPr>
          <w:i/>
        </w:rPr>
        <w:t xml:space="preserve">It may be that the service providers receiving Connect America funding are under either explicit regulation or implicit regulatory pressure to charge the same prices as in areas with competition. </w:t>
      </w:r>
      <w:r>
        <w:rPr>
          <w:i/>
        </w:rPr>
        <w:t xml:space="preserve"> </w:t>
      </w:r>
      <w:r w:rsidRPr="00831438">
        <w:rPr>
          <w:i/>
        </w:rPr>
        <w:t xml:space="preserve">Or it may be that many of these service providers also serve areas where there is competition and need to maintain uniform pricing either for marketing purposes or to avoid angering customers. </w:t>
      </w:r>
      <w:r>
        <w:rPr>
          <w:i/>
        </w:rPr>
        <w:t xml:space="preserve"> </w:t>
      </w:r>
      <w:r w:rsidRPr="00831438">
        <w:rPr>
          <w:i/>
        </w:rPr>
        <w:t>But whatever the reasons, when the model is used the issue of monopoly market structure should be addressed.</w:t>
      </w:r>
      <w:r>
        <w:rPr>
          <w:i/>
        </w:rPr>
        <w:t xml:space="preserve">  </w:t>
      </w:r>
      <w:r w:rsidRPr="00DE0A03">
        <w:rPr>
          <w:i/>
        </w:rPr>
        <w:t>There should be an explicit justification for why a monopoly would charge anything other than the profit-maximizing monopoly price.</w:t>
      </w:r>
      <w:r>
        <w:rPr>
          <w:rStyle w:val="FootnoteReference"/>
          <w:i/>
        </w:rPr>
        <w:footnoteReference w:id="24"/>
      </w:r>
    </w:p>
    <w:p w14:paraId="3626D4A1" w14:textId="77777777" w:rsidR="00C309AF" w:rsidRPr="00DE0A03" w:rsidRDefault="00C309AF" w:rsidP="00C309AF"/>
    <w:p w14:paraId="0AB7FBEF" w14:textId="51D70747" w:rsidR="00C309AF" w:rsidRDefault="00C309AF" w:rsidP="00C309AF">
      <w:r>
        <w:t>The Telecommunications Act of 1996 establishes the overarching principle that consumers in all areas of the country should have access to services that are reasonably comparable to those in urban areas “at rates that are reasonably comparable to rates charged for similar services in urban areas.”</w:t>
      </w:r>
      <w:r>
        <w:rPr>
          <w:rStyle w:val="FootnoteReference"/>
        </w:rPr>
        <w:footnoteReference w:id="25"/>
      </w:r>
      <w:r>
        <w:t xml:space="preserve">  It therefore is appropriate for the model to assume</w:t>
      </w:r>
      <w:r w:rsidR="009B6106">
        <w:t xml:space="preserve"> an average revenue per location</w:t>
      </w:r>
      <w:r w:rsidR="00C73B84">
        <w:t xml:space="preserve"> which is not significantly higher than </w:t>
      </w:r>
      <w:r>
        <w:t xml:space="preserve">those achievable in areas with competition.  </w:t>
      </w:r>
    </w:p>
    <w:p w14:paraId="4F48B253" w14:textId="77777777" w:rsidR="00C309AF" w:rsidRDefault="00C309AF" w:rsidP="00C309AF"/>
    <w:p w14:paraId="32EE0454" w14:textId="1E6CFE4D" w:rsidR="00C309AF" w:rsidRDefault="00C309AF" w:rsidP="00C309AF">
      <w:r>
        <w:t>The Bureau has sought comment on what revenue assumptions are appropriate to adopt for the final model.</w:t>
      </w:r>
      <w:r>
        <w:rPr>
          <w:rStyle w:val="FootnoteReference"/>
        </w:rPr>
        <w:footnoteReference w:id="26"/>
      </w:r>
      <w:r>
        <w:t xml:space="preserve">  In </w:t>
      </w:r>
      <w:r w:rsidR="00EA3FA9">
        <w:t>one or more</w:t>
      </w:r>
      <w:r>
        <w:t xml:space="preserve"> future order</w:t>
      </w:r>
      <w:r w:rsidR="00EA3FA9">
        <w:t>s</w:t>
      </w:r>
      <w:r>
        <w:t xml:space="preserve">, the Bureau </w:t>
      </w:r>
      <w:r w:rsidR="00EA3FA9">
        <w:t xml:space="preserve">expects to </w:t>
      </w:r>
      <w:r>
        <w:t xml:space="preserve"> finalize the input values for the model and set a funding threshold that takes into account reasonable estimates of expected per location levelized revenues.</w:t>
      </w:r>
    </w:p>
    <w:p w14:paraId="7028CCC0" w14:textId="77777777" w:rsidR="00645767" w:rsidRDefault="00645767">
      <w:pPr>
        <w:rPr>
          <w:b/>
        </w:rPr>
      </w:pPr>
    </w:p>
    <w:p w14:paraId="6843D177" w14:textId="77777777" w:rsidR="006F09B0" w:rsidRDefault="00A719CD">
      <w:pPr>
        <w:rPr>
          <w:b/>
        </w:rPr>
      </w:pPr>
      <w:r>
        <w:rPr>
          <w:b/>
        </w:rPr>
        <w:t>The exclusion of v</w:t>
      </w:r>
      <w:r w:rsidR="00645767" w:rsidRPr="002D2BF3">
        <w:rPr>
          <w:b/>
        </w:rPr>
        <w:t>ideo revenues</w:t>
      </w:r>
    </w:p>
    <w:p w14:paraId="0CC7BBD8" w14:textId="77777777" w:rsidR="006F09B0" w:rsidRPr="00190BEC" w:rsidRDefault="00261E40">
      <w:pPr>
        <w:rPr>
          <w:i/>
        </w:rPr>
      </w:pPr>
      <w:r>
        <w:rPr>
          <w:i/>
        </w:rPr>
        <w:t>The CAF2</w:t>
      </w:r>
      <w:r w:rsidR="00893359">
        <w:rPr>
          <w:i/>
        </w:rPr>
        <w:t xml:space="preserve"> model overview explicitly states that video equi</w:t>
      </w:r>
      <w:r w:rsidR="00900A6A">
        <w:rPr>
          <w:i/>
        </w:rPr>
        <w:t>pment is not included in the CAC</w:t>
      </w:r>
      <w:r w:rsidR="00893359">
        <w:rPr>
          <w:i/>
        </w:rPr>
        <w:t xml:space="preserve">M.  This seems entirely appropriate since the funding is for Internet not video.  On the other hand, ARPU also excludes video, even though most of the costs of the video will be attributable to the same facilities as the broadband Internet.  </w:t>
      </w:r>
      <w:r w:rsidR="006F09B0" w:rsidRPr="00190BEC">
        <w:rPr>
          <w:i/>
        </w:rPr>
        <w:t>There should be a video ARPU assumption to help offset the costs of these shared facilities.</w:t>
      </w:r>
      <w:r w:rsidR="000028FA">
        <w:rPr>
          <w:i/>
        </w:rPr>
        <w:t xml:space="preserve"> . . </w:t>
      </w:r>
      <w:r w:rsidR="006F09B0" w:rsidRPr="00190BEC">
        <w:rPr>
          <w:i/>
        </w:rPr>
        <w:t>.</w:t>
      </w:r>
      <w:r w:rsidR="0055726E">
        <w:rPr>
          <w:rStyle w:val="FootnoteReference"/>
          <w:i/>
        </w:rPr>
        <w:footnoteReference w:id="27"/>
      </w:r>
    </w:p>
    <w:p w14:paraId="657DF960" w14:textId="77777777" w:rsidR="006F09B0" w:rsidRPr="002D2BF3" w:rsidRDefault="006F09B0">
      <w:pPr>
        <w:rPr>
          <w:b/>
        </w:rPr>
      </w:pPr>
    </w:p>
    <w:p w14:paraId="2CD4C2A6" w14:textId="77777777" w:rsidR="00C309AF" w:rsidRDefault="00645767" w:rsidP="00C309AF">
      <w:r>
        <w:t xml:space="preserve">Professor Hogendorn </w:t>
      </w:r>
      <w:r w:rsidR="008A63C3">
        <w:t xml:space="preserve">appears to </w:t>
      </w:r>
      <w:r>
        <w:t xml:space="preserve">suggest that video revenues may not be appropriately accounted for in determining the efficient subsidy.  </w:t>
      </w:r>
      <w:r w:rsidR="00A56788">
        <w:t xml:space="preserve">At the outset, we note that the Bureau has not yet made a determination of what types of revenues should be assumed when determining the funding threshold.  </w:t>
      </w:r>
      <w:r w:rsidR="00C309AF">
        <w:t xml:space="preserve">The decision of whether to assume video revenues in determining the support threshold is a policy decision not subject to peer review.  </w:t>
      </w:r>
    </w:p>
    <w:p w14:paraId="793C2DEC" w14:textId="77777777" w:rsidR="00C309AF" w:rsidRDefault="00C309AF" w:rsidP="00C309AF"/>
    <w:p w14:paraId="14BAABDA" w14:textId="78AE11E2" w:rsidR="000F4F8B" w:rsidRDefault="00C309AF" w:rsidP="000F4F8B">
      <w:r>
        <w:t>Moreover, e</w:t>
      </w:r>
      <w:r w:rsidR="00A56788">
        <w:t xml:space="preserve">ven if video revenues are relevant, they </w:t>
      </w:r>
      <w:r w:rsidR="00845229">
        <w:t xml:space="preserve">would </w:t>
      </w:r>
      <w:r w:rsidR="00A56788">
        <w:t xml:space="preserve">only </w:t>
      </w:r>
      <w:r w:rsidR="00845229">
        <w:t xml:space="preserve">be so </w:t>
      </w:r>
      <w:r w:rsidR="00A56788">
        <w:t xml:space="preserve">to the extent that they exceed the incremental cost of video provision, and hence contribute toward shared costs. </w:t>
      </w:r>
      <w:r w:rsidR="00845229">
        <w:t>I</w:t>
      </w:r>
      <w:r w:rsidR="00645767">
        <w:t xml:space="preserve">t is </w:t>
      </w:r>
      <w:r w:rsidR="0027504C">
        <w:t xml:space="preserve">possible </w:t>
      </w:r>
      <w:r w:rsidR="00645767">
        <w:t xml:space="preserve">that the contribution from </w:t>
      </w:r>
      <w:r w:rsidR="0027504C">
        <w:t xml:space="preserve">video </w:t>
      </w:r>
      <w:r w:rsidR="00645767">
        <w:t xml:space="preserve">services </w:t>
      </w:r>
      <w:r w:rsidR="0027504C">
        <w:t xml:space="preserve">would </w:t>
      </w:r>
      <w:r w:rsidR="00645767">
        <w:t xml:space="preserve">be </w:t>
      </w:r>
      <w:r w:rsidR="0027504C">
        <w:t xml:space="preserve">relatively </w:t>
      </w:r>
      <w:r w:rsidR="00645767">
        <w:t>small, and therefore unlikely to distort the CAM subsidy estimates.</w:t>
      </w:r>
      <w:r w:rsidR="00247F25">
        <w:rPr>
          <w:rStyle w:val="FootnoteReference"/>
        </w:rPr>
        <w:footnoteReference w:id="28"/>
      </w:r>
      <w:r w:rsidR="00645767">
        <w:t xml:space="preserve">  Being late entrants, </w:t>
      </w:r>
      <w:r w:rsidR="00441CB4">
        <w:t>incumbent local exchange carriers (</w:t>
      </w:r>
      <w:r w:rsidR="00645767">
        <w:t>ILECs</w:t>
      </w:r>
      <w:r w:rsidR="00441CB4">
        <w:t>)</w:t>
      </w:r>
      <w:r w:rsidR="00645767">
        <w:t xml:space="preserve"> have a relatively small share of all video subscribers.</w:t>
      </w:r>
      <w:r w:rsidR="00645767">
        <w:rPr>
          <w:rStyle w:val="FootnoteReference"/>
        </w:rPr>
        <w:footnoteReference w:id="29"/>
      </w:r>
      <w:r w:rsidR="00645767">
        <w:t xml:space="preserve">  Because of their video market share, ILECs typically face higher per subscriber programming</w:t>
      </w:r>
      <w:r w:rsidR="00AA65E7">
        <w:t>,</w:t>
      </w:r>
      <w:r w:rsidR="00645767">
        <w:t xml:space="preserve"> </w:t>
      </w:r>
      <w:r w:rsidR="00976A0B">
        <w:t>consumer premise equipment</w:t>
      </w:r>
      <w:r w:rsidR="00AA65E7">
        <w:t>, and customer acquisition</w:t>
      </w:r>
      <w:r w:rsidR="00976A0B">
        <w:t xml:space="preserve"> </w:t>
      </w:r>
      <w:r w:rsidR="00645767">
        <w:t xml:space="preserve">costs than their </w:t>
      </w:r>
      <w:r w:rsidR="00E41543">
        <w:t xml:space="preserve">cable and </w:t>
      </w:r>
      <w:r w:rsidR="00645767">
        <w:t>satellite rivals,</w:t>
      </w:r>
      <w:r w:rsidR="00645767">
        <w:rPr>
          <w:rStyle w:val="FootnoteReference"/>
        </w:rPr>
        <w:footnoteReference w:id="30"/>
      </w:r>
      <w:r w:rsidR="00A72136">
        <w:t xml:space="preserve"> </w:t>
      </w:r>
      <w:r w:rsidR="00645767">
        <w:t xml:space="preserve">reducing their </w:t>
      </w:r>
      <w:r w:rsidR="003606AF">
        <w:t>per video subscriber</w:t>
      </w:r>
      <w:r w:rsidR="00645767">
        <w:t xml:space="preserve"> margins. </w:t>
      </w:r>
      <w:r w:rsidR="00346B6A">
        <w:t xml:space="preserve"> </w:t>
      </w:r>
      <w:r w:rsidR="00645767">
        <w:t xml:space="preserve">In fact, the </w:t>
      </w:r>
      <w:r w:rsidR="003606AF">
        <w:t xml:space="preserve">per video subscriber </w:t>
      </w:r>
      <w:r w:rsidR="00645767">
        <w:t xml:space="preserve">contribution from video </w:t>
      </w:r>
      <w:r w:rsidR="00AB0BE8">
        <w:t>could</w:t>
      </w:r>
      <w:r w:rsidR="00645767">
        <w:t xml:space="preserve"> be negative, but </w:t>
      </w:r>
      <w:r w:rsidR="002D2D56">
        <w:t xml:space="preserve">the operator </w:t>
      </w:r>
      <w:r w:rsidR="00AB0BE8">
        <w:t xml:space="preserve">might still </w:t>
      </w:r>
      <w:r w:rsidR="002D2D56">
        <w:t xml:space="preserve">provide the service </w:t>
      </w:r>
      <w:r w:rsidR="00645767">
        <w:t>because it prevents further loss of voice customers to mobile and other rivals.</w:t>
      </w:r>
      <w:r w:rsidR="00645767">
        <w:rPr>
          <w:rStyle w:val="FootnoteReference"/>
        </w:rPr>
        <w:footnoteReference w:id="31"/>
      </w:r>
      <w:r w:rsidR="00645767">
        <w:t xml:space="preserve">  </w:t>
      </w:r>
      <w:r w:rsidR="005E5C7C">
        <w:t>T</w:t>
      </w:r>
      <w:r w:rsidR="00645767">
        <w:t xml:space="preserve">he failure to include a net contribution from video </w:t>
      </w:r>
      <w:r w:rsidR="005E5C7C">
        <w:t xml:space="preserve">therefore </w:t>
      </w:r>
      <w:r w:rsidR="00C73B84">
        <w:t xml:space="preserve">may be </w:t>
      </w:r>
      <w:r w:rsidR="00645767">
        <w:t xml:space="preserve">unlikely to lead to an overstatement of the necessary subsidy required for a </w:t>
      </w:r>
      <w:r w:rsidR="00C21A8D">
        <w:t xml:space="preserve">voice and broadband-capable </w:t>
      </w:r>
      <w:r w:rsidR="00645767">
        <w:t>broadband network.</w:t>
      </w:r>
      <w:r w:rsidR="000F4F8B">
        <w:t xml:space="preserve"> </w:t>
      </w:r>
    </w:p>
    <w:p w14:paraId="585F7A13" w14:textId="77777777" w:rsidR="00645767" w:rsidRDefault="00645767"/>
    <w:p w14:paraId="61DB075D" w14:textId="77777777" w:rsidR="000534C0" w:rsidRDefault="000534C0" w:rsidP="000534C0">
      <w:pPr>
        <w:rPr>
          <w:b/>
        </w:rPr>
      </w:pPr>
      <w:r>
        <w:rPr>
          <w:b/>
        </w:rPr>
        <w:t>Other Matters</w:t>
      </w:r>
    </w:p>
    <w:p w14:paraId="30AE063A" w14:textId="77777777" w:rsidR="001D129E" w:rsidRDefault="001D129E" w:rsidP="001D129E"/>
    <w:p w14:paraId="1F31BA69" w14:textId="77777777" w:rsidR="00645767" w:rsidRDefault="0050171E">
      <w:r w:rsidRPr="0050171E">
        <w:rPr>
          <w:i/>
        </w:rPr>
        <w:t>Term</w:t>
      </w:r>
      <w:r w:rsidR="00645767" w:rsidRPr="0050171E">
        <w:rPr>
          <w:i/>
        </w:rPr>
        <w:t xml:space="preserve">inal </w:t>
      </w:r>
      <w:r w:rsidR="00451158">
        <w:rPr>
          <w:i/>
        </w:rPr>
        <w:t>value (or operating profit)</w:t>
      </w:r>
      <w:r w:rsidR="009666CD" w:rsidRPr="0050171E">
        <w:rPr>
          <w:i/>
        </w:rPr>
        <w:t xml:space="preserve">.  </w:t>
      </w:r>
      <w:r w:rsidR="00645767">
        <w:t>Professor</w:t>
      </w:r>
      <w:r w:rsidR="00893359">
        <w:t xml:space="preserve"> </w:t>
      </w:r>
      <w:r w:rsidR="00645767">
        <w:t xml:space="preserve">Hogendorn </w:t>
      </w:r>
      <w:r w:rsidR="00EB6F08">
        <w:t>states</w:t>
      </w:r>
      <w:r w:rsidR="00645767">
        <w:t xml:space="preserve"> that the CAM “does not include any terminal value at the end of the </w:t>
      </w:r>
      <w:r w:rsidR="00C119A4">
        <w:t xml:space="preserve">20 </w:t>
      </w:r>
      <w:r w:rsidR="00645767">
        <w:t>year period.”</w:t>
      </w:r>
      <w:r w:rsidR="00744930">
        <w:rPr>
          <w:rStyle w:val="FootnoteReference"/>
        </w:rPr>
        <w:footnoteReference w:id="32"/>
      </w:r>
      <w:r w:rsidR="00645767">
        <w:t xml:space="preserve">  </w:t>
      </w:r>
      <w:r w:rsidR="00C7746D">
        <w:t>The decision of terminal value in the model is a policy decision not subject to peer review.  We do note, h</w:t>
      </w:r>
      <w:r w:rsidR="00645767">
        <w:t>owever, the CAM does effectively include a terminal value.  It models costs</w:t>
      </w:r>
      <w:r w:rsidR="00794EDC">
        <w:t>,</w:t>
      </w:r>
      <w:r w:rsidR="009666CD">
        <w:t xml:space="preserve"> </w:t>
      </w:r>
      <w:r w:rsidR="006340EB">
        <w:t xml:space="preserve">and </w:t>
      </w:r>
      <w:r w:rsidR="00844C9B">
        <w:t>henc</w:t>
      </w:r>
      <w:r w:rsidR="00794EDC">
        <w:t>e also the impact of the funding threshold,</w:t>
      </w:r>
      <w:r w:rsidR="00844C9B">
        <w:t xml:space="preserve"> </w:t>
      </w:r>
      <w:r w:rsidR="00645767">
        <w:t>sufficiently far into the future that the present value</w:t>
      </w:r>
      <w:r w:rsidR="003E2CED">
        <w:t>s</w:t>
      </w:r>
      <w:r w:rsidR="00645767">
        <w:t xml:space="preserve"> of</w:t>
      </w:r>
      <w:r w:rsidR="00E5307C">
        <w:t xml:space="preserve"> </w:t>
      </w:r>
      <w:r w:rsidR="003E2CED">
        <w:t xml:space="preserve">future </w:t>
      </w:r>
      <w:r w:rsidR="00E5307C">
        <w:t xml:space="preserve">costs </w:t>
      </w:r>
      <w:r w:rsidR="00794EDC">
        <w:t xml:space="preserve">and revenues </w:t>
      </w:r>
      <w:r w:rsidR="00E5307C">
        <w:t>approach zero.</w:t>
      </w:r>
    </w:p>
    <w:p w14:paraId="51C911BB" w14:textId="77777777" w:rsidR="00645767" w:rsidRDefault="00645767"/>
    <w:p w14:paraId="29BA06A1" w14:textId="77777777" w:rsidR="005027E0" w:rsidRDefault="005027E0" w:rsidP="005027E0">
      <w:r w:rsidRPr="006A6FF2">
        <w:rPr>
          <w:i/>
        </w:rPr>
        <w:t>Technology choices</w:t>
      </w:r>
      <w:r w:rsidR="00451A75">
        <w:rPr>
          <w:i/>
        </w:rPr>
        <w:t xml:space="preserve"> or “</w:t>
      </w:r>
      <w:r w:rsidR="001D129E">
        <w:rPr>
          <w:i/>
        </w:rPr>
        <w:t>roadmapping</w:t>
      </w:r>
      <w:r w:rsidR="00986546">
        <w:rPr>
          <w:i/>
        </w:rPr>
        <w:t>”</w:t>
      </w:r>
      <w:r w:rsidR="00986546" w:rsidRPr="006A6FF2">
        <w:t>.</w:t>
      </w:r>
      <w:r w:rsidR="00986546">
        <w:rPr>
          <w:b/>
        </w:rPr>
        <w:t xml:space="preserve">  </w:t>
      </w:r>
      <w:r w:rsidRPr="00900A6A">
        <w:t>Professor</w:t>
      </w:r>
      <w:r>
        <w:t xml:space="preserve"> </w:t>
      </w:r>
      <w:r w:rsidRPr="00900A6A">
        <w:t xml:space="preserve">Hogendorn </w:t>
      </w:r>
      <w:r>
        <w:t xml:space="preserve">notes </w:t>
      </w:r>
      <w:r w:rsidR="003A5BE8">
        <w:t xml:space="preserve">in passing </w:t>
      </w:r>
      <w:r>
        <w:t xml:space="preserve">that the version of the model he examined included both DSL and fiber-to-the-premise (FTTP) options, and he suggests exploring the FTTP option more extensively.  </w:t>
      </w:r>
      <w:r w:rsidR="00F500DB">
        <w:t xml:space="preserve">The decision of what network architecture to model is a policy decision not subject to peer review.  We note that the </w:t>
      </w:r>
      <w:r w:rsidR="008230FC" w:rsidRPr="00207BD8">
        <w:rPr>
          <w:i/>
        </w:rPr>
        <w:t>CA</w:t>
      </w:r>
      <w:r w:rsidR="008C001B">
        <w:rPr>
          <w:i/>
        </w:rPr>
        <w:t>M Platform</w:t>
      </w:r>
      <w:r w:rsidR="00613728" w:rsidRPr="00207BD8">
        <w:rPr>
          <w:i/>
        </w:rPr>
        <w:t xml:space="preserve"> </w:t>
      </w:r>
      <w:r w:rsidRPr="00207BD8">
        <w:rPr>
          <w:i/>
        </w:rPr>
        <w:t>Order</w:t>
      </w:r>
      <w:r w:rsidR="00F500DB" w:rsidRPr="00F500DB">
        <w:t xml:space="preserve"> </w:t>
      </w:r>
      <w:r w:rsidR="00F500DB">
        <w:t>adopted a</w:t>
      </w:r>
      <w:r w:rsidR="0039109E">
        <w:t>n</w:t>
      </w:r>
      <w:r w:rsidR="00F500DB">
        <w:t xml:space="preserve"> FTTP approach, </w:t>
      </w:r>
      <w:r>
        <w:t>consistent with Professor Hogendorn’s preference.</w:t>
      </w:r>
      <w:r w:rsidR="0022314E">
        <w:rPr>
          <w:rStyle w:val="FootnoteReference"/>
        </w:rPr>
        <w:footnoteReference w:id="33"/>
      </w:r>
      <w:r>
        <w:t xml:space="preserve"> </w:t>
      </w:r>
    </w:p>
    <w:p w14:paraId="609D2434" w14:textId="77777777" w:rsidR="005027E0" w:rsidRDefault="005027E0" w:rsidP="005027E0"/>
    <w:p w14:paraId="0782D74E" w14:textId="77777777" w:rsidR="005027E0" w:rsidRDefault="005027E0" w:rsidP="005027E0">
      <w:r w:rsidRPr="0050171E">
        <w:rPr>
          <w:i/>
        </w:rPr>
        <w:t>Brown</w:t>
      </w:r>
      <w:r w:rsidR="00613728">
        <w:rPr>
          <w:i/>
        </w:rPr>
        <w:t>-</w:t>
      </w:r>
      <w:r w:rsidRPr="0050171E">
        <w:rPr>
          <w:i/>
        </w:rPr>
        <w:t>field vs. Green</w:t>
      </w:r>
      <w:r w:rsidR="00613728">
        <w:rPr>
          <w:i/>
        </w:rPr>
        <w:t>-</w:t>
      </w:r>
      <w:r w:rsidRPr="0050171E">
        <w:rPr>
          <w:i/>
        </w:rPr>
        <w:t>field Approach</w:t>
      </w:r>
      <w:r w:rsidRPr="0050171E">
        <w:t>.</w:t>
      </w:r>
      <w:r>
        <w:t xml:space="preserve">  </w:t>
      </w:r>
      <w:r w:rsidR="00DA0EC5">
        <w:t>Professor Hogendorn comments in passing the green</w:t>
      </w:r>
      <w:r w:rsidR="00613728">
        <w:t>-</w:t>
      </w:r>
      <w:r w:rsidR="00DA0EC5">
        <w:t>field option is “useful . . . for considering the possibility of competitive entry,” but he was “</w:t>
      </w:r>
      <w:r w:rsidR="00DA0EC5" w:rsidRPr="009666CD">
        <w:t>not sure why the green</w:t>
      </w:r>
      <w:r w:rsidR="00DA0EC5">
        <w:t>-</w:t>
      </w:r>
      <w:r w:rsidR="00DA0EC5" w:rsidRPr="009666CD">
        <w:t>field option would ever be applicable unless there are instances where there is truly no infrastructure in a particular service area.</w:t>
      </w:r>
      <w:r w:rsidR="00DA0EC5">
        <w:t>”</w:t>
      </w:r>
      <w:r w:rsidR="00744930">
        <w:rPr>
          <w:rStyle w:val="FootnoteReference"/>
        </w:rPr>
        <w:footnoteReference w:id="34"/>
      </w:r>
      <w:r w:rsidR="00DA0EC5">
        <w:t xml:space="preserve">  The decision to adopt a green-field over a brownfield approach is a policy decision not subject to peer review.</w:t>
      </w:r>
      <w:r w:rsidR="00DA0EC5">
        <w:rPr>
          <w:rStyle w:val="FootnoteReference"/>
        </w:rPr>
        <w:footnoteReference w:id="35"/>
      </w:r>
    </w:p>
    <w:p w14:paraId="418A7AD7" w14:textId="77777777" w:rsidR="004E4085" w:rsidRDefault="004E4085" w:rsidP="005027E0"/>
    <w:p w14:paraId="78976A16" w14:textId="77777777" w:rsidR="005027E0" w:rsidRDefault="004E4085" w:rsidP="005027E0">
      <w:r w:rsidRPr="00610DD7">
        <w:rPr>
          <w:i/>
        </w:rPr>
        <w:t>Voice</w:t>
      </w:r>
      <w:r>
        <w:rPr>
          <w:i/>
        </w:rPr>
        <w:t xml:space="preserve">.  </w:t>
      </w:r>
      <w:r>
        <w:t xml:space="preserve">Professor Hogendorn appears to be concerned that the model overstates the operating costs associated with broadband service delivered over facilities shared with voice service.  The Commission has determined, however, that the Bureau should model the cost of a network capable of providing both voice and broadband services.  It therefore is appropriate as a policy matter to include all voice operating costs, as well as broadband operating costs.  Further, the CAM does not double count costs shared between voice and broadband services.  </w:t>
      </w:r>
    </w:p>
    <w:p w14:paraId="63CDC1FB" w14:textId="77777777" w:rsidR="005027E0" w:rsidRDefault="005027E0" w:rsidP="0072793E"/>
    <w:p w14:paraId="67979AEA" w14:textId="77777777" w:rsidR="00301022" w:rsidRPr="00BD3FEB" w:rsidRDefault="00301022" w:rsidP="00301022">
      <w:r w:rsidRPr="006D7EDC">
        <w:rPr>
          <w:i/>
        </w:rPr>
        <w:t>Building ahead of demand</w:t>
      </w:r>
      <w:r w:rsidRPr="00610DD7">
        <w:rPr>
          <w:i/>
        </w:rPr>
        <w:t xml:space="preserve">.  </w:t>
      </w:r>
      <w:r w:rsidRPr="00BD3FEB">
        <w:t xml:space="preserve">Professor Hogendorn observes, “In an environment where demand is growing, service providers may anticipate the growth and prepare for it in a strategic way. . . . </w:t>
      </w:r>
      <w:r w:rsidR="00F91D94">
        <w:t xml:space="preserve"> </w:t>
      </w:r>
      <w:r w:rsidRPr="00BD3FEB">
        <w:t xml:space="preserve">The preemption logic suggests that if there will be any increase in demand that makes an area viable, then a service provider may enter that area while an </w:t>
      </w:r>
      <w:r w:rsidR="00744930">
        <w:t>‘</w:t>
      </w:r>
      <w:r w:rsidRPr="00BD3FEB">
        <w:t>investment gap</w:t>
      </w:r>
      <w:r w:rsidR="00744930">
        <w:t>’</w:t>
      </w:r>
      <w:r w:rsidRPr="00BD3FEB">
        <w:t xml:space="preserve"> still exists because it anticipates future profits.  The CACM is well-placed to test this.  If the CACM shows that areas that already have service have a gap to profitability, then it is possible that firms have built ahead of demand in order to achieve first-mover status.  Since the areas under evaluation are very low density, I would expect that any preemptive investment would come from the existing telco trying to beat to market a potential fixed wireless competitor.”</w:t>
      </w:r>
      <w:r w:rsidR="00744930">
        <w:rPr>
          <w:rStyle w:val="FootnoteReference"/>
        </w:rPr>
        <w:footnoteReference w:id="36"/>
      </w:r>
    </w:p>
    <w:p w14:paraId="3E1EEFF4" w14:textId="77777777" w:rsidR="00301022" w:rsidRDefault="00301022" w:rsidP="00301022"/>
    <w:p w14:paraId="43E84187" w14:textId="77777777" w:rsidR="00301022" w:rsidRDefault="00301022" w:rsidP="00301022">
      <w:r>
        <w:t xml:space="preserve">We appreciate Professor Hogendorn sharing his thoughts regarding potential preemptive entry.  We note that in some instances, entry into otherwise unprofitable areas may have occurred because of past subsidies, or because of other regulatory mandates, such as state requirements.  In short, regulation may explain </w:t>
      </w:r>
      <w:r w:rsidR="00286E61">
        <w:t xml:space="preserve"> </w:t>
      </w:r>
      <w:r>
        <w:t>supply in unprofitable locations, rather than the operator’s long-term view that the location is profitable.  In addition, demand for broadband in those areas could be stronger than average (e.g., due to differences in consumer demographics</w:t>
      </w:r>
      <w:r w:rsidR="00286E61">
        <w:t>, which is</w:t>
      </w:r>
      <w:r>
        <w:t xml:space="preserve"> not captured in the CAM), leading to a stronger business case (just as in other locations it may be weaker than average).  As is the case with any model, it is also possible that the CAM overstates costs in some areas (just as it likely understates costs in other areas).  Thus, the observation that supply sometimes occurs in areas the cost model finds to be unprofitable is insufficient to demonstrate that the network operator expects that (absent regulatory action) the areas will eventually be profitable.</w:t>
      </w:r>
    </w:p>
    <w:p w14:paraId="4026A25F" w14:textId="77777777" w:rsidR="00645767" w:rsidRDefault="00645767"/>
    <w:p w14:paraId="252FF78C" w14:textId="77777777" w:rsidR="00346B6A" w:rsidRDefault="00346B6A">
      <w:r>
        <w:br w:type="page"/>
      </w:r>
    </w:p>
    <w:p w14:paraId="3C3871F4" w14:textId="77777777" w:rsidR="00645767" w:rsidRDefault="00645767"/>
    <w:p w14:paraId="5C786B0A" w14:textId="77777777" w:rsidR="00645767" w:rsidRDefault="00645767" w:rsidP="00E20CDB">
      <w:pPr>
        <w:jc w:val="center"/>
        <w:rPr>
          <w:b/>
        </w:rPr>
      </w:pPr>
      <w:r w:rsidRPr="00FA5F5C">
        <w:rPr>
          <w:b/>
        </w:rPr>
        <w:t>Appendix</w:t>
      </w:r>
    </w:p>
    <w:p w14:paraId="12AF50D4" w14:textId="77777777" w:rsidR="00645767" w:rsidRPr="00FA5F5C" w:rsidRDefault="00645767" w:rsidP="00E20CDB">
      <w:pPr>
        <w:jc w:val="center"/>
        <w:rPr>
          <w:b/>
        </w:rPr>
      </w:pPr>
      <w:r w:rsidRPr="00FA5F5C">
        <w:rPr>
          <w:b/>
        </w:rPr>
        <w:t>The CAM’s sensitivity to input price and productivity changes</w:t>
      </w:r>
    </w:p>
    <w:p w14:paraId="6ABC8198" w14:textId="77777777" w:rsidR="00645767" w:rsidRPr="00FA5F5C" w:rsidRDefault="00645767" w:rsidP="00FA5F5C"/>
    <w:p w14:paraId="5CC4A758" w14:textId="5E85AC89" w:rsidR="00645767" w:rsidRDefault="00645767" w:rsidP="00FA5F5C">
      <w:r w:rsidRPr="00FA5F5C">
        <w:t>This appendix tests how sensitive </w:t>
      </w:r>
      <w:r>
        <w:t xml:space="preserve">the CAM’s </w:t>
      </w:r>
      <w:r w:rsidRPr="00FA5F5C">
        <w:t>costs are to change</w:t>
      </w:r>
      <w:r>
        <w:t>s in</w:t>
      </w:r>
      <w:r w:rsidRPr="00FA5F5C">
        <w:t xml:space="preserve"> forecasts in input prices and </w:t>
      </w:r>
      <w:r>
        <w:t>total factor productivity (TFP) growth</w:t>
      </w:r>
      <w:r w:rsidRPr="00FA5F5C">
        <w:t>.</w:t>
      </w:r>
      <w:r>
        <w:t xml:space="preserve"> </w:t>
      </w:r>
      <w:r w:rsidR="00376364">
        <w:t xml:space="preserve"> </w:t>
      </w:r>
      <w:r>
        <w:t xml:space="preserve">It first presents how CAM costs are shared across </w:t>
      </w:r>
      <w:r w:rsidR="008B0D91">
        <w:t>ten</w:t>
      </w:r>
      <w:r w:rsidR="008B0D91" w:rsidRPr="00FA5F5C">
        <w:t xml:space="preserve"> </w:t>
      </w:r>
      <w:r w:rsidRPr="00FA5F5C">
        <w:t xml:space="preserve">cost categories </w:t>
      </w:r>
      <w:r>
        <w:t>for three cases:</w:t>
      </w:r>
      <w:r w:rsidR="00190EAE">
        <w:t xml:space="preserve"> </w:t>
      </w:r>
      <w:r w:rsidRPr="00FA5F5C">
        <w:t>all lines</w:t>
      </w:r>
      <w:r>
        <w:t>;</w:t>
      </w:r>
      <w:r w:rsidRPr="00FA5F5C">
        <w:t xml:space="preserve"> lines that lie within the 90th to 99th cost percentile</w:t>
      </w:r>
      <w:r>
        <w:t>s; and</w:t>
      </w:r>
      <w:r w:rsidR="00190EAE">
        <w:t xml:space="preserve"> </w:t>
      </w:r>
      <w:r w:rsidRPr="00FA5F5C">
        <w:t>lines that lie within the 95th to 99th percentile</w:t>
      </w:r>
      <w:r>
        <w:t>s.  It then provides the assumptions</w:t>
      </w:r>
      <w:r w:rsidR="00190EAE">
        <w:t xml:space="preserve"> </w:t>
      </w:r>
      <w:r>
        <w:t xml:space="preserve">on input prices changes for the </w:t>
      </w:r>
      <w:r w:rsidR="008B0D91">
        <w:t>ten</w:t>
      </w:r>
      <w:r>
        <w:t xml:space="preserve"> cost categories, and total factor productivity (TFP) growth, used in the sensitivity tests.  Finally, it shows that under these assumptions, which are designed to understate CAM cost growth, overall annual changes to costs</w:t>
      </w:r>
      <w:r w:rsidR="00190EAE">
        <w:t xml:space="preserve"> </w:t>
      </w:r>
      <w:r>
        <w:t xml:space="preserve">for high cost areas </w:t>
      </w:r>
      <w:r w:rsidRPr="00FA5F5C">
        <w:t xml:space="preserve">are </w:t>
      </w:r>
      <w:r>
        <w:t>unlikely to significantly</w:t>
      </w:r>
      <w:r w:rsidR="00190EAE">
        <w:t xml:space="preserve"> </w:t>
      </w:r>
      <w:r>
        <w:t>differ from zero</w:t>
      </w:r>
      <w:r w:rsidRPr="00FA5F5C">
        <w:t>.  </w:t>
      </w:r>
      <w:r>
        <w:t>Thus, the CAM’s assumption of zero changes in costs is unlikely to significantly overstate costs, and may well understate them.</w:t>
      </w:r>
    </w:p>
    <w:p w14:paraId="7F54AFDC" w14:textId="77777777" w:rsidR="00645767" w:rsidRDefault="00645767" w:rsidP="00FA5F5C"/>
    <w:p w14:paraId="6EEB8367" w14:textId="77777777" w:rsidR="00645767" w:rsidRPr="00E20CDB" w:rsidRDefault="00645767" w:rsidP="00FA5F5C">
      <w:pPr>
        <w:rPr>
          <w:b/>
        </w:rPr>
      </w:pPr>
      <w:r w:rsidRPr="00E20CDB">
        <w:rPr>
          <w:b/>
        </w:rPr>
        <w:t>Cost categories and shares</w:t>
      </w:r>
    </w:p>
    <w:p w14:paraId="5C1D099E" w14:textId="64537329" w:rsidR="00645767" w:rsidRDefault="00645767" w:rsidP="00CC7D7E">
      <w:r>
        <w:t xml:space="preserve">The following table provides the cost shares for the </w:t>
      </w:r>
      <w:r w:rsidR="008B0D91">
        <w:t xml:space="preserve">ten </w:t>
      </w:r>
      <w:r>
        <w:t>basic cost categories of the CAM, in each of three cases: for all lines, for lines within the 90</w:t>
      </w:r>
      <w:r w:rsidRPr="0002049D">
        <w:rPr>
          <w:vertAlign w:val="superscript"/>
        </w:rPr>
        <w:t>th</w:t>
      </w:r>
      <w:r>
        <w:t xml:space="preserve"> to 99</w:t>
      </w:r>
      <w:r w:rsidRPr="0002049D">
        <w:rPr>
          <w:vertAlign w:val="superscript"/>
        </w:rPr>
        <w:t>th</w:t>
      </w:r>
      <w:r>
        <w:t xml:space="preserve"> cost percentiles, and for lines within the 95</w:t>
      </w:r>
      <w:r w:rsidRPr="0002049D">
        <w:rPr>
          <w:vertAlign w:val="superscript"/>
        </w:rPr>
        <w:t>th</w:t>
      </w:r>
      <w:r>
        <w:t xml:space="preserve"> to 99</w:t>
      </w:r>
      <w:r w:rsidRPr="0002049D">
        <w:rPr>
          <w:vertAlign w:val="superscript"/>
        </w:rPr>
        <w:t>th</w:t>
      </w:r>
      <w:r>
        <w:t xml:space="preserve"> cost percentiles.  The table illustrates that the cost shares of especially labor, but also fiber, poles, conduit, </w:t>
      </w:r>
      <w:r w:rsidR="00245146">
        <w:t xml:space="preserve">and splitters </w:t>
      </w:r>
      <w:r>
        <w:t xml:space="preserve">rise as the focus narrows toward higher cost lines.  This is due to increased loop lengths, of which </w:t>
      </w:r>
      <w:r w:rsidR="00383611">
        <w:t xml:space="preserve">associated </w:t>
      </w:r>
      <w:r>
        <w:t xml:space="preserve">labor costs are a significant component.  In contrast, the cost share of </w:t>
      </w:r>
      <w:r w:rsidR="00245146">
        <w:t xml:space="preserve">the other components </w:t>
      </w:r>
      <w:r>
        <w:t>fall.</w:t>
      </w:r>
    </w:p>
    <w:p w14:paraId="6106CE55" w14:textId="77777777" w:rsidR="00645767" w:rsidRDefault="00645767" w:rsidP="00FA5F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2214"/>
        <w:gridCol w:w="2214"/>
      </w:tblGrid>
      <w:tr w:rsidR="00645767" w:rsidRPr="003646BE" w14:paraId="684926DB" w14:textId="77777777" w:rsidTr="003646BE">
        <w:tc>
          <w:tcPr>
            <w:tcW w:w="2214" w:type="dxa"/>
          </w:tcPr>
          <w:p w14:paraId="5D268E36" w14:textId="77777777" w:rsidR="00645767" w:rsidRPr="003646BE" w:rsidRDefault="00645767" w:rsidP="003646BE">
            <w:pPr>
              <w:jc w:val="center"/>
            </w:pPr>
            <w:r w:rsidRPr="003646BE">
              <w:t>Cost categories</w:t>
            </w:r>
          </w:p>
        </w:tc>
        <w:tc>
          <w:tcPr>
            <w:tcW w:w="2214" w:type="dxa"/>
          </w:tcPr>
          <w:p w14:paraId="2B2A86B5" w14:textId="77777777" w:rsidR="00645767" w:rsidRPr="003646BE" w:rsidRDefault="00645767" w:rsidP="003646BE">
            <w:pPr>
              <w:jc w:val="center"/>
            </w:pPr>
            <w:r w:rsidRPr="003646BE">
              <w:t>All lines</w:t>
            </w:r>
          </w:p>
        </w:tc>
        <w:tc>
          <w:tcPr>
            <w:tcW w:w="2214" w:type="dxa"/>
          </w:tcPr>
          <w:p w14:paraId="197EA679" w14:textId="77777777" w:rsidR="00645767" w:rsidRPr="003646BE" w:rsidRDefault="00645767" w:rsidP="003646BE">
            <w:pPr>
              <w:jc w:val="center"/>
            </w:pPr>
            <w:r w:rsidRPr="003646BE">
              <w:t>Lines within the 90</w:t>
            </w:r>
            <w:r w:rsidRPr="003646BE">
              <w:rPr>
                <w:vertAlign w:val="superscript"/>
              </w:rPr>
              <w:t>th</w:t>
            </w:r>
            <w:r w:rsidRPr="003646BE">
              <w:t xml:space="preserve"> to 99</w:t>
            </w:r>
            <w:r w:rsidRPr="003646BE">
              <w:rPr>
                <w:vertAlign w:val="superscript"/>
              </w:rPr>
              <w:t>th</w:t>
            </w:r>
            <w:r w:rsidRPr="003646BE">
              <w:t xml:space="preserve"> cost percentiles</w:t>
            </w:r>
          </w:p>
        </w:tc>
        <w:tc>
          <w:tcPr>
            <w:tcW w:w="2214" w:type="dxa"/>
          </w:tcPr>
          <w:p w14:paraId="2AC525D5" w14:textId="77777777" w:rsidR="00645767" w:rsidRPr="003646BE" w:rsidRDefault="00645767" w:rsidP="003646BE">
            <w:pPr>
              <w:jc w:val="center"/>
            </w:pPr>
            <w:r w:rsidRPr="003646BE">
              <w:t>Lines within the 95</w:t>
            </w:r>
            <w:r w:rsidRPr="003646BE">
              <w:rPr>
                <w:vertAlign w:val="superscript"/>
              </w:rPr>
              <w:t>th</w:t>
            </w:r>
            <w:r w:rsidRPr="003646BE">
              <w:t xml:space="preserve"> to 99</w:t>
            </w:r>
            <w:r w:rsidRPr="003646BE">
              <w:rPr>
                <w:vertAlign w:val="superscript"/>
              </w:rPr>
              <w:t>th</w:t>
            </w:r>
            <w:r w:rsidRPr="003646BE">
              <w:t xml:space="preserve"> cost percentiles</w:t>
            </w:r>
          </w:p>
        </w:tc>
      </w:tr>
      <w:tr w:rsidR="00645767" w:rsidRPr="003646BE" w14:paraId="4520CA08" w14:textId="77777777" w:rsidTr="003646BE">
        <w:tc>
          <w:tcPr>
            <w:tcW w:w="2214" w:type="dxa"/>
          </w:tcPr>
          <w:p w14:paraId="59648E87" w14:textId="77777777" w:rsidR="00645767" w:rsidRPr="003646BE" w:rsidRDefault="00645767" w:rsidP="00FA5F5C">
            <w:r w:rsidRPr="003646BE">
              <w:t>Labor</w:t>
            </w:r>
          </w:p>
        </w:tc>
        <w:tc>
          <w:tcPr>
            <w:tcW w:w="2214" w:type="dxa"/>
          </w:tcPr>
          <w:p w14:paraId="01BCAB43" w14:textId="77777777" w:rsidR="00645767" w:rsidRPr="003646BE" w:rsidRDefault="00645767" w:rsidP="003646BE">
            <w:pPr>
              <w:jc w:val="right"/>
            </w:pPr>
            <w:r w:rsidRPr="003646BE">
              <w:t>59.6%</w:t>
            </w:r>
          </w:p>
        </w:tc>
        <w:tc>
          <w:tcPr>
            <w:tcW w:w="2214" w:type="dxa"/>
          </w:tcPr>
          <w:p w14:paraId="3E02D121" w14:textId="77777777" w:rsidR="00645767" w:rsidRPr="003646BE" w:rsidRDefault="00645767" w:rsidP="003646BE">
            <w:pPr>
              <w:jc w:val="right"/>
            </w:pPr>
            <w:r w:rsidRPr="003646BE">
              <w:t>70.0%</w:t>
            </w:r>
          </w:p>
        </w:tc>
        <w:tc>
          <w:tcPr>
            <w:tcW w:w="2214" w:type="dxa"/>
          </w:tcPr>
          <w:p w14:paraId="0D1DA3C7" w14:textId="77777777" w:rsidR="00645767" w:rsidRPr="003646BE" w:rsidRDefault="00645767" w:rsidP="003646BE">
            <w:pPr>
              <w:jc w:val="right"/>
            </w:pPr>
            <w:r w:rsidRPr="003646BE">
              <w:t>71.3%</w:t>
            </w:r>
          </w:p>
        </w:tc>
      </w:tr>
      <w:tr w:rsidR="00645767" w:rsidRPr="003646BE" w14:paraId="48E5A5D3" w14:textId="77777777" w:rsidTr="003646BE">
        <w:tc>
          <w:tcPr>
            <w:tcW w:w="2214" w:type="dxa"/>
          </w:tcPr>
          <w:p w14:paraId="15F36C5A" w14:textId="77777777" w:rsidR="00645767" w:rsidRPr="003646BE" w:rsidRDefault="00645767" w:rsidP="00FA5F5C">
            <w:r w:rsidRPr="003646BE">
              <w:t>Fiber</w:t>
            </w:r>
          </w:p>
        </w:tc>
        <w:tc>
          <w:tcPr>
            <w:tcW w:w="2214" w:type="dxa"/>
          </w:tcPr>
          <w:p w14:paraId="36906B33" w14:textId="77777777" w:rsidR="00645767" w:rsidRPr="003646BE" w:rsidRDefault="00645767" w:rsidP="003646BE">
            <w:pPr>
              <w:jc w:val="right"/>
            </w:pPr>
            <w:r w:rsidRPr="003646BE">
              <w:t>2.9%</w:t>
            </w:r>
          </w:p>
        </w:tc>
        <w:tc>
          <w:tcPr>
            <w:tcW w:w="2214" w:type="dxa"/>
          </w:tcPr>
          <w:p w14:paraId="5D6D4756" w14:textId="77777777" w:rsidR="00645767" w:rsidRPr="003646BE" w:rsidRDefault="00645767" w:rsidP="003646BE">
            <w:pPr>
              <w:jc w:val="right"/>
            </w:pPr>
            <w:r w:rsidRPr="003646BE">
              <w:t>3.6%</w:t>
            </w:r>
          </w:p>
        </w:tc>
        <w:tc>
          <w:tcPr>
            <w:tcW w:w="2214" w:type="dxa"/>
          </w:tcPr>
          <w:p w14:paraId="445696D8" w14:textId="77777777" w:rsidR="00645767" w:rsidRPr="003646BE" w:rsidRDefault="00645767" w:rsidP="003646BE">
            <w:pPr>
              <w:jc w:val="right"/>
            </w:pPr>
            <w:r w:rsidRPr="003646BE">
              <w:t>3.6%</w:t>
            </w:r>
          </w:p>
        </w:tc>
      </w:tr>
      <w:tr w:rsidR="00645767" w:rsidRPr="003646BE" w14:paraId="4CB840B9" w14:textId="77777777" w:rsidTr="003646BE">
        <w:tc>
          <w:tcPr>
            <w:tcW w:w="2214" w:type="dxa"/>
          </w:tcPr>
          <w:p w14:paraId="2D1762D3" w14:textId="77777777" w:rsidR="00645767" w:rsidRPr="003646BE" w:rsidRDefault="00645767" w:rsidP="00FA5F5C">
            <w:r w:rsidRPr="003646BE">
              <w:t>Poles</w:t>
            </w:r>
          </w:p>
        </w:tc>
        <w:tc>
          <w:tcPr>
            <w:tcW w:w="2214" w:type="dxa"/>
          </w:tcPr>
          <w:p w14:paraId="753703F4" w14:textId="77777777" w:rsidR="00645767" w:rsidRPr="003646BE" w:rsidRDefault="00645767" w:rsidP="003646BE">
            <w:pPr>
              <w:jc w:val="right"/>
            </w:pPr>
            <w:r w:rsidRPr="003646BE">
              <w:t>1.2%</w:t>
            </w:r>
          </w:p>
        </w:tc>
        <w:tc>
          <w:tcPr>
            <w:tcW w:w="2214" w:type="dxa"/>
          </w:tcPr>
          <w:p w14:paraId="5A9F9688" w14:textId="77777777" w:rsidR="00645767" w:rsidRPr="003646BE" w:rsidRDefault="00645767" w:rsidP="003646BE">
            <w:pPr>
              <w:jc w:val="right"/>
            </w:pPr>
            <w:r w:rsidRPr="003646BE">
              <w:t>2.0%</w:t>
            </w:r>
          </w:p>
        </w:tc>
        <w:tc>
          <w:tcPr>
            <w:tcW w:w="2214" w:type="dxa"/>
          </w:tcPr>
          <w:p w14:paraId="375ED904" w14:textId="77777777" w:rsidR="00645767" w:rsidRPr="003646BE" w:rsidRDefault="00645767" w:rsidP="003646BE">
            <w:pPr>
              <w:jc w:val="right"/>
            </w:pPr>
            <w:r w:rsidRPr="003646BE">
              <w:t>2.0%</w:t>
            </w:r>
          </w:p>
        </w:tc>
      </w:tr>
      <w:tr w:rsidR="00645767" w:rsidRPr="003646BE" w14:paraId="56AF90E3" w14:textId="77777777" w:rsidTr="003646BE">
        <w:tc>
          <w:tcPr>
            <w:tcW w:w="2214" w:type="dxa"/>
          </w:tcPr>
          <w:p w14:paraId="5397E3FB" w14:textId="77777777" w:rsidR="00645767" w:rsidRPr="003646BE" w:rsidRDefault="00645767" w:rsidP="00FA5F5C">
            <w:r w:rsidRPr="003646BE">
              <w:t>Conduit</w:t>
            </w:r>
          </w:p>
        </w:tc>
        <w:tc>
          <w:tcPr>
            <w:tcW w:w="2214" w:type="dxa"/>
          </w:tcPr>
          <w:p w14:paraId="0511E7CF" w14:textId="77777777" w:rsidR="00645767" w:rsidRPr="003646BE" w:rsidRDefault="00645767" w:rsidP="003646BE">
            <w:pPr>
              <w:jc w:val="right"/>
            </w:pPr>
            <w:r w:rsidRPr="003646BE">
              <w:t>2.2%</w:t>
            </w:r>
          </w:p>
        </w:tc>
        <w:tc>
          <w:tcPr>
            <w:tcW w:w="2214" w:type="dxa"/>
          </w:tcPr>
          <w:p w14:paraId="1AF69897" w14:textId="77777777" w:rsidR="00645767" w:rsidRPr="003646BE" w:rsidRDefault="00645767" w:rsidP="003646BE">
            <w:pPr>
              <w:jc w:val="right"/>
            </w:pPr>
            <w:r w:rsidRPr="003646BE">
              <w:t>3.2%</w:t>
            </w:r>
          </w:p>
        </w:tc>
        <w:tc>
          <w:tcPr>
            <w:tcW w:w="2214" w:type="dxa"/>
          </w:tcPr>
          <w:p w14:paraId="014888AA" w14:textId="77777777" w:rsidR="00645767" w:rsidRPr="003646BE" w:rsidRDefault="00645767" w:rsidP="003646BE">
            <w:pPr>
              <w:jc w:val="right"/>
            </w:pPr>
            <w:r w:rsidRPr="003646BE">
              <w:t>3.4%</w:t>
            </w:r>
          </w:p>
        </w:tc>
      </w:tr>
      <w:tr w:rsidR="00C9686A" w:rsidRPr="003646BE" w14:paraId="4BB9F400" w14:textId="77777777" w:rsidTr="003646BE">
        <w:tc>
          <w:tcPr>
            <w:tcW w:w="2214" w:type="dxa"/>
          </w:tcPr>
          <w:p w14:paraId="285637F9" w14:textId="77777777" w:rsidR="00C9686A" w:rsidRPr="003646BE" w:rsidRDefault="00C9686A" w:rsidP="003446D8">
            <w:r>
              <w:t>Drop</w:t>
            </w:r>
          </w:p>
        </w:tc>
        <w:tc>
          <w:tcPr>
            <w:tcW w:w="2214" w:type="dxa"/>
          </w:tcPr>
          <w:p w14:paraId="0EAE12CB" w14:textId="77777777" w:rsidR="00C9686A" w:rsidRPr="003646BE" w:rsidRDefault="00E84202" w:rsidP="003646BE">
            <w:pPr>
              <w:jc w:val="right"/>
            </w:pPr>
            <w:r>
              <w:t>1.4%</w:t>
            </w:r>
          </w:p>
        </w:tc>
        <w:tc>
          <w:tcPr>
            <w:tcW w:w="2214" w:type="dxa"/>
          </w:tcPr>
          <w:p w14:paraId="4713A639" w14:textId="77777777" w:rsidR="00C9686A" w:rsidRPr="003646BE" w:rsidRDefault="00C9686A" w:rsidP="003646BE">
            <w:pPr>
              <w:jc w:val="right"/>
            </w:pPr>
            <w:r>
              <w:t>0.3%</w:t>
            </w:r>
          </w:p>
        </w:tc>
        <w:tc>
          <w:tcPr>
            <w:tcW w:w="2214" w:type="dxa"/>
          </w:tcPr>
          <w:p w14:paraId="57DCC68D" w14:textId="77777777" w:rsidR="00C9686A" w:rsidRPr="003646BE" w:rsidRDefault="00C9686A" w:rsidP="003646BE">
            <w:pPr>
              <w:jc w:val="right"/>
            </w:pPr>
            <w:r>
              <w:t>0.3%</w:t>
            </w:r>
          </w:p>
        </w:tc>
      </w:tr>
      <w:tr w:rsidR="00C9686A" w:rsidRPr="003646BE" w14:paraId="42D2A128" w14:textId="77777777" w:rsidTr="003646BE">
        <w:tc>
          <w:tcPr>
            <w:tcW w:w="2214" w:type="dxa"/>
          </w:tcPr>
          <w:p w14:paraId="37D2899B" w14:textId="77777777" w:rsidR="00C9686A" w:rsidRPr="003646BE" w:rsidRDefault="00C9686A" w:rsidP="003446D8">
            <w:r>
              <w:t>ONT</w:t>
            </w:r>
          </w:p>
        </w:tc>
        <w:tc>
          <w:tcPr>
            <w:tcW w:w="2214" w:type="dxa"/>
          </w:tcPr>
          <w:p w14:paraId="22F5BE7A" w14:textId="77777777" w:rsidR="00C9686A" w:rsidRPr="003646BE" w:rsidRDefault="00E84202" w:rsidP="003646BE">
            <w:pPr>
              <w:jc w:val="right"/>
            </w:pPr>
            <w:r>
              <w:t>9.1%</w:t>
            </w:r>
          </w:p>
        </w:tc>
        <w:tc>
          <w:tcPr>
            <w:tcW w:w="2214" w:type="dxa"/>
          </w:tcPr>
          <w:p w14:paraId="48990684" w14:textId="77777777" w:rsidR="00C9686A" w:rsidRPr="003646BE" w:rsidRDefault="00C9686A" w:rsidP="003646BE">
            <w:pPr>
              <w:jc w:val="right"/>
            </w:pPr>
            <w:r>
              <w:t>3.4%</w:t>
            </w:r>
          </w:p>
        </w:tc>
        <w:tc>
          <w:tcPr>
            <w:tcW w:w="2214" w:type="dxa"/>
          </w:tcPr>
          <w:p w14:paraId="319BD8A3" w14:textId="77777777" w:rsidR="00C9686A" w:rsidRPr="003646BE" w:rsidRDefault="00C9686A" w:rsidP="003646BE">
            <w:pPr>
              <w:jc w:val="right"/>
            </w:pPr>
            <w:r>
              <w:t>2.9%</w:t>
            </w:r>
          </w:p>
        </w:tc>
      </w:tr>
      <w:tr w:rsidR="00C9686A" w:rsidRPr="003646BE" w14:paraId="10E6D54D" w14:textId="77777777" w:rsidTr="003646BE">
        <w:tc>
          <w:tcPr>
            <w:tcW w:w="2214" w:type="dxa"/>
          </w:tcPr>
          <w:p w14:paraId="257D615C" w14:textId="77777777" w:rsidR="00C9686A" w:rsidRPr="003646BE" w:rsidRDefault="00C9686A" w:rsidP="003F40A8">
            <w:r>
              <w:t xml:space="preserve">Fiber </w:t>
            </w:r>
            <w:r w:rsidR="003F40A8">
              <w:t>p</w:t>
            </w:r>
            <w:r>
              <w:t>edestal</w:t>
            </w:r>
            <w:r w:rsidR="003F40A8">
              <w:t>s</w:t>
            </w:r>
          </w:p>
        </w:tc>
        <w:tc>
          <w:tcPr>
            <w:tcW w:w="2214" w:type="dxa"/>
          </w:tcPr>
          <w:p w14:paraId="560CDA7E" w14:textId="77777777" w:rsidR="00C9686A" w:rsidRPr="003646BE" w:rsidRDefault="00E84202" w:rsidP="003646BE">
            <w:pPr>
              <w:jc w:val="right"/>
            </w:pPr>
            <w:r>
              <w:t>2.7%</w:t>
            </w:r>
          </w:p>
        </w:tc>
        <w:tc>
          <w:tcPr>
            <w:tcW w:w="2214" w:type="dxa"/>
          </w:tcPr>
          <w:p w14:paraId="4626E5F8" w14:textId="77777777" w:rsidR="00C9686A" w:rsidRPr="003646BE" w:rsidRDefault="00C9686A" w:rsidP="003646BE">
            <w:pPr>
              <w:jc w:val="right"/>
            </w:pPr>
            <w:r>
              <w:t>1.8%</w:t>
            </w:r>
          </w:p>
        </w:tc>
        <w:tc>
          <w:tcPr>
            <w:tcW w:w="2214" w:type="dxa"/>
          </w:tcPr>
          <w:p w14:paraId="5D513EE6" w14:textId="77777777" w:rsidR="00C9686A" w:rsidRPr="003646BE" w:rsidRDefault="00C9686A" w:rsidP="003646BE">
            <w:pPr>
              <w:jc w:val="right"/>
            </w:pPr>
            <w:r>
              <w:t>1.6%</w:t>
            </w:r>
          </w:p>
        </w:tc>
      </w:tr>
      <w:tr w:rsidR="00C9686A" w:rsidRPr="003646BE" w14:paraId="2D28B094" w14:textId="77777777" w:rsidTr="003646BE">
        <w:tc>
          <w:tcPr>
            <w:tcW w:w="2214" w:type="dxa"/>
          </w:tcPr>
          <w:p w14:paraId="029192FD" w14:textId="77777777" w:rsidR="00C9686A" w:rsidRPr="003646BE" w:rsidRDefault="00C9686A" w:rsidP="003446D8">
            <w:r>
              <w:t>Splitter</w:t>
            </w:r>
            <w:r w:rsidR="005C0CBD">
              <w:t>s</w:t>
            </w:r>
            <w:r w:rsidR="007C7400">
              <w:t>*</w:t>
            </w:r>
          </w:p>
        </w:tc>
        <w:tc>
          <w:tcPr>
            <w:tcW w:w="2214" w:type="dxa"/>
          </w:tcPr>
          <w:p w14:paraId="25C0A73D" w14:textId="77777777" w:rsidR="00C9686A" w:rsidRPr="003646BE" w:rsidRDefault="00E84202" w:rsidP="003646BE">
            <w:pPr>
              <w:jc w:val="right"/>
            </w:pPr>
            <w:r>
              <w:t>5.7%</w:t>
            </w:r>
          </w:p>
        </w:tc>
        <w:tc>
          <w:tcPr>
            <w:tcW w:w="2214" w:type="dxa"/>
          </w:tcPr>
          <w:p w14:paraId="6ADC92E5" w14:textId="77777777" w:rsidR="00C9686A" w:rsidRPr="003646BE" w:rsidRDefault="00C9686A" w:rsidP="003646BE">
            <w:pPr>
              <w:jc w:val="right"/>
            </w:pPr>
            <w:r>
              <w:t>6.3%</w:t>
            </w:r>
          </w:p>
        </w:tc>
        <w:tc>
          <w:tcPr>
            <w:tcW w:w="2214" w:type="dxa"/>
          </w:tcPr>
          <w:p w14:paraId="2AFC53D4" w14:textId="77777777" w:rsidR="00C9686A" w:rsidRPr="003646BE" w:rsidRDefault="00C9686A" w:rsidP="003646BE">
            <w:pPr>
              <w:jc w:val="right"/>
            </w:pPr>
            <w:r>
              <w:t>6.5%</w:t>
            </w:r>
          </w:p>
        </w:tc>
      </w:tr>
      <w:tr w:rsidR="00645767" w:rsidRPr="003646BE" w14:paraId="61CFBB52" w14:textId="77777777" w:rsidTr="003646BE">
        <w:tc>
          <w:tcPr>
            <w:tcW w:w="2214" w:type="dxa"/>
          </w:tcPr>
          <w:p w14:paraId="0D0AD8F6" w14:textId="77777777" w:rsidR="00645767" w:rsidRPr="003646BE" w:rsidRDefault="008B0D91" w:rsidP="003446D8">
            <w:r>
              <w:t>Electronics</w:t>
            </w:r>
          </w:p>
        </w:tc>
        <w:tc>
          <w:tcPr>
            <w:tcW w:w="2214" w:type="dxa"/>
          </w:tcPr>
          <w:p w14:paraId="74321BDF" w14:textId="77777777" w:rsidR="00645767" w:rsidRPr="003646BE" w:rsidRDefault="005B7E64" w:rsidP="003646BE">
            <w:pPr>
              <w:jc w:val="right"/>
            </w:pPr>
            <w:r>
              <w:t>6.4</w:t>
            </w:r>
            <w:r w:rsidR="00645767" w:rsidRPr="003646BE">
              <w:t>%</w:t>
            </w:r>
          </w:p>
        </w:tc>
        <w:tc>
          <w:tcPr>
            <w:tcW w:w="2214" w:type="dxa"/>
          </w:tcPr>
          <w:p w14:paraId="4164374B" w14:textId="77777777" w:rsidR="00645767" w:rsidRPr="003646BE" w:rsidRDefault="00C9686A" w:rsidP="003646BE">
            <w:pPr>
              <w:jc w:val="right"/>
            </w:pPr>
            <w:r>
              <w:t>3.4</w:t>
            </w:r>
            <w:r w:rsidR="00645767" w:rsidRPr="003646BE">
              <w:t>%</w:t>
            </w:r>
          </w:p>
        </w:tc>
        <w:tc>
          <w:tcPr>
            <w:tcW w:w="2214" w:type="dxa"/>
          </w:tcPr>
          <w:p w14:paraId="3CAA06B2" w14:textId="77777777" w:rsidR="00645767" w:rsidRPr="003646BE" w:rsidRDefault="00C9686A" w:rsidP="003646BE">
            <w:pPr>
              <w:jc w:val="right"/>
            </w:pPr>
            <w:r>
              <w:t>3.1</w:t>
            </w:r>
            <w:r w:rsidR="00645767" w:rsidRPr="003646BE">
              <w:t>%</w:t>
            </w:r>
          </w:p>
        </w:tc>
      </w:tr>
      <w:tr w:rsidR="00645767" w:rsidRPr="003646BE" w14:paraId="203C94EC" w14:textId="77777777" w:rsidTr="003646BE">
        <w:tc>
          <w:tcPr>
            <w:tcW w:w="2214" w:type="dxa"/>
          </w:tcPr>
          <w:p w14:paraId="79521EC3" w14:textId="77777777" w:rsidR="00645767" w:rsidRPr="003646BE" w:rsidRDefault="00645767" w:rsidP="00FA5F5C">
            <w:r w:rsidRPr="003646BE">
              <w:t>Land/Building</w:t>
            </w:r>
            <w:r w:rsidR="005E7CD6">
              <w:t>s</w:t>
            </w:r>
          </w:p>
        </w:tc>
        <w:tc>
          <w:tcPr>
            <w:tcW w:w="2214" w:type="dxa"/>
          </w:tcPr>
          <w:p w14:paraId="5E732735" w14:textId="77777777" w:rsidR="00645767" w:rsidRPr="003646BE" w:rsidRDefault="00645767" w:rsidP="003646BE">
            <w:pPr>
              <w:jc w:val="right"/>
            </w:pPr>
            <w:r w:rsidRPr="003646BE">
              <w:t>8.7%</w:t>
            </w:r>
          </w:p>
        </w:tc>
        <w:tc>
          <w:tcPr>
            <w:tcW w:w="2214" w:type="dxa"/>
          </w:tcPr>
          <w:p w14:paraId="02B40C93" w14:textId="77777777" w:rsidR="00645767" w:rsidRPr="003646BE" w:rsidRDefault="00645767" w:rsidP="003646BE">
            <w:pPr>
              <w:jc w:val="right"/>
            </w:pPr>
            <w:r w:rsidRPr="003646BE">
              <w:t>6.0%</w:t>
            </w:r>
          </w:p>
        </w:tc>
        <w:tc>
          <w:tcPr>
            <w:tcW w:w="2214" w:type="dxa"/>
          </w:tcPr>
          <w:p w14:paraId="50532198" w14:textId="77777777" w:rsidR="00645767" w:rsidRPr="003646BE" w:rsidRDefault="00645767" w:rsidP="003646BE">
            <w:pPr>
              <w:jc w:val="right"/>
            </w:pPr>
            <w:r w:rsidRPr="003646BE">
              <w:t>5.3%</w:t>
            </w:r>
          </w:p>
        </w:tc>
      </w:tr>
      <w:tr w:rsidR="00645767" w:rsidRPr="003646BE" w14:paraId="68E5B096" w14:textId="77777777" w:rsidTr="003646BE">
        <w:tc>
          <w:tcPr>
            <w:tcW w:w="2214" w:type="dxa"/>
          </w:tcPr>
          <w:p w14:paraId="4F29DDE7" w14:textId="77777777" w:rsidR="00645767" w:rsidRPr="003646BE" w:rsidRDefault="008B0D91" w:rsidP="00FA5F5C">
            <w:r>
              <w:t>Total</w:t>
            </w:r>
            <w:r w:rsidR="007C7400" w:rsidRPr="007C7400">
              <w:rPr>
                <w:vertAlign w:val="superscript"/>
              </w:rPr>
              <w:t>†</w:t>
            </w:r>
          </w:p>
        </w:tc>
        <w:tc>
          <w:tcPr>
            <w:tcW w:w="2214" w:type="dxa"/>
          </w:tcPr>
          <w:p w14:paraId="1432BB4A" w14:textId="77777777" w:rsidR="00645767" w:rsidRPr="003646BE" w:rsidRDefault="00645767" w:rsidP="003646BE">
            <w:pPr>
              <w:jc w:val="right"/>
            </w:pPr>
            <w:r w:rsidRPr="003646BE">
              <w:t>100.0%</w:t>
            </w:r>
          </w:p>
        </w:tc>
        <w:tc>
          <w:tcPr>
            <w:tcW w:w="2214" w:type="dxa"/>
          </w:tcPr>
          <w:p w14:paraId="7947CD96" w14:textId="77777777" w:rsidR="00645767" w:rsidRPr="003646BE" w:rsidRDefault="00645767" w:rsidP="003646BE">
            <w:pPr>
              <w:jc w:val="right"/>
            </w:pPr>
            <w:r w:rsidRPr="003646BE">
              <w:t>100.0%</w:t>
            </w:r>
          </w:p>
        </w:tc>
        <w:tc>
          <w:tcPr>
            <w:tcW w:w="2214" w:type="dxa"/>
          </w:tcPr>
          <w:p w14:paraId="52A6ED2D" w14:textId="77777777" w:rsidR="00645767" w:rsidRPr="003646BE" w:rsidRDefault="00645767" w:rsidP="003646BE">
            <w:pPr>
              <w:jc w:val="right"/>
            </w:pPr>
            <w:r w:rsidRPr="003646BE">
              <w:t>100.0%</w:t>
            </w:r>
          </w:p>
        </w:tc>
      </w:tr>
    </w:tbl>
    <w:p w14:paraId="4EB45125" w14:textId="77777777" w:rsidR="007C7400" w:rsidRPr="007C7400" w:rsidRDefault="00645767" w:rsidP="00FA5F5C">
      <w:pPr>
        <w:rPr>
          <w:sz w:val="22"/>
          <w:szCs w:val="22"/>
        </w:rPr>
      </w:pPr>
      <w:r w:rsidRPr="007C7400">
        <w:rPr>
          <w:sz w:val="22"/>
          <w:szCs w:val="22"/>
        </w:rPr>
        <w:t xml:space="preserve">* </w:t>
      </w:r>
      <w:r w:rsidR="007C7400" w:rsidRPr="007C7400">
        <w:rPr>
          <w:sz w:val="22"/>
          <w:szCs w:val="22"/>
        </w:rPr>
        <w:t>Approximately 30% of this category is fiber, but the two expenses are not easily separated.</w:t>
      </w:r>
    </w:p>
    <w:p w14:paraId="7699CC6F" w14:textId="77777777" w:rsidR="00645767" w:rsidRPr="007C7400" w:rsidRDefault="007C7400" w:rsidP="00FA5F5C">
      <w:pPr>
        <w:rPr>
          <w:sz w:val="22"/>
          <w:szCs w:val="22"/>
        </w:rPr>
      </w:pPr>
      <w:r w:rsidRPr="007C7400">
        <w:rPr>
          <w:sz w:val="22"/>
          <w:szCs w:val="22"/>
          <w:vertAlign w:val="superscript"/>
        </w:rPr>
        <w:t>†</w:t>
      </w:r>
      <w:r w:rsidRPr="007C7400">
        <w:rPr>
          <w:sz w:val="22"/>
          <w:szCs w:val="22"/>
        </w:rPr>
        <w:t xml:space="preserve"> </w:t>
      </w:r>
      <w:r w:rsidR="00645767" w:rsidRPr="007C7400">
        <w:rPr>
          <w:sz w:val="22"/>
          <w:szCs w:val="22"/>
        </w:rPr>
        <w:t xml:space="preserve">Individual components </w:t>
      </w:r>
      <w:r w:rsidR="0053731C">
        <w:rPr>
          <w:sz w:val="22"/>
          <w:szCs w:val="22"/>
        </w:rPr>
        <w:t>may</w:t>
      </w:r>
      <w:r w:rsidR="0053731C" w:rsidRPr="007C7400">
        <w:rPr>
          <w:sz w:val="22"/>
          <w:szCs w:val="22"/>
        </w:rPr>
        <w:t xml:space="preserve"> </w:t>
      </w:r>
      <w:r w:rsidR="00645767" w:rsidRPr="007C7400">
        <w:rPr>
          <w:sz w:val="22"/>
          <w:szCs w:val="22"/>
        </w:rPr>
        <w:t>not sum to 100 percent due to rounding.</w:t>
      </w:r>
    </w:p>
    <w:p w14:paraId="0544AFEB" w14:textId="77777777" w:rsidR="00645767" w:rsidRPr="007C7400" w:rsidRDefault="00645767" w:rsidP="00FA5F5C">
      <w:pPr>
        <w:rPr>
          <w:sz w:val="22"/>
          <w:szCs w:val="22"/>
        </w:rPr>
      </w:pPr>
      <w:r w:rsidRPr="007C7400">
        <w:rPr>
          <w:b/>
          <w:sz w:val="22"/>
          <w:szCs w:val="22"/>
        </w:rPr>
        <w:t>Source</w:t>
      </w:r>
      <w:r w:rsidRPr="007C7400">
        <w:rPr>
          <w:sz w:val="22"/>
          <w:szCs w:val="22"/>
        </w:rPr>
        <w:t>: CAM</w:t>
      </w:r>
      <w:r w:rsidR="00B15715">
        <w:rPr>
          <w:sz w:val="22"/>
          <w:szCs w:val="22"/>
        </w:rPr>
        <w:t xml:space="preserve"> </w:t>
      </w:r>
      <w:r w:rsidRPr="007C7400">
        <w:rPr>
          <w:sz w:val="22"/>
          <w:szCs w:val="22"/>
        </w:rPr>
        <w:t>(version 3.1)</w:t>
      </w:r>
    </w:p>
    <w:p w14:paraId="371D8BEF" w14:textId="77777777" w:rsidR="00645767" w:rsidRDefault="00645767" w:rsidP="00FA5F5C"/>
    <w:p w14:paraId="038E2732" w14:textId="77777777" w:rsidR="00645767" w:rsidRPr="00D55285" w:rsidRDefault="00617E48" w:rsidP="00FA5F5C">
      <w:pPr>
        <w:rPr>
          <w:b/>
        </w:rPr>
      </w:pPr>
      <w:r>
        <w:rPr>
          <w:b/>
        </w:rPr>
        <w:t>Average annual change in l</w:t>
      </w:r>
      <w:r w:rsidR="008B0D91">
        <w:rPr>
          <w:b/>
        </w:rPr>
        <w:t>abor</w:t>
      </w:r>
      <w:r>
        <w:rPr>
          <w:b/>
        </w:rPr>
        <w:t xml:space="preserve"> costs</w:t>
      </w:r>
    </w:p>
    <w:p w14:paraId="7F8254B2" w14:textId="77777777" w:rsidR="00645767" w:rsidRDefault="00645767" w:rsidP="00FA5F5C">
      <w:r>
        <w:t xml:space="preserve">Limited information was available to us on cost movement for the </w:t>
      </w:r>
      <w:r w:rsidR="008B0D91">
        <w:t>ten</w:t>
      </w:r>
      <w:r>
        <w:t xml:space="preserve"> cost categories just outlined.  The following table illustrates that historically</w:t>
      </w:r>
      <w:r w:rsidR="00CD21A2">
        <w:t>,</w:t>
      </w:r>
      <w:r w:rsidR="00190EAE">
        <w:t xml:space="preserve"> </w:t>
      </w:r>
      <w:r>
        <w:t xml:space="preserve">labor costs in telecommunications have tended to experience low positive annual growth, and </w:t>
      </w:r>
      <w:r w:rsidR="00CD21A2">
        <w:t xml:space="preserve">to grow </w:t>
      </w:r>
      <w:r>
        <w:t xml:space="preserve">at lower </w:t>
      </w:r>
      <w:r w:rsidR="00775792">
        <w:t>rates</w:t>
      </w:r>
      <w:r>
        <w:t xml:space="preserve"> than the national average.  The data</w:t>
      </w:r>
      <w:r w:rsidRPr="00365B76">
        <w:t xml:space="preserve"> come from </w:t>
      </w:r>
      <w:r w:rsidR="00190EAE">
        <w:t>the Bureau of Labor Statistics’</w:t>
      </w:r>
      <w:r w:rsidRPr="00365B76">
        <w:t xml:space="preserve"> Occupational Employment Statistics, where we used average annual wages for the private sector as a whole and the telecommunications industry in particular, for 2002 to 2012.  </w:t>
      </w:r>
      <w:r>
        <w:t>In our sensitivity analysis</w:t>
      </w:r>
      <w:r w:rsidR="00786C6D">
        <w:t>,</w:t>
      </w:r>
      <w:r>
        <w:t xml:space="preserve"> we used the average five and ten year annualized rates of change in telecommunications labor costs.</w:t>
      </w:r>
    </w:p>
    <w:p w14:paraId="45F81EF5" w14:textId="77777777" w:rsidR="00645767" w:rsidRDefault="00645767" w:rsidP="00FA5F5C"/>
    <w:p w14:paraId="5AC8853A" w14:textId="77777777" w:rsidR="00645767" w:rsidRPr="00CC7D7E" w:rsidRDefault="00645767" w:rsidP="00FA5F5C">
      <w:pPr>
        <w:rPr>
          <w:b/>
        </w:rPr>
      </w:pPr>
      <w:r w:rsidRPr="00CC7D7E">
        <w:rPr>
          <w:b/>
        </w:rPr>
        <w:t>Average annual change in labor costs</w:t>
      </w:r>
    </w:p>
    <w:p w14:paraId="59ABF54F" w14:textId="77777777" w:rsidR="00645767" w:rsidRDefault="0046391B" w:rsidP="00FA5F5C">
      <w:r>
        <w:rPr>
          <w:noProof/>
        </w:rPr>
        <w:pict w14:anchorId="35FAD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304.9pt;height:72.4pt;visibility:visible">
            <v:imagedata r:id="rId8" o:title=""/>
          </v:shape>
        </w:pict>
      </w:r>
    </w:p>
    <w:p w14:paraId="34EEBF7A" w14:textId="77777777" w:rsidR="00645767" w:rsidRDefault="00645767" w:rsidP="00FA5F5C"/>
    <w:p w14:paraId="463474C0" w14:textId="77777777" w:rsidR="00645767" w:rsidRPr="007D7961" w:rsidRDefault="00645767" w:rsidP="00FA5F5C">
      <w:pPr>
        <w:rPr>
          <w:b/>
        </w:rPr>
      </w:pPr>
      <w:r w:rsidRPr="007D7961">
        <w:rPr>
          <w:b/>
        </w:rPr>
        <w:t>Average annual change in fiber, poles, conduit</w:t>
      </w:r>
      <w:r w:rsidR="005C0CBD">
        <w:rPr>
          <w:b/>
        </w:rPr>
        <w:t>,</w:t>
      </w:r>
      <w:r w:rsidRPr="007D7961">
        <w:rPr>
          <w:b/>
        </w:rPr>
        <w:t xml:space="preserve"> </w:t>
      </w:r>
      <w:r w:rsidR="005C0CBD">
        <w:rPr>
          <w:b/>
        </w:rPr>
        <w:t xml:space="preserve">drop, ONT, fiber pedestal, splitters, </w:t>
      </w:r>
      <w:r w:rsidRPr="007D7961">
        <w:rPr>
          <w:b/>
        </w:rPr>
        <w:t>and electronics</w:t>
      </w:r>
    </w:p>
    <w:p w14:paraId="656FC3E3" w14:textId="77777777" w:rsidR="002A56C6" w:rsidRDefault="00645767" w:rsidP="00FA5F5C">
      <w:r>
        <w:t xml:space="preserve">We do not have good data sources for the history of price changes for the </w:t>
      </w:r>
      <w:r w:rsidR="001D51AC">
        <w:t xml:space="preserve">following </w:t>
      </w:r>
      <w:r>
        <w:t>inputs</w:t>
      </w:r>
      <w:r w:rsidR="001D51AC">
        <w:t>:</w:t>
      </w:r>
      <w:r>
        <w:t xml:space="preserve"> fiber, poles, </w:t>
      </w:r>
      <w:r w:rsidRPr="00F240ED">
        <w:t xml:space="preserve">conduit, </w:t>
      </w:r>
      <w:r w:rsidR="00F240ED" w:rsidRPr="00F240ED">
        <w:t>drop, ONT, fiber pedestal, splitters,</w:t>
      </w:r>
      <w:r w:rsidR="00F240ED">
        <w:rPr>
          <w:b/>
        </w:rPr>
        <w:t xml:space="preserve"> </w:t>
      </w:r>
      <w:r>
        <w:t xml:space="preserve">and electronics.  However, the CAM’s overall cost changes are not </w:t>
      </w:r>
      <w:r w:rsidR="00F240ED">
        <w:t xml:space="preserve">particularly </w:t>
      </w:r>
      <w:r>
        <w:t xml:space="preserve">sensitive to the individual cost of </w:t>
      </w:r>
      <w:r w:rsidR="00F240ED">
        <w:t>any of these.  For the 90</w:t>
      </w:r>
      <w:r w:rsidR="00F240ED" w:rsidRPr="00F240ED">
        <w:rPr>
          <w:vertAlign w:val="superscript"/>
        </w:rPr>
        <w:t>th</w:t>
      </w:r>
      <w:r w:rsidR="00F240ED">
        <w:t xml:space="preserve"> to 99</w:t>
      </w:r>
      <w:r w:rsidR="00F240ED" w:rsidRPr="00F240ED">
        <w:rPr>
          <w:vertAlign w:val="superscript"/>
        </w:rPr>
        <w:t>th</w:t>
      </w:r>
      <w:r w:rsidR="00F240ED">
        <w:t xml:space="preserve"> cost percentiles, the cost share for each, excepting splitters</w:t>
      </w:r>
      <w:r w:rsidR="00FB0E55">
        <w:t>,</w:t>
      </w:r>
      <w:r w:rsidR="00F240ED">
        <w:t xml:space="preserve"> </w:t>
      </w:r>
      <w:r>
        <w:t xml:space="preserve">does not </w:t>
      </w:r>
      <w:r w:rsidR="00F240ED">
        <w:t xml:space="preserve">exceed </w:t>
      </w:r>
      <w:r>
        <w:t>4 percent</w:t>
      </w:r>
      <w:r w:rsidR="00F240ED">
        <w:t xml:space="preserve"> (the cost share of splitters is 6.3</w:t>
      </w:r>
      <w:r w:rsidR="00FB0E55">
        <w:t xml:space="preserve"> percent</w:t>
      </w:r>
      <w:r w:rsidR="00F240ED">
        <w:t>)</w:t>
      </w:r>
      <w:r>
        <w:t xml:space="preserve">.  </w:t>
      </w:r>
    </w:p>
    <w:p w14:paraId="0BBAC903" w14:textId="77777777" w:rsidR="002A56C6" w:rsidRDefault="002A56C6" w:rsidP="00FA5F5C"/>
    <w:p w14:paraId="17BE40FF" w14:textId="77777777" w:rsidR="00645767" w:rsidRDefault="00645767" w:rsidP="00FA5F5C">
      <w:r>
        <w:t>We believe that</w:t>
      </w:r>
      <w:r w:rsidR="00190EAE">
        <w:t xml:space="preserve"> </w:t>
      </w:r>
      <w:r>
        <w:t xml:space="preserve">fiber </w:t>
      </w:r>
      <w:r w:rsidR="00A32C85">
        <w:t>prices</w:t>
      </w:r>
      <w:r>
        <w:t xml:space="preserve"> rarely decline faster than an annualized rate of 5 percent, and so, leaning toward understatement of cost growth, we use a 5 percent decline in fiber prices in our sensitivity tests.</w:t>
      </w:r>
      <w:r w:rsidR="005E7CD6">
        <w:t xml:space="preserve">  </w:t>
      </w:r>
      <w:r>
        <w:t>USAC’s cost modeling contractor (CostQuest) estimated an annual two percent decline in fiber costs based on work it does for its private-sector clients.</w:t>
      </w:r>
    </w:p>
    <w:p w14:paraId="78D0465B" w14:textId="77777777" w:rsidR="00645767" w:rsidRDefault="00645767" w:rsidP="00FA5F5C"/>
    <w:p w14:paraId="69281B73" w14:textId="77777777" w:rsidR="00645767" w:rsidRDefault="00645767" w:rsidP="00FA5F5C">
      <w:r>
        <w:t xml:space="preserve">We </w:t>
      </w:r>
      <w:r w:rsidR="00A32C85">
        <w:t>assume the following annual price changes: for poles,</w:t>
      </w:r>
      <w:r>
        <w:t xml:space="preserve"> 2 percent</w:t>
      </w:r>
      <w:r w:rsidR="00A32C85">
        <w:t xml:space="preserve">; </w:t>
      </w:r>
      <w:r>
        <w:t>conduit</w:t>
      </w:r>
      <w:r w:rsidR="002A56C6">
        <w:t xml:space="preserve">, </w:t>
      </w:r>
      <w:r w:rsidR="00A32C85">
        <w:t>no change; drop costs,</w:t>
      </w:r>
      <w:r w:rsidR="002A56C6">
        <w:t xml:space="preserve"> </w:t>
      </w:r>
      <w:r w:rsidR="00A32C85">
        <w:t>-</w:t>
      </w:r>
      <w:r w:rsidR="002A56C6">
        <w:t>2 percent</w:t>
      </w:r>
      <w:r w:rsidR="00A32C85">
        <w:t>;</w:t>
      </w:r>
      <w:r w:rsidR="002A56C6">
        <w:t xml:space="preserve"> </w:t>
      </w:r>
      <w:r w:rsidR="00A32C85">
        <w:t xml:space="preserve">and </w:t>
      </w:r>
      <w:r w:rsidR="005F024C">
        <w:t>ONT, fiber pedestals and splitters</w:t>
      </w:r>
      <w:r w:rsidR="00A32C85">
        <w:t>, all -5 percent</w:t>
      </w:r>
      <w:r>
        <w:t>.  These estimates of price changes also come from CostQuest.</w:t>
      </w:r>
    </w:p>
    <w:p w14:paraId="42B1F780" w14:textId="77777777" w:rsidR="00645767" w:rsidRDefault="00645767" w:rsidP="00FA5F5C"/>
    <w:p w14:paraId="4070B27B" w14:textId="77777777" w:rsidR="00645767" w:rsidRDefault="00645767" w:rsidP="00FA5F5C">
      <w:r>
        <w:t>We believe electronic costs likely fall by a material amount over time, but do not have data appropriate to this cost category.  Accordingly, again leaning toward understatement of cost growth, in our sensitivity tests we apply a range of annual cost declines of -</w:t>
      </w:r>
      <w:r w:rsidR="00E84202">
        <w:t xml:space="preserve">30 </w:t>
      </w:r>
      <w:r>
        <w:t>to -</w:t>
      </w:r>
      <w:r w:rsidR="00E84202">
        <w:t>10</w:t>
      </w:r>
      <w:r>
        <w:t xml:space="preserve"> percent to electronics. We believe that this range is likely to underestimate the actual reasonable range of price movements in electronics.</w:t>
      </w:r>
      <w:r w:rsidR="007005D7">
        <w:rPr>
          <w:rStyle w:val="FootnoteReference"/>
        </w:rPr>
        <w:footnoteReference w:id="37"/>
      </w:r>
      <w:r w:rsidR="00782FC0">
        <w:t xml:space="preserve"> </w:t>
      </w:r>
    </w:p>
    <w:p w14:paraId="3E7BEF60" w14:textId="77777777" w:rsidR="00645767" w:rsidRDefault="00645767" w:rsidP="00FA5F5C"/>
    <w:p w14:paraId="339B15C9" w14:textId="77777777" w:rsidR="00645767" w:rsidRPr="00FF67D2" w:rsidRDefault="00645767" w:rsidP="00FA5F5C">
      <w:pPr>
        <w:rPr>
          <w:b/>
        </w:rPr>
      </w:pPr>
      <w:r w:rsidRPr="00FF67D2">
        <w:rPr>
          <w:b/>
        </w:rPr>
        <w:t xml:space="preserve">Average annual change in </w:t>
      </w:r>
      <w:r>
        <w:rPr>
          <w:b/>
        </w:rPr>
        <w:t>property costs</w:t>
      </w:r>
    </w:p>
    <w:p w14:paraId="5F9F86AD" w14:textId="77777777" w:rsidR="00645767" w:rsidRDefault="00645767" w:rsidP="00FA5F5C">
      <w:r>
        <w:t>We do not have a price series that could be associated with the cost of land and buildings used in network deployment.  As a potential indicator of price changes for this category, the following table lists changes in the price of certain kinds of commercial property.</w:t>
      </w:r>
      <w:r w:rsidR="005E7CD6">
        <w:t xml:space="preserve">  </w:t>
      </w:r>
      <w:r>
        <w:t>The data</w:t>
      </w:r>
      <w:r w:rsidRPr="00A55F6C">
        <w:t xml:space="preserve"> come from the Moody’s/RCA CPPI Report from April 9, 2013</w:t>
      </w:r>
      <w:r>
        <w:t>.  We</w:t>
      </w:r>
      <w:r w:rsidRPr="00A55F6C">
        <w:t xml:space="preserve"> used the May price index for all commercial (National), industrial, and core commercial real estate for 2002 to 2012.</w:t>
      </w:r>
      <w:r w:rsidR="00782FC0">
        <w:t xml:space="preserve">  </w:t>
      </w:r>
      <w:r>
        <w:t>In our sensitivity analysis we apply the lowest and highest rates of change listed in the table.</w:t>
      </w:r>
    </w:p>
    <w:p w14:paraId="05FE7FB4" w14:textId="77777777" w:rsidR="00645767" w:rsidRDefault="00645767" w:rsidP="00FA5F5C"/>
    <w:p w14:paraId="0F75E29A" w14:textId="77777777" w:rsidR="00645767" w:rsidRDefault="0046391B" w:rsidP="00FA5F5C">
      <w:r>
        <w:rPr>
          <w:noProof/>
        </w:rPr>
        <w:pict w14:anchorId="722341E6">
          <v:shape id="Picture 16" o:spid="_x0000_i1026" type="#_x0000_t75" style="width:430.5pt;height:67.9pt;visibility:visible">
            <v:imagedata r:id="rId9" o:title=""/>
          </v:shape>
        </w:pict>
      </w:r>
    </w:p>
    <w:p w14:paraId="3882E8FD" w14:textId="77777777" w:rsidR="00645767" w:rsidRDefault="00645767" w:rsidP="00FA5F5C"/>
    <w:p w14:paraId="113110D9" w14:textId="77777777" w:rsidR="00645767" w:rsidRPr="004C1CFA" w:rsidRDefault="00645767" w:rsidP="00FA5F5C">
      <w:pPr>
        <w:rPr>
          <w:b/>
        </w:rPr>
      </w:pPr>
      <w:r w:rsidRPr="004C1CFA">
        <w:rPr>
          <w:b/>
        </w:rPr>
        <w:t>TFP</w:t>
      </w:r>
      <w:r>
        <w:rPr>
          <w:b/>
        </w:rPr>
        <w:t xml:space="preserve"> growth</w:t>
      </w:r>
    </w:p>
    <w:p w14:paraId="22600DA1" w14:textId="77777777" w:rsidR="00645767" w:rsidRDefault="00645767" w:rsidP="00FA5F5C">
      <w:r>
        <w:t xml:space="preserve">We do not have any estimates for TFP growth in telecommunications.  The following table provides TFP estimates for the U.S. economy as a whole.  The “TFP-utilization” column produces gains in productivity that reflect capacity utilization.  The estimates </w:t>
      </w:r>
      <w:r w:rsidRPr="002D3EEB">
        <w:t>come from the Federal Reserve Bank of San Francisco’s Center for the Study of Income and Productivity</w:t>
      </w:r>
      <w:r>
        <w:t>, and d</w:t>
      </w:r>
      <w:r w:rsidRPr="00E665CF">
        <w:t xml:space="preserve">ata </w:t>
      </w:r>
      <w:r>
        <w:t xml:space="preserve">for 2012 </w:t>
      </w:r>
      <w:r w:rsidRPr="00E665CF">
        <w:t xml:space="preserve">was not yet available </w:t>
      </w:r>
      <w:r>
        <w:t>when we</w:t>
      </w:r>
      <w:r w:rsidRPr="00E665CF">
        <w:t xml:space="preserve"> accessed</w:t>
      </w:r>
      <w:r>
        <w:t xml:space="preserve"> the source.</w:t>
      </w:r>
      <w:r w:rsidR="005E7CD6">
        <w:t xml:space="preserve">  </w:t>
      </w:r>
      <w:r>
        <w:t>Again, in our sensitivity analysis we apply the lowest and highest rates of change listed in the table.</w:t>
      </w:r>
    </w:p>
    <w:p w14:paraId="59F7A730" w14:textId="77777777" w:rsidR="00645767" w:rsidRDefault="00645767" w:rsidP="00FA5F5C"/>
    <w:p w14:paraId="0CD5C424" w14:textId="77777777" w:rsidR="00645767" w:rsidRDefault="0046391B" w:rsidP="00FA5F5C">
      <w:r>
        <w:rPr>
          <w:noProof/>
        </w:rPr>
        <w:pict w14:anchorId="4DA40D57">
          <v:shape id="Picture 14" o:spid="_x0000_i1027" type="#_x0000_t75" style="width:304.9pt;height:72.4pt;visibility:visible">
            <v:imagedata r:id="rId10" o:title=""/>
          </v:shape>
        </w:pict>
      </w:r>
    </w:p>
    <w:p w14:paraId="7FD25B89" w14:textId="77777777" w:rsidR="00645767" w:rsidRPr="00FA5F5C" w:rsidRDefault="00645767" w:rsidP="00FA5F5C"/>
    <w:p w14:paraId="440E9B65" w14:textId="77777777" w:rsidR="00645767" w:rsidRPr="00EA28BE" w:rsidRDefault="00645767" w:rsidP="00FA5F5C">
      <w:pPr>
        <w:rPr>
          <w:b/>
        </w:rPr>
      </w:pPr>
      <w:r w:rsidRPr="00EA28BE">
        <w:rPr>
          <w:b/>
        </w:rPr>
        <w:t>Sensitivity testing</w:t>
      </w:r>
    </w:p>
    <w:p w14:paraId="7F6C38A5" w14:textId="77777777" w:rsidR="00645767" w:rsidRDefault="00645767" w:rsidP="00FA5F5C">
      <w:r>
        <w:t>Using the input price and TFP growth assumptions just described, we tested the sensitivity of each of the three cases outline</w:t>
      </w:r>
      <w:r w:rsidR="00A040AD">
        <w:t>d</w:t>
      </w:r>
      <w:r>
        <w:t xml:space="preserve"> above to input price and TFP changes: all lines, lines in the 90</w:t>
      </w:r>
      <w:r w:rsidRPr="00921416">
        <w:rPr>
          <w:vertAlign w:val="superscript"/>
        </w:rPr>
        <w:t>th</w:t>
      </w:r>
      <w:r>
        <w:t xml:space="preserve"> to 99</w:t>
      </w:r>
      <w:r w:rsidRPr="00921416">
        <w:rPr>
          <w:vertAlign w:val="superscript"/>
        </w:rPr>
        <w:t>th</w:t>
      </w:r>
      <w:r>
        <w:t xml:space="preserve"> cost percentile, and lines in 95</w:t>
      </w:r>
      <w:r w:rsidRPr="00921416">
        <w:rPr>
          <w:vertAlign w:val="superscript"/>
        </w:rPr>
        <w:t>th</w:t>
      </w:r>
      <w:r>
        <w:t xml:space="preserve"> to 99</w:t>
      </w:r>
      <w:r w:rsidRPr="00921416">
        <w:rPr>
          <w:vertAlign w:val="superscript"/>
        </w:rPr>
        <w:t>th</w:t>
      </w:r>
      <w:r>
        <w:t xml:space="preserve"> cost percentile.  Our results are reported in table below.  These results are not sensitive to small changes in the input price changes for any of the cost categories, or in the TFP growth estimates.</w:t>
      </w:r>
    </w:p>
    <w:p w14:paraId="75C612AA" w14:textId="77777777" w:rsidR="00645767" w:rsidRDefault="00645767" w:rsidP="00FA5F5C"/>
    <w:p w14:paraId="4AC7065C" w14:textId="77777777" w:rsidR="00645767" w:rsidRPr="005C33A5" w:rsidRDefault="00645767" w:rsidP="00FA5F5C">
      <w:pPr>
        <w:rPr>
          <w:b/>
        </w:rPr>
      </w:pPr>
      <w:r>
        <w:rPr>
          <w:b/>
        </w:rPr>
        <w:t>Scenario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1853"/>
        <w:gridCol w:w="1914"/>
      </w:tblGrid>
      <w:tr w:rsidR="00645767" w:rsidRPr="003646BE" w14:paraId="6ABAEFC8" w14:textId="77777777" w:rsidTr="003646BE">
        <w:tc>
          <w:tcPr>
            <w:tcW w:w="0" w:type="auto"/>
          </w:tcPr>
          <w:p w14:paraId="504BC1FA" w14:textId="77777777" w:rsidR="00645767" w:rsidRPr="003646BE" w:rsidRDefault="00645767" w:rsidP="00FA5F5C">
            <w:pPr>
              <w:rPr>
                <w:b/>
              </w:rPr>
            </w:pPr>
          </w:p>
        </w:tc>
        <w:tc>
          <w:tcPr>
            <w:tcW w:w="0" w:type="auto"/>
            <w:gridSpan w:val="2"/>
          </w:tcPr>
          <w:p w14:paraId="055D6366" w14:textId="77777777" w:rsidR="00645767" w:rsidRPr="003646BE" w:rsidRDefault="00645767" w:rsidP="00FA5F5C">
            <w:pPr>
              <w:rPr>
                <w:b/>
              </w:rPr>
            </w:pPr>
            <w:r w:rsidRPr="003646BE">
              <w:rPr>
                <w:b/>
              </w:rPr>
              <w:t>Assumed annual change in price</w:t>
            </w:r>
          </w:p>
        </w:tc>
      </w:tr>
      <w:tr w:rsidR="00645767" w:rsidRPr="003646BE" w14:paraId="2486C86E" w14:textId="77777777" w:rsidTr="003646BE">
        <w:tc>
          <w:tcPr>
            <w:tcW w:w="0" w:type="auto"/>
          </w:tcPr>
          <w:p w14:paraId="208DC08C" w14:textId="77777777" w:rsidR="00645767" w:rsidRPr="003646BE" w:rsidRDefault="00645767" w:rsidP="00FA5F5C">
            <w:pPr>
              <w:rPr>
                <w:b/>
              </w:rPr>
            </w:pPr>
            <w:r w:rsidRPr="003646BE">
              <w:rPr>
                <w:b/>
              </w:rPr>
              <w:t>Cost categories</w:t>
            </w:r>
          </w:p>
        </w:tc>
        <w:tc>
          <w:tcPr>
            <w:tcW w:w="0" w:type="auto"/>
          </w:tcPr>
          <w:p w14:paraId="79207C1E" w14:textId="77777777" w:rsidR="00645767" w:rsidRPr="003646BE" w:rsidRDefault="00645767" w:rsidP="00FA5F5C">
            <w:pPr>
              <w:rPr>
                <w:b/>
              </w:rPr>
            </w:pPr>
            <w:r w:rsidRPr="003646BE">
              <w:rPr>
                <w:b/>
              </w:rPr>
              <w:t>Low estimate</w:t>
            </w:r>
          </w:p>
        </w:tc>
        <w:tc>
          <w:tcPr>
            <w:tcW w:w="0" w:type="auto"/>
          </w:tcPr>
          <w:p w14:paraId="6E46931E" w14:textId="77777777" w:rsidR="00645767" w:rsidRPr="003646BE" w:rsidRDefault="00645767" w:rsidP="00FA5F5C">
            <w:pPr>
              <w:rPr>
                <w:b/>
              </w:rPr>
            </w:pPr>
            <w:r w:rsidRPr="003646BE">
              <w:rPr>
                <w:b/>
              </w:rPr>
              <w:t>High estimate</w:t>
            </w:r>
          </w:p>
        </w:tc>
      </w:tr>
      <w:tr w:rsidR="00645767" w:rsidRPr="003646BE" w14:paraId="3BC9CA01" w14:textId="77777777" w:rsidTr="003646BE">
        <w:tc>
          <w:tcPr>
            <w:tcW w:w="0" w:type="auto"/>
          </w:tcPr>
          <w:p w14:paraId="61C3F867" w14:textId="77777777" w:rsidR="00645767" w:rsidRPr="003646BE" w:rsidRDefault="00645767" w:rsidP="003646BE">
            <w:pPr>
              <w:jc w:val="right"/>
            </w:pPr>
            <w:r w:rsidRPr="003646BE">
              <w:t>Labor</w:t>
            </w:r>
          </w:p>
        </w:tc>
        <w:tc>
          <w:tcPr>
            <w:tcW w:w="0" w:type="auto"/>
          </w:tcPr>
          <w:p w14:paraId="361D7C75" w14:textId="77777777" w:rsidR="00645767" w:rsidRPr="003646BE" w:rsidRDefault="005B7E64" w:rsidP="003646BE">
            <w:pPr>
              <w:jc w:val="right"/>
            </w:pPr>
            <w:r>
              <w:t>0.9</w:t>
            </w:r>
            <w:r w:rsidR="00645767" w:rsidRPr="003646BE">
              <w:t>%</w:t>
            </w:r>
          </w:p>
        </w:tc>
        <w:tc>
          <w:tcPr>
            <w:tcW w:w="0" w:type="auto"/>
          </w:tcPr>
          <w:p w14:paraId="243C63B5" w14:textId="77777777" w:rsidR="00645767" w:rsidRPr="003646BE" w:rsidRDefault="005B7E64" w:rsidP="003646BE">
            <w:pPr>
              <w:jc w:val="right"/>
            </w:pPr>
            <w:r>
              <w:t>3.6</w:t>
            </w:r>
            <w:r w:rsidR="00645767" w:rsidRPr="003646BE">
              <w:t>%</w:t>
            </w:r>
          </w:p>
        </w:tc>
      </w:tr>
      <w:tr w:rsidR="00645767" w:rsidRPr="003646BE" w14:paraId="796D9FD5" w14:textId="77777777" w:rsidTr="003646BE">
        <w:tc>
          <w:tcPr>
            <w:tcW w:w="0" w:type="auto"/>
          </w:tcPr>
          <w:p w14:paraId="47576B7E" w14:textId="77777777" w:rsidR="00645767" w:rsidRPr="003646BE" w:rsidRDefault="00645767" w:rsidP="003646BE">
            <w:pPr>
              <w:jc w:val="right"/>
            </w:pPr>
            <w:r w:rsidRPr="003646BE">
              <w:t>Fiber</w:t>
            </w:r>
          </w:p>
        </w:tc>
        <w:tc>
          <w:tcPr>
            <w:tcW w:w="0" w:type="auto"/>
          </w:tcPr>
          <w:p w14:paraId="7FC3A686" w14:textId="77777777" w:rsidR="00645767" w:rsidRPr="003646BE" w:rsidRDefault="00645767" w:rsidP="003646BE">
            <w:pPr>
              <w:jc w:val="right"/>
            </w:pPr>
            <w:r w:rsidRPr="003646BE">
              <w:t>-5</w:t>
            </w:r>
            <w:r w:rsidR="005B7E64">
              <w:t>.0</w:t>
            </w:r>
            <w:r w:rsidRPr="003646BE">
              <w:t>%</w:t>
            </w:r>
          </w:p>
        </w:tc>
        <w:tc>
          <w:tcPr>
            <w:tcW w:w="0" w:type="auto"/>
          </w:tcPr>
          <w:p w14:paraId="0FD85626" w14:textId="77777777" w:rsidR="00645767" w:rsidRPr="003646BE" w:rsidRDefault="00645767" w:rsidP="003646BE">
            <w:pPr>
              <w:jc w:val="right"/>
            </w:pPr>
            <w:r w:rsidRPr="003646BE">
              <w:t>-5</w:t>
            </w:r>
            <w:r w:rsidR="005B7E64">
              <w:t>.0</w:t>
            </w:r>
            <w:r w:rsidRPr="003646BE">
              <w:t>%</w:t>
            </w:r>
          </w:p>
        </w:tc>
      </w:tr>
      <w:tr w:rsidR="00645767" w:rsidRPr="003646BE" w14:paraId="7BA4C15F" w14:textId="77777777" w:rsidTr="003646BE">
        <w:tc>
          <w:tcPr>
            <w:tcW w:w="0" w:type="auto"/>
          </w:tcPr>
          <w:p w14:paraId="7D9998C6" w14:textId="77777777" w:rsidR="00645767" w:rsidRPr="003646BE" w:rsidRDefault="00645767" w:rsidP="003646BE">
            <w:pPr>
              <w:jc w:val="right"/>
            </w:pPr>
            <w:r w:rsidRPr="003646BE">
              <w:t>Poles</w:t>
            </w:r>
          </w:p>
        </w:tc>
        <w:tc>
          <w:tcPr>
            <w:tcW w:w="0" w:type="auto"/>
          </w:tcPr>
          <w:p w14:paraId="0886E170" w14:textId="77777777" w:rsidR="00645767" w:rsidRPr="003646BE" w:rsidRDefault="00645767" w:rsidP="003646BE">
            <w:pPr>
              <w:jc w:val="right"/>
            </w:pPr>
            <w:r w:rsidRPr="003646BE">
              <w:t>2</w:t>
            </w:r>
            <w:r w:rsidR="005B7E64">
              <w:t>.0</w:t>
            </w:r>
            <w:r w:rsidRPr="003646BE">
              <w:t>%</w:t>
            </w:r>
          </w:p>
        </w:tc>
        <w:tc>
          <w:tcPr>
            <w:tcW w:w="0" w:type="auto"/>
          </w:tcPr>
          <w:p w14:paraId="398342C1" w14:textId="77777777" w:rsidR="00645767" w:rsidRPr="003646BE" w:rsidRDefault="00645767" w:rsidP="003646BE">
            <w:pPr>
              <w:jc w:val="right"/>
            </w:pPr>
            <w:r w:rsidRPr="003646BE">
              <w:t>2</w:t>
            </w:r>
            <w:r w:rsidR="005B7E64">
              <w:t>.0</w:t>
            </w:r>
            <w:r w:rsidRPr="003646BE">
              <w:t>%</w:t>
            </w:r>
          </w:p>
        </w:tc>
      </w:tr>
      <w:tr w:rsidR="00645767" w:rsidRPr="003646BE" w14:paraId="1FC976AD" w14:textId="77777777" w:rsidTr="003646BE">
        <w:tc>
          <w:tcPr>
            <w:tcW w:w="0" w:type="auto"/>
          </w:tcPr>
          <w:p w14:paraId="7A9B62DA" w14:textId="77777777" w:rsidR="00645767" w:rsidRPr="003646BE" w:rsidRDefault="00645767" w:rsidP="003646BE">
            <w:pPr>
              <w:jc w:val="right"/>
            </w:pPr>
            <w:r w:rsidRPr="003646BE">
              <w:t>Conduit</w:t>
            </w:r>
          </w:p>
        </w:tc>
        <w:tc>
          <w:tcPr>
            <w:tcW w:w="0" w:type="auto"/>
          </w:tcPr>
          <w:p w14:paraId="362C4373" w14:textId="77777777" w:rsidR="00645767" w:rsidRPr="003646BE" w:rsidRDefault="00645767" w:rsidP="003646BE">
            <w:pPr>
              <w:jc w:val="right"/>
            </w:pPr>
            <w:r w:rsidRPr="003646BE">
              <w:t>0</w:t>
            </w:r>
            <w:r w:rsidR="005B7E64">
              <w:t>.0</w:t>
            </w:r>
            <w:r w:rsidRPr="003646BE">
              <w:t>%</w:t>
            </w:r>
          </w:p>
        </w:tc>
        <w:tc>
          <w:tcPr>
            <w:tcW w:w="0" w:type="auto"/>
          </w:tcPr>
          <w:p w14:paraId="5B246F2A" w14:textId="77777777" w:rsidR="00645767" w:rsidRPr="003646BE" w:rsidRDefault="00645767" w:rsidP="003646BE">
            <w:pPr>
              <w:jc w:val="right"/>
            </w:pPr>
            <w:r w:rsidRPr="003646BE">
              <w:t>0</w:t>
            </w:r>
            <w:r w:rsidR="005B7E64">
              <w:t>.0</w:t>
            </w:r>
            <w:r w:rsidRPr="003646BE">
              <w:t>%</w:t>
            </w:r>
          </w:p>
        </w:tc>
      </w:tr>
      <w:tr w:rsidR="00E84202" w:rsidRPr="003646BE" w14:paraId="0CD16E2D" w14:textId="77777777" w:rsidTr="003646BE">
        <w:tc>
          <w:tcPr>
            <w:tcW w:w="0" w:type="auto"/>
          </w:tcPr>
          <w:p w14:paraId="0EDA8B37" w14:textId="77777777" w:rsidR="00E84202" w:rsidRPr="003646BE" w:rsidRDefault="00E84202" w:rsidP="003646BE">
            <w:pPr>
              <w:jc w:val="right"/>
            </w:pPr>
            <w:r>
              <w:t>Drop</w:t>
            </w:r>
          </w:p>
        </w:tc>
        <w:tc>
          <w:tcPr>
            <w:tcW w:w="0" w:type="auto"/>
          </w:tcPr>
          <w:p w14:paraId="711B7194" w14:textId="77777777" w:rsidR="00E84202" w:rsidRPr="003646BE" w:rsidRDefault="00E84202" w:rsidP="003646BE">
            <w:pPr>
              <w:jc w:val="right"/>
            </w:pPr>
            <w:r>
              <w:t>-2</w:t>
            </w:r>
            <w:r w:rsidR="005B7E64">
              <w:t>.0</w:t>
            </w:r>
            <w:r>
              <w:t>%</w:t>
            </w:r>
          </w:p>
        </w:tc>
        <w:tc>
          <w:tcPr>
            <w:tcW w:w="0" w:type="auto"/>
          </w:tcPr>
          <w:p w14:paraId="44E1283C" w14:textId="77777777" w:rsidR="00E84202" w:rsidRPr="003646BE" w:rsidRDefault="00E84202" w:rsidP="003646BE">
            <w:pPr>
              <w:jc w:val="right"/>
            </w:pPr>
            <w:r>
              <w:t>-2</w:t>
            </w:r>
            <w:r w:rsidR="005B7E64">
              <w:t>.0</w:t>
            </w:r>
            <w:r>
              <w:t>%</w:t>
            </w:r>
          </w:p>
        </w:tc>
      </w:tr>
      <w:tr w:rsidR="00E84202" w:rsidRPr="003646BE" w14:paraId="68812D5B" w14:textId="77777777" w:rsidTr="003646BE">
        <w:tc>
          <w:tcPr>
            <w:tcW w:w="0" w:type="auto"/>
          </w:tcPr>
          <w:p w14:paraId="597C68CC" w14:textId="77777777" w:rsidR="00E84202" w:rsidRPr="003646BE" w:rsidRDefault="00E84202" w:rsidP="003646BE">
            <w:pPr>
              <w:jc w:val="right"/>
            </w:pPr>
            <w:r>
              <w:t>ONT</w:t>
            </w:r>
          </w:p>
        </w:tc>
        <w:tc>
          <w:tcPr>
            <w:tcW w:w="0" w:type="auto"/>
          </w:tcPr>
          <w:p w14:paraId="14CD39A5" w14:textId="77777777" w:rsidR="00E84202" w:rsidRPr="003646BE" w:rsidRDefault="00E84202" w:rsidP="003646BE">
            <w:pPr>
              <w:jc w:val="right"/>
            </w:pPr>
            <w:r>
              <w:t>-5</w:t>
            </w:r>
            <w:r w:rsidR="005B7E64">
              <w:t>.0</w:t>
            </w:r>
            <w:r>
              <w:t>%</w:t>
            </w:r>
          </w:p>
        </w:tc>
        <w:tc>
          <w:tcPr>
            <w:tcW w:w="0" w:type="auto"/>
          </w:tcPr>
          <w:p w14:paraId="2029391F" w14:textId="77777777" w:rsidR="00E84202" w:rsidRPr="003646BE" w:rsidRDefault="00E84202" w:rsidP="003646BE">
            <w:pPr>
              <w:jc w:val="right"/>
            </w:pPr>
            <w:r>
              <w:t>-5</w:t>
            </w:r>
            <w:r w:rsidR="005B7E64">
              <w:t>.0</w:t>
            </w:r>
            <w:r>
              <w:t>%</w:t>
            </w:r>
          </w:p>
        </w:tc>
      </w:tr>
      <w:tr w:rsidR="00E84202" w:rsidRPr="003646BE" w14:paraId="197A96B8" w14:textId="77777777" w:rsidTr="003646BE">
        <w:tc>
          <w:tcPr>
            <w:tcW w:w="0" w:type="auto"/>
          </w:tcPr>
          <w:p w14:paraId="3EB5E6C2" w14:textId="77777777" w:rsidR="00E84202" w:rsidRPr="003646BE" w:rsidRDefault="005F024C" w:rsidP="003646BE">
            <w:pPr>
              <w:jc w:val="right"/>
            </w:pPr>
            <w:r>
              <w:t>Fiber p</w:t>
            </w:r>
            <w:r w:rsidR="00E84202">
              <w:t>edestal</w:t>
            </w:r>
            <w:r>
              <w:t>s</w:t>
            </w:r>
          </w:p>
        </w:tc>
        <w:tc>
          <w:tcPr>
            <w:tcW w:w="0" w:type="auto"/>
          </w:tcPr>
          <w:p w14:paraId="63626D20" w14:textId="77777777" w:rsidR="00E84202" w:rsidRPr="003646BE" w:rsidRDefault="00E84202" w:rsidP="003646BE">
            <w:pPr>
              <w:jc w:val="right"/>
            </w:pPr>
            <w:r>
              <w:t>-5</w:t>
            </w:r>
            <w:r w:rsidR="005B7E64">
              <w:t>.0</w:t>
            </w:r>
            <w:r>
              <w:t>%</w:t>
            </w:r>
          </w:p>
        </w:tc>
        <w:tc>
          <w:tcPr>
            <w:tcW w:w="0" w:type="auto"/>
          </w:tcPr>
          <w:p w14:paraId="52015DDC" w14:textId="77777777" w:rsidR="00E84202" w:rsidRPr="003646BE" w:rsidRDefault="00E84202" w:rsidP="003646BE">
            <w:pPr>
              <w:jc w:val="right"/>
            </w:pPr>
            <w:r>
              <w:t>-5</w:t>
            </w:r>
            <w:r w:rsidR="005B7E64">
              <w:t>.0</w:t>
            </w:r>
            <w:r>
              <w:t>%</w:t>
            </w:r>
          </w:p>
        </w:tc>
      </w:tr>
      <w:tr w:rsidR="00E84202" w:rsidRPr="003646BE" w14:paraId="5DA3AEF8" w14:textId="77777777" w:rsidTr="003646BE">
        <w:tc>
          <w:tcPr>
            <w:tcW w:w="0" w:type="auto"/>
          </w:tcPr>
          <w:p w14:paraId="0EF4C380" w14:textId="77777777" w:rsidR="00E84202" w:rsidRPr="003646BE" w:rsidRDefault="00E84202" w:rsidP="003646BE">
            <w:pPr>
              <w:jc w:val="right"/>
            </w:pPr>
            <w:r>
              <w:t>Splitter</w:t>
            </w:r>
          </w:p>
        </w:tc>
        <w:tc>
          <w:tcPr>
            <w:tcW w:w="0" w:type="auto"/>
          </w:tcPr>
          <w:p w14:paraId="5EFCB0E2" w14:textId="77777777" w:rsidR="00E84202" w:rsidRPr="003646BE" w:rsidRDefault="00E84202" w:rsidP="003646BE">
            <w:pPr>
              <w:jc w:val="right"/>
            </w:pPr>
            <w:r>
              <w:t>-5</w:t>
            </w:r>
            <w:r w:rsidR="005B7E64">
              <w:t>.0</w:t>
            </w:r>
            <w:r>
              <w:t>%</w:t>
            </w:r>
          </w:p>
        </w:tc>
        <w:tc>
          <w:tcPr>
            <w:tcW w:w="0" w:type="auto"/>
          </w:tcPr>
          <w:p w14:paraId="1F1AAE76" w14:textId="77777777" w:rsidR="00E84202" w:rsidRPr="003646BE" w:rsidRDefault="00E84202" w:rsidP="003646BE">
            <w:pPr>
              <w:jc w:val="right"/>
            </w:pPr>
            <w:r>
              <w:t>-5</w:t>
            </w:r>
            <w:r w:rsidR="005B7E64">
              <w:t>.0</w:t>
            </w:r>
            <w:r>
              <w:t>%</w:t>
            </w:r>
          </w:p>
        </w:tc>
      </w:tr>
      <w:tr w:rsidR="00E84202" w:rsidRPr="003646BE" w14:paraId="2DF007DA" w14:textId="77777777" w:rsidTr="003646BE">
        <w:tc>
          <w:tcPr>
            <w:tcW w:w="0" w:type="auto"/>
          </w:tcPr>
          <w:p w14:paraId="6B7C5295" w14:textId="77777777" w:rsidR="00E84202" w:rsidRPr="003646BE" w:rsidRDefault="00E84202" w:rsidP="003646BE">
            <w:pPr>
              <w:jc w:val="right"/>
            </w:pPr>
            <w:r w:rsidRPr="003646BE">
              <w:t>Electronics*</w:t>
            </w:r>
          </w:p>
        </w:tc>
        <w:tc>
          <w:tcPr>
            <w:tcW w:w="0" w:type="auto"/>
          </w:tcPr>
          <w:p w14:paraId="1B790CF3" w14:textId="77777777" w:rsidR="00E84202" w:rsidRPr="003646BE" w:rsidRDefault="00E84202" w:rsidP="00E84202">
            <w:pPr>
              <w:jc w:val="right"/>
            </w:pPr>
            <w:r w:rsidRPr="003646BE">
              <w:t>-</w:t>
            </w:r>
            <w:r>
              <w:t>3</w:t>
            </w:r>
            <w:r w:rsidRPr="003646BE">
              <w:t>0</w:t>
            </w:r>
            <w:r w:rsidR="005B7E64">
              <w:t>.0</w:t>
            </w:r>
            <w:r w:rsidRPr="003646BE">
              <w:t>%</w:t>
            </w:r>
          </w:p>
        </w:tc>
        <w:tc>
          <w:tcPr>
            <w:tcW w:w="0" w:type="auto"/>
          </w:tcPr>
          <w:p w14:paraId="0DF292A2" w14:textId="77777777" w:rsidR="00E84202" w:rsidRPr="003646BE" w:rsidRDefault="00E84202" w:rsidP="00E84202">
            <w:pPr>
              <w:jc w:val="right"/>
            </w:pPr>
            <w:r w:rsidRPr="003646BE">
              <w:t>-</w:t>
            </w:r>
            <w:r>
              <w:t>10</w:t>
            </w:r>
            <w:r w:rsidR="005B7E64">
              <w:t>.0</w:t>
            </w:r>
            <w:r w:rsidRPr="003646BE">
              <w:t>%</w:t>
            </w:r>
          </w:p>
        </w:tc>
      </w:tr>
      <w:tr w:rsidR="00E84202" w:rsidRPr="003646BE" w14:paraId="7F0D2D9D" w14:textId="77777777" w:rsidTr="003646BE">
        <w:tc>
          <w:tcPr>
            <w:tcW w:w="0" w:type="auto"/>
          </w:tcPr>
          <w:p w14:paraId="6C69F61B" w14:textId="77777777" w:rsidR="00E84202" w:rsidRPr="003646BE" w:rsidRDefault="00E84202" w:rsidP="003646BE">
            <w:pPr>
              <w:jc w:val="right"/>
            </w:pPr>
            <w:r w:rsidRPr="003646BE">
              <w:t>Land/B</w:t>
            </w:r>
            <w:r>
              <w:t>ui</w:t>
            </w:r>
            <w:r w:rsidRPr="003646BE">
              <w:t>ld</w:t>
            </w:r>
            <w:r>
              <w:t>in</w:t>
            </w:r>
            <w:r w:rsidRPr="003646BE">
              <w:t>g</w:t>
            </w:r>
            <w:r>
              <w:t>s</w:t>
            </w:r>
          </w:p>
        </w:tc>
        <w:tc>
          <w:tcPr>
            <w:tcW w:w="0" w:type="auto"/>
          </w:tcPr>
          <w:p w14:paraId="381367B0" w14:textId="77777777" w:rsidR="00E84202" w:rsidRPr="003646BE" w:rsidRDefault="00E84202" w:rsidP="003646BE">
            <w:pPr>
              <w:jc w:val="right"/>
            </w:pPr>
            <w:r w:rsidRPr="003646BE">
              <w:t>3</w:t>
            </w:r>
            <w:r w:rsidR="00444CB1">
              <w:t>.4</w:t>
            </w:r>
            <w:r w:rsidRPr="003646BE">
              <w:t>%</w:t>
            </w:r>
          </w:p>
        </w:tc>
        <w:tc>
          <w:tcPr>
            <w:tcW w:w="0" w:type="auto"/>
          </w:tcPr>
          <w:p w14:paraId="5B7DAAC5" w14:textId="77777777" w:rsidR="00E84202" w:rsidRPr="003646BE" w:rsidRDefault="00E84202" w:rsidP="003646BE">
            <w:pPr>
              <w:jc w:val="right"/>
            </w:pPr>
            <w:r w:rsidRPr="003646BE">
              <w:t>-5</w:t>
            </w:r>
            <w:r w:rsidR="00444CB1">
              <w:t>.1</w:t>
            </w:r>
            <w:r w:rsidRPr="003646BE">
              <w:t>%</w:t>
            </w:r>
          </w:p>
        </w:tc>
      </w:tr>
      <w:tr w:rsidR="00E84202" w:rsidRPr="003646BE" w14:paraId="743AFBC8" w14:textId="77777777" w:rsidTr="003646BE">
        <w:tc>
          <w:tcPr>
            <w:tcW w:w="0" w:type="auto"/>
            <w:gridSpan w:val="3"/>
          </w:tcPr>
          <w:p w14:paraId="379BEF60" w14:textId="77777777" w:rsidR="00E84202" w:rsidRPr="003646BE" w:rsidRDefault="00E84202" w:rsidP="003646BE">
            <w:pPr>
              <w:jc w:val="right"/>
              <w:rPr>
                <w:b/>
              </w:rPr>
            </w:pPr>
          </w:p>
        </w:tc>
      </w:tr>
      <w:tr w:rsidR="00E84202" w:rsidRPr="003646BE" w14:paraId="5A252C3D" w14:textId="77777777" w:rsidTr="003646BE">
        <w:tc>
          <w:tcPr>
            <w:tcW w:w="0" w:type="auto"/>
          </w:tcPr>
          <w:p w14:paraId="15DA138E" w14:textId="77777777" w:rsidR="00E84202" w:rsidRPr="003646BE" w:rsidRDefault="00E84202" w:rsidP="00FA5F5C">
            <w:pPr>
              <w:rPr>
                <w:b/>
              </w:rPr>
            </w:pPr>
          </w:p>
        </w:tc>
        <w:tc>
          <w:tcPr>
            <w:tcW w:w="0" w:type="auto"/>
            <w:gridSpan w:val="2"/>
          </w:tcPr>
          <w:p w14:paraId="6A2CF7A4" w14:textId="77777777" w:rsidR="00E84202" w:rsidRPr="003646BE" w:rsidRDefault="00E84202" w:rsidP="003646BE">
            <w:pPr>
              <w:jc w:val="center"/>
              <w:rPr>
                <w:b/>
              </w:rPr>
            </w:pPr>
            <w:r w:rsidRPr="003646BE">
              <w:rPr>
                <w:b/>
              </w:rPr>
              <w:t>Assumed annual TFP growth</w:t>
            </w:r>
          </w:p>
        </w:tc>
      </w:tr>
      <w:tr w:rsidR="00E84202" w:rsidRPr="003646BE" w14:paraId="48D842DF" w14:textId="77777777" w:rsidTr="003646BE">
        <w:tc>
          <w:tcPr>
            <w:tcW w:w="0" w:type="auto"/>
          </w:tcPr>
          <w:p w14:paraId="5F1EFBF2" w14:textId="77777777" w:rsidR="00E84202" w:rsidRPr="003646BE" w:rsidRDefault="00E84202" w:rsidP="00FA5F5C">
            <w:pPr>
              <w:rPr>
                <w:b/>
              </w:rPr>
            </w:pPr>
          </w:p>
        </w:tc>
        <w:tc>
          <w:tcPr>
            <w:tcW w:w="0" w:type="auto"/>
          </w:tcPr>
          <w:p w14:paraId="42B4604F" w14:textId="77777777" w:rsidR="00E84202" w:rsidRPr="003646BE" w:rsidRDefault="00E84202" w:rsidP="003646BE">
            <w:pPr>
              <w:jc w:val="right"/>
            </w:pPr>
            <w:r w:rsidRPr="003646BE">
              <w:rPr>
                <w:b/>
              </w:rPr>
              <w:t>Low estimate</w:t>
            </w:r>
          </w:p>
        </w:tc>
        <w:tc>
          <w:tcPr>
            <w:tcW w:w="0" w:type="auto"/>
          </w:tcPr>
          <w:p w14:paraId="1CDF9809" w14:textId="77777777" w:rsidR="00E84202" w:rsidRPr="003646BE" w:rsidRDefault="00E84202" w:rsidP="003646BE">
            <w:pPr>
              <w:jc w:val="right"/>
            </w:pPr>
            <w:r w:rsidRPr="003646BE">
              <w:rPr>
                <w:b/>
              </w:rPr>
              <w:t>High estimate</w:t>
            </w:r>
          </w:p>
        </w:tc>
      </w:tr>
      <w:tr w:rsidR="00E84202" w:rsidRPr="003646BE" w14:paraId="56383F7B" w14:textId="77777777" w:rsidTr="003646BE">
        <w:tc>
          <w:tcPr>
            <w:tcW w:w="0" w:type="auto"/>
          </w:tcPr>
          <w:p w14:paraId="2B8A484B" w14:textId="77777777" w:rsidR="00E84202" w:rsidRPr="003646BE" w:rsidRDefault="00E84202" w:rsidP="00FA5F5C">
            <w:pPr>
              <w:rPr>
                <w:b/>
              </w:rPr>
            </w:pPr>
            <w:r w:rsidRPr="003646BE">
              <w:rPr>
                <w:b/>
              </w:rPr>
              <w:t>TFP growth</w:t>
            </w:r>
          </w:p>
        </w:tc>
        <w:tc>
          <w:tcPr>
            <w:tcW w:w="0" w:type="auto"/>
          </w:tcPr>
          <w:p w14:paraId="73043292" w14:textId="77777777" w:rsidR="00E84202" w:rsidRPr="003646BE" w:rsidRDefault="00E84202" w:rsidP="005B7E64">
            <w:pPr>
              <w:jc w:val="right"/>
            </w:pPr>
            <w:r w:rsidRPr="003646BE">
              <w:t>0.</w:t>
            </w:r>
            <w:r w:rsidR="005B7E64">
              <w:t>1</w:t>
            </w:r>
            <w:r w:rsidRPr="003646BE">
              <w:t>%</w:t>
            </w:r>
          </w:p>
        </w:tc>
        <w:tc>
          <w:tcPr>
            <w:tcW w:w="0" w:type="auto"/>
          </w:tcPr>
          <w:p w14:paraId="0314F644" w14:textId="77777777" w:rsidR="00E84202" w:rsidRPr="003646BE" w:rsidRDefault="00E84202" w:rsidP="005B7E64">
            <w:pPr>
              <w:jc w:val="right"/>
            </w:pPr>
            <w:r w:rsidRPr="003646BE">
              <w:t>0.7%</w:t>
            </w:r>
          </w:p>
        </w:tc>
      </w:tr>
      <w:tr w:rsidR="00E84202" w:rsidRPr="003646BE" w14:paraId="23758B68" w14:textId="77777777" w:rsidTr="003646BE">
        <w:tc>
          <w:tcPr>
            <w:tcW w:w="0" w:type="auto"/>
          </w:tcPr>
          <w:p w14:paraId="46E8350A" w14:textId="77777777" w:rsidR="00E84202" w:rsidRPr="003646BE" w:rsidRDefault="00E84202" w:rsidP="00FA5F5C"/>
        </w:tc>
        <w:tc>
          <w:tcPr>
            <w:tcW w:w="0" w:type="auto"/>
          </w:tcPr>
          <w:p w14:paraId="5547ABEE" w14:textId="77777777" w:rsidR="00E84202" w:rsidRPr="003646BE" w:rsidRDefault="00E84202" w:rsidP="003646BE">
            <w:pPr>
              <w:jc w:val="right"/>
            </w:pPr>
          </w:p>
        </w:tc>
        <w:tc>
          <w:tcPr>
            <w:tcW w:w="0" w:type="auto"/>
          </w:tcPr>
          <w:p w14:paraId="399BA77F" w14:textId="77777777" w:rsidR="00E84202" w:rsidRPr="003646BE" w:rsidRDefault="00E84202" w:rsidP="003646BE">
            <w:pPr>
              <w:jc w:val="right"/>
            </w:pPr>
          </w:p>
        </w:tc>
      </w:tr>
      <w:tr w:rsidR="00E84202" w:rsidRPr="003646BE" w14:paraId="7AF41F75" w14:textId="77777777" w:rsidTr="003646BE">
        <w:tc>
          <w:tcPr>
            <w:tcW w:w="0" w:type="auto"/>
            <w:gridSpan w:val="3"/>
          </w:tcPr>
          <w:p w14:paraId="6F71C735" w14:textId="77777777" w:rsidR="00E84202" w:rsidRPr="003646BE" w:rsidRDefault="00E84202" w:rsidP="003646BE">
            <w:pPr>
              <w:jc w:val="right"/>
              <w:rPr>
                <w:b/>
              </w:rPr>
            </w:pPr>
          </w:p>
        </w:tc>
      </w:tr>
      <w:tr w:rsidR="00E84202" w:rsidRPr="003646BE" w14:paraId="60427349" w14:textId="77777777" w:rsidTr="003646BE">
        <w:tc>
          <w:tcPr>
            <w:tcW w:w="0" w:type="auto"/>
          </w:tcPr>
          <w:p w14:paraId="0267B83B" w14:textId="77777777" w:rsidR="00E84202" w:rsidRPr="003646BE" w:rsidRDefault="00E84202" w:rsidP="00FA5F5C">
            <w:pPr>
              <w:rPr>
                <w:b/>
              </w:rPr>
            </w:pPr>
          </w:p>
        </w:tc>
        <w:tc>
          <w:tcPr>
            <w:tcW w:w="0" w:type="auto"/>
            <w:gridSpan w:val="2"/>
          </w:tcPr>
          <w:p w14:paraId="60135220" w14:textId="77777777" w:rsidR="00E84202" w:rsidRPr="003646BE" w:rsidRDefault="00E84202" w:rsidP="003646BE">
            <w:pPr>
              <w:jc w:val="center"/>
              <w:rPr>
                <w:b/>
              </w:rPr>
            </w:pPr>
            <w:r w:rsidRPr="003646BE">
              <w:rPr>
                <w:b/>
              </w:rPr>
              <w:t>Resulting cost range</w:t>
            </w:r>
          </w:p>
        </w:tc>
      </w:tr>
      <w:tr w:rsidR="00E84202" w:rsidRPr="003646BE" w14:paraId="0A5C25DE" w14:textId="77777777" w:rsidTr="003646BE">
        <w:tc>
          <w:tcPr>
            <w:tcW w:w="0" w:type="auto"/>
          </w:tcPr>
          <w:p w14:paraId="704DAA4F" w14:textId="77777777" w:rsidR="00E84202" w:rsidRPr="003646BE" w:rsidRDefault="00E84202" w:rsidP="00FA5F5C">
            <w:pPr>
              <w:rPr>
                <w:b/>
              </w:rPr>
            </w:pPr>
            <w:r w:rsidRPr="003646BE">
              <w:rPr>
                <w:b/>
              </w:rPr>
              <w:t>Annual net impact on costs</w:t>
            </w:r>
          </w:p>
        </w:tc>
        <w:tc>
          <w:tcPr>
            <w:tcW w:w="0" w:type="auto"/>
          </w:tcPr>
          <w:p w14:paraId="6E8B7D07" w14:textId="77777777" w:rsidR="00E84202" w:rsidRPr="003646BE" w:rsidRDefault="00E84202" w:rsidP="003646BE">
            <w:pPr>
              <w:jc w:val="right"/>
              <w:rPr>
                <w:b/>
              </w:rPr>
            </w:pPr>
            <w:r w:rsidRPr="003646BE">
              <w:rPr>
                <w:b/>
              </w:rPr>
              <w:t>Low estimate</w:t>
            </w:r>
          </w:p>
        </w:tc>
        <w:tc>
          <w:tcPr>
            <w:tcW w:w="0" w:type="auto"/>
          </w:tcPr>
          <w:p w14:paraId="784857C5" w14:textId="77777777" w:rsidR="00E84202" w:rsidRPr="003646BE" w:rsidRDefault="00E84202" w:rsidP="003646BE">
            <w:pPr>
              <w:jc w:val="right"/>
              <w:rPr>
                <w:b/>
              </w:rPr>
            </w:pPr>
            <w:r w:rsidRPr="003646BE">
              <w:rPr>
                <w:b/>
              </w:rPr>
              <w:t>High estimate</w:t>
            </w:r>
          </w:p>
        </w:tc>
      </w:tr>
      <w:tr w:rsidR="00E84202" w:rsidRPr="003646BE" w14:paraId="5FDFD7D3" w14:textId="77777777" w:rsidTr="003646BE">
        <w:tc>
          <w:tcPr>
            <w:tcW w:w="0" w:type="auto"/>
          </w:tcPr>
          <w:p w14:paraId="0C256E86" w14:textId="77777777" w:rsidR="00E84202" w:rsidRPr="003646BE" w:rsidRDefault="00E84202" w:rsidP="003646BE">
            <w:pPr>
              <w:jc w:val="right"/>
            </w:pPr>
            <w:r w:rsidRPr="003646BE">
              <w:t>Total costs</w:t>
            </w:r>
          </w:p>
        </w:tc>
        <w:tc>
          <w:tcPr>
            <w:tcW w:w="0" w:type="auto"/>
          </w:tcPr>
          <w:p w14:paraId="130DB8FD" w14:textId="77777777" w:rsidR="00E84202" w:rsidRPr="003646BE" w:rsidRDefault="00E84202" w:rsidP="003646BE">
            <w:pPr>
              <w:jc w:val="right"/>
            </w:pPr>
            <w:r w:rsidRPr="003646BE">
              <w:t>-</w:t>
            </w:r>
            <w:r w:rsidR="00743450">
              <w:t>3.5</w:t>
            </w:r>
            <w:r w:rsidRPr="003646BE">
              <w:t>%</w:t>
            </w:r>
          </w:p>
        </w:tc>
        <w:tc>
          <w:tcPr>
            <w:tcW w:w="0" w:type="auto"/>
          </w:tcPr>
          <w:p w14:paraId="107E7F21" w14:textId="77777777" w:rsidR="00E84202" w:rsidRPr="003646BE" w:rsidRDefault="00743450" w:rsidP="003646BE">
            <w:pPr>
              <w:jc w:val="right"/>
            </w:pPr>
            <w:r>
              <w:t>0.8</w:t>
            </w:r>
            <w:r w:rsidR="00E84202" w:rsidRPr="003646BE">
              <w:t>%</w:t>
            </w:r>
          </w:p>
        </w:tc>
      </w:tr>
      <w:tr w:rsidR="00E84202" w:rsidRPr="003646BE" w14:paraId="30DB4F7F" w14:textId="77777777" w:rsidTr="003646BE">
        <w:tc>
          <w:tcPr>
            <w:tcW w:w="0" w:type="auto"/>
          </w:tcPr>
          <w:p w14:paraId="29679464" w14:textId="77777777" w:rsidR="00E84202" w:rsidRPr="003646BE" w:rsidRDefault="00E84202" w:rsidP="003646BE">
            <w:pPr>
              <w:jc w:val="right"/>
            </w:pPr>
            <w:r w:rsidRPr="003646BE">
              <w:t>90</w:t>
            </w:r>
            <w:r w:rsidRPr="003646BE">
              <w:rPr>
                <w:vertAlign w:val="superscript"/>
              </w:rPr>
              <w:t>th</w:t>
            </w:r>
            <w:r w:rsidRPr="003646BE">
              <w:t xml:space="preserve"> to 99</w:t>
            </w:r>
            <w:r w:rsidRPr="003646BE">
              <w:rPr>
                <w:vertAlign w:val="superscript"/>
              </w:rPr>
              <w:t>th</w:t>
            </w:r>
            <w:r w:rsidRPr="003646BE">
              <w:t xml:space="preserve"> cost percentiles</w:t>
            </w:r>
          </w:p>
        </w:tc>
        <w:tc>
          <w:tcPr>
            <w:tcW w:w="0" w:type="auto"/>
          </w:tcPr>
          <w:p w14:paraId="05B498E6" w14:textId="77777777" w:rsidR="00E84202" w:rsidRPr="003646BE" w:rsidRDefault="00E84202" w:rsidP="003646BE">
            <w:pPr>
              <w:jc w:val="right"/>
            </w:pPr>
            <w:r w:rsidRPr="003646BE">
              <w:t>-</w:t>
            </w:r>
            <w:r w:rsidR="00CE70FC">
              <w:t>2</w:t>
            </w:r>
            <w:r w:rsidR="00743450">
              <w:t>.1</w:t>
            </w:r>
            <w:r w:rsidRPr="003646BE">
              <w:t>%</w:t>
            </w:r>
          </w:p>
        </w:tc>
        <w:tc>
          <w:tcPr>
            <w:tcW w:w="0" w:type="auto"/>
          </w:tcPr>
          <w:p w14:paraId="7C5A577D" w14:textId="77777777" w:rsidR="00E84202" w:rsidRPr="003646BE" w:rsidRDefault="00743450" w:rsidP="003646BE">
            <w:pPr>
              <w:jc w:val="right"/>
            </w:pPr>
            <w:r>
              <w:t>1.6</w:t>
            </w:r>
            <w:r w:rsidR="00E84202" w:rsidRPr="003646BE">
              <w:t>%</w:t>
            </w:r>
          </w:p>
        </w:tc>
      </w:tr>
      <w:tr w:rsidR="00E84202" w:rsidRPr="003646BE" w14:paraId="27AF43D2" w14:textId="77777777" w:rsidTr="003646BE">
        <w:tc>
          <w:tcPr>
            <w:tcW w:w="0" w:type="auto"/>
          </w:tcPr>
          <w:p w14:paraId="688582FE" w14:textId="77777777" w:rsidR="00E84202" w:rsidRPr="003646BE" w:rsidRDefault="00E84202" w:rsidP="003646BE">
            <w:pPr>
              <w:jc w:val="right"/>
            </w:pPr>
            <w:r w:rsidRPr="003646BE">
              <w:t>95</w:t>
            </w:r>
            <w:r w:rsidRPr="003646BE">
              <w:rPr>
                <w:vertAlign w:val="superscript"/>
              </w:rPr>
              <w:t>th</w:t>
            </w:r>
            <w:r w:rsidRPr="003646BE">
              <w:t xml:space="preserve"> to 99</w:t>
            </w:r>
            <w:r w:rsidRPr="003646BE">
              <w:rPr>
                <w:vertAlign w:val="superscript"/>
              </w:rPr>
              <w:t>th</w:t>
            </w:r>
            <w:r w:rsidRPr="003646BE">
              <w:t xml:space="preserve"> cost percentiles</w:t>
            </w:r>
          </w:p>
        </w:tc>
        <w:tc>
          <w:tcPr>
            <w:tcW w:w="0" w:type="auto"/>
          </w:tcPr>
          <w:p w14:paraId="64FF2B87" w14:textId="7075E31A" w:rsidR="00E84202" w:rsidRPr="003646BE" w:rsidRDefault="00E84202" w:rsidP="00EC7C22">
            <w:pPr>
              <w:jc w:val="right"/>
            </w:pPr>
            <w:r w:rsidRPr="003646BE">
              <w:t>-</w:t>
            </w:r>
            <w:r w:rsidR="00743450">
              <w:t>1.</w:t>
            </w:r>
            <w:r w:rsidR="00EC7C22">
              <w:t>9</w:t>
            </w:r>
            <w:r w:rsidRPr="003646BE">
              <w:t>%</w:t>
            </w:r>
          </w:p>
        </w:tc>
        <w:tc>
          <w:tcPr>
            <w:tcW w:w="0" w:type="auto"/>
          </w:tcPr>
          <w:p w14:paraId="2C35D168" w14:textId="77777777" w:rsidR="00E84202" w:rsidRPr="003646BE" w:rsidRDefault="00743450" w:rsidP="003646BE">
            <w:pPr>
              <w:jc w:val="right"/>
            </w:pPr>
            <w:r>
              <w:t>1.8</w:t>
            </w:r>
            <w:r w:rsidR="00E84202" w:rsidRPr="003646BE">
              <w:t>%</w:t>
            </w:r>
          </w:p>
        </w:tc>
      </w:tr>
    </w:tbl>
    <w:p w14:paraId="09C99C3E" w14:textId="77777777" w:rsidR="00645767" w:rsidRPr="003446D8" w:rsidRDefault="00645767" w:rsidP="0099441C">
      <w:pPr>
        <w:rPr>
          <w:sz w:val="22"/>
          <w:szCs w:val="22"/>
        </w:rPr>
      </w:pPr>
      <w:r w:rsidRPr="003446D8">
        <w:rPr>
          <w:sz w:val="22"/>
          <w:szCs w:val="22"/>
        </w:rPr>
        <w:t>*Includes FTTP input such as ONT, but not fiber</w:t>
      </w:r>
      <w:r>
        <w:rPr>
          <w:sz w:val="22"/>
          <w:szCs w:val="22"/>
        </w:rPr>
        <w:t>.</w:t>
      </w:r>
    </w:p>
    <w:p w14:paraId="167BBEE8" w14:textId="77777777" w:rsidR="00645767" w:rsidRDefault="00645767" w:rsidP="00FA5F5C"/>
    <w:p w14:paraId="24578F98" w14:textId="77777777" w:rsidR="00F710D4" w:rsidRDefault="00DD603E">
      <w:r>
        <w:t xml:space="preserve">While no final decision has been made on funding thresholds, given the fixed budget of up to $1.8 billion in funding for price cap territories, and </w:t>
      </w:r>
      <w:r w:rsidR="00645767">
        <w:t>t</w:t>
      </w:r>
      <w:r w:rsidR="00645767" w:rsidRPr="00FA5F5C">
        <w:t xml:space="preserve">he </w:t>
      </w:r>
      <w:r w:rsidR="00645767">
        <w:t>Commission</w:t>
      </w:r>
      <w:r>
        <w:t>’s</w:t>
      </w:r>
      <w:r w:rsidR="00645767">
        <w:t xml:space="preserve"> expect</w:t>
      </w:r>
      <w:r w:rsidR="00CD6603">
        <w:t>at</w:t>
      </w:r>
      <w:r>
        <w:t>ion that</w:t>
      </w:r>
      <w:r w:rsidR="00645767">
        <w:t xml:space="preserve"> no more than 1 percent of locations </w:t>
      </w:r>
      <w:r>
        <w:t xml:space="preserve">would </w:t>
      </w:r>
      <w:r w:rsidR="00645767">
        <w:t xml:space="preserve">be above the </w:t>
      </w:r>
      <w:r w:rsidR="00195573">
        <w:t>extremely high-cost threshold</w:t>
      </w:r>
      <w:r w:rsidR="003B0F39">
        <w:t>,</w:t>
      </w:r>
      <w:r w:rsidR="00645767">
        <w:rPr>
          <w:rStyle w:val="FootnoteReference"/>
        </w:rPr>
        <w:footnoteReference w:id="38"/>
      </w:r>
      <w:r w:rsidR="00195573">
        <w:t xml:space="preserve"> </w:t>
      </w:r>
      <w:r w:rsidR="005D58A1">
        <w:t>the funding threshold is likely to be well above the 90</w:t>
      </w:r>
      <w:r w:rsidR="005D58A1" w:rsidRPr="00BD3FEB">
        <w:rPr>
          <w:vertAlign w:val="superscript"/>
        </w:rPr>
        <w:t>th</w:t>
      </w:r>
      <w:r w:rsidR="005D58A1">
        <w:t xml:space="preserve"> cost percentile.</w:t>
      </w:r>
      <w:r w:rsidR="00645767" w:rsidRPr="00FA5F5C">
        <w:t xml:space="preserve"> Accord</w:t>
      </w:r>
      <w:r w:rsidR="00645767">
        <w:t>ingly, the annual cost change range estimated for the 90th to 99th cost percentiles (-</w:t>
      </w:r>
      <w:r w:rsidR="00195573">
        <w:t>2.1</w:t>
      </w:r>
      <w:r w:rsidR="00CE70FC">
        <w:t xml:space="preserve"> </w:t>
      </w:r>
      <w:r w:rsidR="00195573">
        <w:t>percent to 1.6</w:t>
      </w:r>
      <w:r w:rsidR="00645767">
        <w:t xml:space="preserve"> percent) </w:t>
      </w:r>
      <w:r w:rsidR="005D58A1">
        <w:t>may be</w:t>
      </w:r>
      <w:r w:rsidR="00645767">
        <w:t xml:space="preserve"> skewed low</w:t>
      </w:r>
      <w:r w:rsidR="005D58A1">
        <w:t>er</w:t>
      </w:r>
      <w:r w:rsidR="009144CE">
        <w:t xml:space="preserve"> than would be the case for the funding threshold ultimately selected</w:t>
      </w:r>
      <w:r w:rsidR="00645767" w:rsidRPr="00FA5F5C">
        <w:t>.</w:t>
      </w:r>
      <w:r w:rsidR="00645767">
        <w:t xml:space="preserve">  </w:t>
      </w:r>
      <w:r w:rsidR="0060651C">
        <w:t>Moreover, w</w:t>
      </w:r>
      <w:r w:rsidR="00645767">
        <w:t xml:space="preserve">hile the midpoint of the annual cost change range is negative, the underlying assumptions used to derive it likely mean the expected net change </w:t>
      </w:r>
      <w:r w:rsidR="003B1EEA">
        <w:t xml:space="preserve">could be </w:t>
      </w:r>
      <w:r w:rsidR="00645767">
        <w:t>higher than this</w:t>
      </w:r>
      <w:r w:rsidR="00F710D4">
        <w:t>.  T</w:t>
      </w:r>
      <w:r w:rsidR="00645767">
        <w:t>his is also true for the annual cost change range estimated for the 95</w:t>
      </w:r>
      <w:r w:rsidR="00645767" w:rsidRPr="008E4519">
        <w:rPr>
          <w:vertAlign w:val="superscript"/>
        </w:rPr>
        <w:t>th</w:t>
      </w:r>
      <w:r w:rsidR="00645767">
        <w:t xml:space="preserve"> to 99</w:t>
      </w:r>
      <w:r w:rsidR="00645767" w:rsidRPr="008E4519">
        <w:rPr>
          <w:vertAlign w:val="superscript"/>
        </w:rPr>
        <w:t>th</w:t>
      </w:r>
      <w:r w:rsidR="009A5C7D" w:rsidRPr="009A5C7D">
        <w:t xml:space="preserve"> </w:t>
      </w:r>
      <w:r w:rsidR="00645767">
        <w:t>cost percentiles, -</w:t>
      </w:r>
      <w:r w:rsidR="00195573">
        <w:t>1.</w:t>
      </w:r>
      <w:r w:rsidR="00444CB1">
        <w:t xml:space="preserve">9 </w:t>
      </w:r>
      <w:r w:rsidR="00195573">
        <w:t>to 1.8</w:t>
      </w:r>
      <w:r w:rsidR="00645767">
        <w:t xml:space="preserve"> percent, with a mid-point that is even closer to zero</w:t>
      </w:r>
      <w:r w:rsidR="00F34200">
        <w:t xml:space="preserve"> and positive</w:t>
      </w:r>
      <w:r w:rsidR="00645767">
        <w:t xml:space="preserve">.  </w:t>
      </w:r>
    </w:p>
    <w:p w14:paraId="4E2C6E5E" w14:textId="77777777" w:rsidR="00F710D4" w:rsidRDefault="00F710D4"/>
    <w:p w14:paraId="1992F62D" w14:textId="77777777" w:rsidR="00645767" w:rsidRPr="00F22B62" w:rsidRDefault="00F710D4">
      <w:r>
        <w:t>Given</w:t>
      </w:r>
      <w:r w:rsidR="00645767">
        <w:t xml:space="preserve"> the uncertainty inherent in these kinds of forecasts</w:t>
      </w:r>
      <w:r w:rsidR="00B058CE">
        <w:t>,</w:t>
      </w:r>
      <w:r w:rsidR="00645767">
        <w:t xml:space="preserve"> little weight should be attached to a point estimate.  Instead, the range indicates while there may be a somewhat higher probability that the net annual change in telecommunications costs accounting for productivity gains is negative, whatever the change is, it is also likely to be small, and </w:t>
      </w:r>
      <w:r w:rsidR="002F4A54">
        <w:t xml:space="preserve">it </w:t>
      </w:r>
      <w:r w:rsidR="00645767">
        <w:t xml:space="preserve">could be positive. </w:t>
      </w:r>
      <w:r w:rsidR="00163808">
        <w:t xml:space="preserve"> </w:t>
      </w:r>
      <w:r w:rsidR="00645767">
        <w:t>This analysis also shows that this outcome is not sensitive to different choices among the subsidized high cost percentiles.</w:t>
      </w:r>
    </w:p>
    <w:sectPr w:rsidR="00645767" w:rsidRPr="00F22B62" w:rsidSect="009B34B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29D82" w14:textId="77777777" w:rsidR="00E62840" w:rsidRDefault="00E62840" w:rsidP="00F40D13">
      <w:r>
        <w:separator/>
      </w:r>
    </w:p>
  </w:endnote>
  <w:endnote w:type="continuationSeparator" w:id="0">
    <w:p w14:paraId="6EF786E4" w14:textId="77777777" w:rsidR="00E62840" w:rsidRDefault="00E62840" w:rsidP="00F40D13">
      <w:r>
        <w:continuationSeparator/>
      </w:r>
    </w:p>
  </w:endnote>
  <w:endnote w:type="continuationNotice" w:id="1">
    <w:p w14:paraId="546B7322" w14:textId="77777777" w:rsidR="00E62840" w:rsidRDefault="00E62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F7E2" w14:textId="77777777" w:rsidR="00C447F7" w:rsidRDefault="00C44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226E" w14:textId="77777777" w:rsidR="002153DD" w:rsidRDefault="002153DD">
    <w:pPr>
      <w:pStyle w:val="Footer"/>
      <w:jc w:val="center"/>
    </w:pPr>
    <w:r>
      <w:fldChar w:fldCharType="begin"/>
    </w:r>
    <w:r>
      <w:instrText xml:space="preserve"> PAGE   \* MERGEFORMAT </w:instrText>
    </w:r>
    <w:r>
      <w:fldChar w:fldCharType="separate"/>
    </w:r>
    <w:r w:rsidR="0046391B">
      <w:rPr>
        <w:noProof/>
      </w:rPr>
      <w:t>4</w:t>
    </w:r>
    <w:r>
      <w:rPr>
        <w:noProof/>
      </w:rPr>
      <w:fldChar w:fldCharType="end"/>
    </w:r>
  </w:p>
  <w:p w14:paraId="00128BD7" w14:textId="77777777" w:rsidR="002153DD" w:rsidRDefault="00215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5291" w14:textId="77777777" w:rsidR="00C447F7" w:rsidRDefault="00C44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1A7A" w14:textId="77777777" w:rsidR="00E62840" w:rsidRDefault="00E62840" w:rsidP="00F40D13">
      <w:r>
        <w:separator/>
      </w:r>
    </w:p>
  </w:footnote>
  <w:footnote w:type="continuationSeparator" w:id="0">
    <w:p w14:paraId="573FE519" w14:textId="77777777" w:rsidR="00E62840" w:rsidRDefault="00E62840" w:rsidP="00F40D13">
      <w:r>
        <w:continuationSeparator/>
      </w:r>
    </w:p>
  </w:footnote>
  <w:footnote w:type="continuationNotice" w:id="1">
    <w:p w14:paraId="6FE92A0F" w14:textId="77777777" w:rsidR="00E62840" w:rsidRDefault="00E62840"/>
  </w:footnote>
  <w:footnote w:id="2">
    <w:p w14:paraId="42C37EEA" w14:textId="77777777" w:rsidR="002153DD" w:rsidRDefault="002153DD" w:rsidP="00A30CDF">
      <w:pPr>
        <w:pStyle w:val="FootnoteText"/>
      </w:pPr>
      <w:r>
        <w:rPr>
          <w:rStyle w:val="FootnoteReference"/>
        </w:rPr>
        <w:footnoteRef/>
      </w:r>
      <w:r>
        <w:t xml:space="preserve"> While the peer review refers to CACM throughout, this response, consistent with </w:t>
      </w:r>
      <w:r w:rsidRPr="008F2FB6">
        <w:rPr>
          <w:i/>
        </w:rPr>
        <w:t>Connect America Fund et al.</w:t>
      </w:r>
      <w:r>
        <w:t xml:space="preserve">, </w:t>
      </w:r>
      <w:r w:rsidRPr="00F643CC">
        <w:t>WC Docket No</w:t>
      </w:r>
      <w:r>
        <w:t>s</w:t>
      </w:r>
      <w:r w:rsidRPr="00F643CC">
        <w:t>. 10-90</w:t>
      </w:r>
      <w:r>
        <w:t>, 05-337, Report and Order, 28 FCC Rcd 5301 (Wireline Comp. Bur. 2013) (</w:t>
      </w:r>
      <w:r w:rsidRPr="008F2FB6">
        <w:rPr>
          <w:i/>
        </w:rPr>
        <w:t>CA</w:t>
      </w:r>
      <w:r>
        <w:rPr>
          <w:i/>
        </w:rPr>
        <w:t>M Platform</w:t>
      </w:r>
      <w:r w:rsidRPr="008F2FB6">
        <w:rPr>
          <w:i/>
        </w:rPr>
        <w:t xml:space="preserve"> Order</w:t>
      </w:r>
      <w:r>
        <w:t>),</w:t>
      </w:r>
      <w:r w:rsidDel="00824693">
        <w:t xml:space="preserve"> </w:t>
      </w:r>
      <w:r>
        <w:t>will refer to the model as CAM.</w:t>
      </w:r>
    </w:p>
  </w:footnote>
  <w:footnote w:id="3">
    <w:p w14:paraId="60E8A767" w14:textId="04DD0DB8" w:rsidR="002153DD" w:rsidRDefault="002153DD">
      <w:pPr>
        <w:pStyle w:val="FootnoteText"/>
      </w:pPr>
      <w:r>
        <w:rPr>
          <w:rStyle w:val="FootnoteReference"/>
        </w:rPr>
        <w:footnoteRef/>
      </w:r>
      <w:r>
        <w:t xml:space="preserve"> Letter from Christiaan Hogendorn, Associate Professor of Economics, Wesleyan University, to Julie Veach, Chief, Wireline Competition Bureau, FCC, at 3 (February 19, 2013) (Hogendorn).</w:t>
      </w:r>
    </w:p>
  </w:footnote>
  <w:footnote w:id="4">
    <w:p w14:paraId="586B16CC" w14:textId="77777777" w:rsidR="002153DD" w:rsidRDefault="002153DD">
      <w:pPr>
        <w:pStyle w:val="FootnoteText"/>
      </w:pPr>
      <w:r>
        <w:rPr>
          <w:rStyle w:val="FootnoteReference"/>
        </w:rPr>
        <w:footnoteRef/>
      </w:r>
      <w:r>
        <w:t xml:space="preserve"> </w:t>
      </w:r>
      <w:r>
        <w:rPr>
          <w:i/>
        </w:rPr>
        <w:t>CAM Platform Order</w:t>
      </w:r>
      <w:r>
        <w:t>, 28 FCC Rcd at 5308, para. 15.</w:t>
      </w:r>
    </w:p>
  </w:footnote>
  <w:footnote w:id="5">
    <w:p w14:paraId="1F567E08" w14:textId="77777777" w:rsidR="002153DD" w:rsidRDefault="002153DD">
      <w:pPr>
        <w:pStyle w:val="FootnoteText"/>
      </w:pPr>
      <w:r>
        <w:rPr>
          <w:rStyle w:val="FootnoteReference"/>
        </w:rPr>
        <w:footnoteRef/>
      </w:r>
      <w:r>
        <w:rPr>
          <w:i/>
          <w:iCs/>
        </w:rPr>
        <w:t xml:space="preserve"> </w:t>
      </w:r>
      <w:r w:rsidRPr="003F2653">
        <w:rPr>
          <w:i/>
          <w:iCs/>
        </w:rPr>
        <w:t xml:space="preserve">See </w:t>
      </w:r>
      <w:r w:rsidRPr="00B72616">
        <w:rPr>
          <w:i/>
          <w:iCs/>
        </w:rPr>
        <w:t>Connect America Fund et al.</w:t>
      </w:r>
      <w:r w:rsidRPr="00B72616">
        <w:rPr>
          <w:iCs/>
        </w:rPr>
        <w:t>,</w:t>
      </w:r>
      <w:r w:rsidRPr="00B72616">
        <w:rPr>
          <w:i/>
          <w:iCs/>
        </w:rPr>
        <w:t xml:space="preserve"> </w:t>
      </w:r>
      <w:r w:rsidRPr="00B72616">
        <w:t>WC Docket No. 10-90 et al., Report and Order and Further Notice of Proposed Rulemaking, 26 FCC Rcd 17663</w:t>
      </w:r>
      <w:r>
        <w:t xml:space="preserve">, 17715-16, paras. 134-35 </w:t>
      </w:r>
      <w:r w:rsidRPr="00B72616">
        <w:t>(</w:t>
      </w:r>
      <w:r w:rsidRPr="00B72616">
        <w:rPr>
          <w:iCs/>
        </w:rPr>
        <w:t>2011)</w:t>
      </w:r>
      <w:r>
        <w:rPr>
          <w:iCs/>
        </w:rPr>
        <w:t xml:space="preserve"> (</w:t>
      </w:r>
      <w:r w:rsidRPr="00207BD8">
        <w:rPr>
          <w:i/>
          <w:iCs/>
        </w:rPr>
        <w:t>USF/ICC Transformation Order</w:t>
      </w:r>
      <w:r>
        <w:rPr>
          <w:iCs/>
        </w:rPr>
        <w:t>).</w:t>
      </w:r>
    </w:p>
  </w:footnote>
  <w:footnote w:id="6">
    <w:p w14:paraId="542DBE4A" w14:textId="4938E7B9" w:rsidR="002153DD" w:rsidRDefault="002153DD">
      <w:pPr>
        <w:pStyle w:val="FootnoteText"/>
      </w:pPr>
      <w:r>
        <w:rPr>
          <w:rStyle w:val="FootnoteReference"/>
        </w:rPr>
        <w:footnoteRef/>
      </w:r>
      <w:r>
        <w:t xml:space="preserve"> </w:t>
      </w:r>
      <w:r w:rsidRPr="003F2653">
        <w:rPr>
          <w:i/>
          <w:iCs/>
        </w:rPr>
        <w:t xml:space="preserve">See </w:t>
      </w:r>
      <w:r>
        <w:rPr>
          <w:i/>
          <w:iCs/>
        </w:rPr>
        <w:t>id.</w:t>
      </w:r>
      <w:r>
        <w:t xml:space="preserve"> at 17764, 17725-26, </w:t>
      </w:r>
      <w:r w:rsidRPr="00986038">
        <w:rPr>
          <w:iCs/>
        </w:rPr>
        <w:t>para</w:t>
      </w:r>
      <w:r>
        <w:rPr>
          <w:iCs/>
        </w:rPr>
        <w:t>s. 25, 158-159</w:t>
      </w:r>
      <w:r>
        <w:t>.</w:t>
      </w:r>
    </w:p>
  </w:footnote>
  <w:footnote w:id="7">
    <w:p w14:paraId="79E9FE5C" w14:textId="75965C45" w:rsidR="002153DD" w:rsidRDefault="002153DD">
      <w:pPr>
        <w:pStyle w:val="FootnoteText"/>
      </w:pPr>
      <w:r>
        <w:rPr>
          <w:rStyle w:val="FootnoteReference"/>
        </w:rPr>
        <w:footnoteRef/>
      </w:r>
      <w:r>
        <w:t xml:space="preserve"> Hogendorn at 4-5.</w:t>
      </w:r>
    </w:p>
  </w:footnote>
  <w:footnote w:id="8">
    <w:p w14:paraId="20D01BB1" w14:textId="1078123E" w:rsidR="002153DD" w:rsidRDefault="002153DD">
      <w:pPr>
        <w:pStyle w:val="FootnoteText"/>
      </w:pPr>
      <w:r>
        <w:rPr>
          <w:rStyle w:val="FootnoteReference"/>
        </w:rPr>
        <w:footnoteRef/>
      </w:r>
      <w:r>
        <w:t xml:space="preserve"> In the quoted paragraph, Professor Hogendorn concludes, “</w:t>
      </w:r>
      <w:r>
        <w:rPr>
          <w:i/>
        </w:rPr>
        <w:t xml:space="preserve">The CACM </w:t>
      </w:r>
      <w:r w:rsidRPr="000067D6">
        <w:rPr>
          <w:i/>
        </w:rPr>
        <w:t>documentation that I reviewed indicates a 20-year levelized ARPU and take-rate, so it does not address this problem.</w:t>
      </w:r>
      <w:r>
        <w:t>”  Levelized demand is discussed here, but also below under the sections titled “Pricing” and “Take rate.”  The take rate is discussed in the “Take rate” section.</w:t>
      </w:r>
      <w:r w:rsidR="00EC7C22">
        <w:t xml:space="preserve">  The support threshold has not been decided yet, and in any event, is a policy decision not subject to peer review. </w:t>
      </w:r>
    </w:p>
  </w:footnote>
  <w:footnote w:id="9">
    <w:p w14:paraId="6AC309F9" w14:textId="5A2D28BF" w:rsidR="002153DD" w:rsidRDefault="002153DD" w:rsidP="00EC5B27">
      <w:r>
        <w:rPr>
          <w:rStyle w:val="FootnoteReference"/>
        </w:rPr>
        <w:footnoteRef/>
      </w:r>
      <w:r>
        <w:t xml:space="preserve"> Letter from Michael J. Jacobs, Legal Advisor to the Chief, Wireline Competition Bureau, FCC to Marlene H. Dortch, Secretary, FCC, </w:t>
      </w:r>
      <w:r w:rsidRPr="0061706B">
        <w:t>WC Docket No. 10-90</w:t>
      </w:r>
      <w:r>
        <w:t xml:space="preserve"> &amp; Attach. at 23-30 (filed June 25, 2013) (WCB June 25 Virtual Workshop Submission Letter), </w:t>
      </w:r>
      <w:r w:rsidRPr="00EE41FF">
        <w:rPr>
          <w:i/>
        </w:rPr>
        <w:t>available at</w:t>
      </w:r>
      <w:r>
        <w:t xml:space="preserve"> </w:t>
      </w:r>
      <w:hyperlink r:id="rId1" w:history="1">
        <w:r w:rsidRPr="00040C72">
          <w:rPr>
            <w:rStyle w:val="Hyperlink"/>
          </w:rPr>
          <w:t>http://appsint.fcc.gov/ecfs/document/view?id=7520925138</w:t>
        </w:r>
      </w:hyperlink>
      <w:r>
        <w:t xml:space="preserve"> and </w:t>
      </w:r>
      <w:hyperlink r:id="rId2" w:history="1">
        <w:r w:rsidRPr="00040C72">
          <w:rPr>
            <w:rStyle w:val="Hyperlink"/>
          </w:rPr>
          <w:t>http://appsint.fcc.gov/ecfs/document/view?id=7520925140</w:t>
        </w:r>
      </w:hyperlink>
      <w:r>
        <w:t>.</w:t>
      </w:r>
    </w:p>
  </w:footnote>
  <w:footnote w:id="10">
    <w:p w14:paraId="576289E5" w14:textId="77777777" w:rsidR="002153DD" w:rsidRDefault="002153DD">
      <w:pPr>
        <w:pStyle w:val="FootnoteText"/>
      </w:pPr>
      <w:r w:rsidRPr="00986038">
        <w:rPr>
          <w:rStyle w:val="FootnoteReference"/>
        </w:rPr>
        <w:footnoteRef/>
      </w:r>
      <w:r>
        <w:rPr>
          <w:i/>
          <w:iCs/>
        </w:rPr>
        <w:t xml:space="preserve"> </w:t>
      </w:r>
      <w:r w:rsidRPr="003F2653">
        <w:rPr>
          <w:i/>
          <w:iCs/>
        </w:rPr>
        <w:t>See USF/ICC Transformation Order</w:t>
      </w:r>
      <w:r w:rsidRPr="003F2653">
        <w:t>, 26 FCC Rcd</w:t>
      </w:r>
      <w:r>
        <w:t xml:space="preserve"> at 17837, </w:t>
      </w:r>
      <w:r w:rsidRPr="00986038">
        <w:rPr>
          <w:iCs/>
        </w:rPr>
        <w:t>para</w:t>
      </w:r>
      <w:r>
        <w:rPr>
          <w:iCs/>
        </w:rPr>
        <w:t>. 533.</w:t>
      </w:r>
    </w:p>
  </w:footnote>
  <w:footnote w:id="11">
    <w:p w14:paraId="7A50FA5E" w14:textId="77777777" w:rsidR="002153DD" w:rsidRDefault="002153DD">
      <w:pPr>
        <w:pStyle w:val="FootnoteText"/>
      </w:pPr>
      <w:r>
        <w:rPr>
          <w:rStyle w:val="FootnoteReference"/>
        </w:rPr>
        <w:footnoteRef/>
      </w:r>
      <w:r>
        <w:t xml:space="preserve"> The table, its sources, and the calculations discussed here are explained in more detail in the appendix to this response.</w:t>
      </w:r>
    </w:p>
  </w:footnote>
  <w:footnote w:id="12">
    <w:p w14:paraId="0FA1E2BC" w14:textId="77777777" w:rsidR="002153DD" w:rsidRDefault="002153DD">
      <w:pPr>
        <w:pStyle w:val="FootnoteText"/>
      </w:pPr>
      <w:r>
        <w:rPr>
          <w:rStyle w:val="FootnoteReference"/>
        </w:rPr>
        <w:footnoteRef/>
      </w:r>
      <w:r>
        <w:t xml:space="preserve"> The use of extreme values results in an improbable range of potential price movements, since the lower bound of the range only occurs if all variables simultaneously take on the values that would give the smallest cost increase, and similarly for the upper bound.</w:t>
      </w:r>
    </w:p>
  </w:footnote>
  <w:footnote w:id="13">
    <w:p w14:paraId="6DBD5D97" w14:textId="77777777" w:rsidR="002153DD" w:rsidRDefault="002153DD" w:rsidP="004E6F6E">
      <w:pPr>
        <w:pStyle w:val="FootnoteText"/>
      </w:pPr>
      <w:r>
        <w:rPr>
          <w:rStyle w:val="FootnoteReference"/>
        </w:rPr>
        <w:footnoteRef/>
      </w:r>
      <w:r>
        <w:t xml:space="preserve"> For example, if lines with costs in the 95</w:t>
      </w:r>
      <w:r w:rsidRPr="00EC0988">
        <w:rPr>
          <w:vertAlign w:val="superscript"/>
        </w:rPr>
        <w:t>th</w:t>
      </w:r>
      <w:r>
        <w:t xml:space="preserve"> to 99</w:t>
      </w:r>
      <w:r w:rsidRPr="00EC0988">
        <w:rPr>
          <w:vertAlign w:val="superscript"/>
        </w:rPr>
        <w:t>th</w:t>
      </w:r>
      <w:r>
        <w:t xml:space="preserve"> percentiles are considered, the potential range of cost variation runs from -1.9% to +1.8% (in comparison, looking at total costs gives a cost variation of -3.5% to +0.8%).  This variation occurs because labor is the major cost associated with loop lengths and loop lengths greatly increase in higher cost areas.  The data underlying these calculations and further explanation is presented the appendix to this response.  </w:t>
      </w:r>
    </w:p>
  </w:footnote>
  <w:footnote w:id="14">
    <w:p w14:paraId="730367BC" w14:textId="5308C71D" w:rsidR="002153DD" w:rsidRDefault="002153DD">
      <w:pPr>
        <w:pStyle w:val="FootnoteText"/>
      </w:pPr>
      <w:r>
        <w:rPr>
          <w:rStyle w:val="FootnoteReference"/>
        </w:rPr>
        <w:footnoteRef/>
      </w:r>
      <w:r>
        <w:t xml:space="preserve"> </w:t>
      </w:r>
      <w:r w:rsidRPr="00C73931">
        <w:t xml:space="preserve">Shane Greenstein and Ryan McDevitt, </w:t>
      </w:r>
      <w:r w:rsidRPr="00207BD8">
        <w:rPr>
          <w:i/>
        </w:rPr>
        <w:t>Evidence of a Modest Price Decline in US Broadband Services</w:t>
      </w:r>
      <w:r>
        <w:t xml:space="preserve">, 28 </w:t>
      </w:r>
      <w:hyperlink r:id="rId3" w:history="1">
        <w:r>
          <w:rPr>
            <w:rStyle w:val="Hyperlink"/>
          </w:rPr>
          <w:t>Info. Econ. and Policy</w:t>
        </w:r>
      </w:hyperlink>
      <w:r>
        <w:rPr>
          <w:rStyle w:val="Hyperlink"/>
        </w:rPr>
        <w:t xml:space="preserve"> 200, 206 figs. 2 &amp; 3</w:t>
      </w:r>
      <w:r>
        <w:t xml:space="preserve"> (2011), </w:t>
      </w:r>
      <w:r w:rsidRPr="00207BD8">
        <w:rPr>
          <w:i/>
        </w:rPr>
        <w:t>available at</w:t>
      </w:r>
      <w:r>
        <w:t xml:space="preserve"> </w:t>
      </w:r>
      <w:hyperlink r:id="rId4" w:history="1">
        <w:r w:rsidRPr="009A2C62">
          <w:rPr>
            <w:rStyle w:val="Hyperlink"/>
          </w:rPr>
          <w:t>http://www.sciencedirect.com/science/journal/01676245/23/2</w:t>
        </w:r>
      </w:hyperlink>
      <w:r>
        <w:t xml:space="preserve">.  While reported mean prices </w:t>
      </w:r>
      <w:r w:rsidRPr="00631CED">
        <w:rPr>
          <w:i/>
        </w:rPr>
        <w:t>across</w:t>
      </w:r>
      <w:r>
        <w:t xml:space="preserve"> bandwidths both rose and fell, the annual average rate of increase in the mean standalone cable price was one percent, and the mean standalone DSL rate essentially returned to its 2004 value.  </w:t>
      </w:r>
      <w:r w:rsidRPr="00207BD8">
        <w:rPr>
          <w:i/>
        </w:rPr>
        <w:t>Id.</w:t>
      </w:r>
      <w:r>
        <w:t xml:space="preserve"> at 206, 208 &amp; 207 tbl. 3.</w:t>
      </w:r>
    </w:p>
  </w:footnote>
  <w:footnote w:id="15">
    <w:p w14:paraId="64AF9626" w14:textId="77777777" w:rsidR="002153DD" w:rsidRDefault="002153DD">
      <w:pPr>
        <w:pStyle w:val="FootnoteText"/>
      </w:pPr>
      <w:r>
        <w:rPr>
          <w:rStyle w:val="FootnoteReference"/>
        </w:rPr>
        <w:footnoteRef/>
      </w:r>
      <w:r>
        <w:t xml:space="preserve"> Subscription rates,</w:t>
      </w:r>
      <w:r w:rsidRPr="00986038">
        <w:t xml:space="preserve"> and </w:t>
      </w:r>
      <w:r>
        <w:t xml:space="preserve">other </w:t>
      </w:r>
      <w:r w:rsidRPr="00986038">
        <w:t xml:space="preserve">assumptions </w:t>
      </w:r>
      <w:r>
        <w:t>necessary to determine levelized</w:t>
      </w:r>
      <w:r w:rsidRPr="00986038">
        <w:t xml:space="preserve"> revenue</w:t>
      </w:r>
      <w:r>
        <w:t>,</w:t>
      </w:r>
      <w:r w:rsidRPr="00986038">
        <w:t xml:space="preserve"> </w:t>
      </w:r>
      <w:r>
        <w:t>will be made in a forthcoming Bureau O</w:t>
      </w:r>
      <w:r w:rsidRPr="00986038">
        <w:t>rder</w:t>
      </w:r>
      <w:r>
        <w:t>, as will be the assumptions necessary to determine the benchmark and the upper threshold</w:t>
      </w:r>
      <w:r w:rsidRPr="00986038">
        <w:t>.</w:t>
      </w:r>
    </w:p>
  </w:footnote>
  <w:footnote w:id="16">
    <w:p w14:paraId="3F201D93" w14:textId="77777777" w:rsidR="002153DD" w:rsidRDefault="002153DD">
      <w:pPr>
        <w:pStyle w:val="FootnoteText"/>
      </w:pPr>
      <w:r>
        <w:rPr>
          <w:rStyle w:val="FootnoteReference"/>
        </w:rPr>
        <w:footnoteRef/>
      </w:r>
      <w:r>
        <w:rPr>
          <w:i/>
        </w:rPr>
        <w:t xml:space="preserve"> </w:t>
      </w:r>
      <w:r w:rsidRPr="00491714">
        <w:rPr>
          <w:i/>
        </w:rPr>
        <w:t>Id</w:t>
      </w:r>
      <w:r>
        <w:t xml:space="preserve">.  The paper estimates that, taking account of improvements in bandwidth, prices declined between 3 and 10 percent from 2004 to 2009.  This does not imply that revenues necessarily fell, since the average price per service </w:t>
      </w:r>
      <w:r w:rsidRPr="00DE1A47">
        <w:rPr>
          <w:i/>
        </w:rPr>
        <w:t>not adjusted for bandwidth</w:t>
      </w:r>
      <w:r>
        <w:t xml:space="preserve"> could have risen.</w:t>
      </w:r>
    </w:p>
  </w:footnote>
  <w:footnote w:id="17">
    <w:p w14:paraId="4E1B6E36" w14:textId="78FC2A60" w:rsidR="002153DD" w:rsidRDefault="002153DD">
      <w:pPr>
        <w:pStyle w:val="FootnoteText"/>
      </w:pPr>
      <w:r>
        <w:rPr>
          <w:rStyle w:val="FootnoteReference"/>
        </w:rPr>
        <w:footnoteRef/>
      </w:r>
      <w:r>
        <w:t xml:space="preserve"> Annual rural population growth in the U.S has probably steadily declined since 2005-2006, from 0.74% to 0.11% in 2010-2011 (a hiccup in 2009-2010 is partly explained </w:t>
      </w:r>
      <w:r w:rsidRPr="00241C45">
        <w:t xml:space="preserve">by </w:t>
      </w:r>
      <w:r>
        <w:t>a</w:t>
      </w:r>
      <w:r w:rsidRPr="00241C45">
        <w:t>djustments to county population estimates following the 2010 Census</w:t>
      </w:r>
      <w:r>
        <w:t>)</w:t>
      </w:r>
      <w:r w:rsidRPr="00241C45">
        <w:t>.</w:t>
      </w:r>
      <w:r>
        <w:t xml:space="preserve">  </w:t>
      </w:r>
      <w:r w:rsidRPr="00DD59C4">
        <w:rPr>
          <w:i/>
        </w:rPr>
        <w:t>See</w:t>
      </w:r>
      <w:r w:rsidRPr="00241C45">
        <w:t xml:space="preserve"> </w:t>
      </w:r>
      <w:r>
        <w:rPr>
          <w:rFonts w:eastAsia="Times New Roman"/>
        </w:rPr>
        <w:t xml:space="preserve">Econ. Research Serv., U.S. Dept. of Agric. (USDA), “Rural America at a glance: 2012 edition,” pp. 5-6, </w:t>
      </w:r>
      <w:r w:rsidRPr="00207BD8">
        <w:rPr>
          <w:rFonts w:eastAsia="Times New Roman"/>
          <w:i/>
        </w:rPr>
        <w:t>available at</w:t>
      </w:r>
      <w:r>
        <w:rPr>
          <w:rFonts w:eastAsia="Times New Roman"/>
        </w:rPr>
        <w:t xml:space="preserve"> </w:t>
      </w:r>
      <w:hyperlink r:id="rId5" w:tgtFrame="_blank" w:history="1">
        <w:r>
          <w:rPr>
            <w:rStyle w:val="Hyperlink"/>
            <w:rFonts w:eastAsia="Times New Roman"/>
          </w:rPr>
          <w:t>http://www.ers.usda.gov/media/965908/eb-21_single_pages.pdf</w:t>
        </w:r>
      </w:hyperlink>
      <w:r>
        <w:rPr>
          <w:rFonts w:eastAsia="Times New Roman"/>
        </w:rPr>
        <w:t xml:space="preserve"> (last visited June 24, 2013)</w:t>
      </w:r>
      <w:r>
        <w:t xml:space="preserve">. </w:t>
      </w:r>
    </w:p>
  </w:footnote>
  <w:footnote w:id="18">
    <w:p w14:paraId="0D5FF758" w14:textId="77777777" w:rsidR="002153DD" w:rsidRDefault="002153DD" w:rsidP="00E14DCB">
      <w:pPr>
        <w:pStyle w:val="FootnoteText"/>
      </w:pPr>
      <w:r>
        <w:rPr>
          <w:rStyle w:val="FootnoteReference"/>
        </w:rPr>
        <w:footnoteRef/>
      </w:r>
      <w:r>
        <w:t xml:space="preserve"> Professor Hogendorn also expresses concern that the Commission’s estimate of levelized demand may be too low, on which, </w:t>
      </w:r>
      <w:r w:rsidRPr="00207BD8">
        <w:rPr>
          <w:i/>
        </w:rPr>
        <w:t>see</w:t>
      </w:r>
      <w:r>
        <w:t xml:space="preserve"> the discussion under “The subscription rate” below. </w:t>
      </w:r>
    </w:p>
  </w:footnote>
  <w:footnote w:id="19">
    <w:p w14:paraId="35A0A9C2" w14:textId="77777777" w:rsidR="002153DD" w:rsidRDefault="002153DD">
      <w:pPr>
        <w:pStyle w:val="FootnoteText"/>
      </w:pPr>
      <w:r>
        <w:rPr>
          <w:rStyle w:val="FootnoteReference"/>
        </w:rPr>
        <w:footnoteRef/>
      </w:r>
      <w:r>
        <w:t xml:space="preserve"> Model support also gives providers an incentive to maximize subscriptions, since the amount provided is fixed, while each new subscriber brings substantial revenues, without requiring additional network deployment.</w:t>
      </w:r>
    </w:p>
  </w:footnote>
  <w:footnote w:id="20">
    <w:p w14:paraId="6F9D598E" w14:textId="245EBEC6" w:rsidR="002153DD" w:rsidRDefault="002153DD">
      <w:pPr>
        <w:pStyle w:val="FootnoteText"/>
      </w:pPr>
      <w:r>
        <w:rPr>
          <w:rStyle w:val="FootnoteReference"/>
        </w:rPr>
        <w:footnoteRef/>
      </w:r>
      <w:r>
        <w:t xml:space="preserve"> Hogendorn at 5.</w:t>
      </w:r>
    </w:p>
  </w:footnote>
  <w:footnote w:id="21">
    <w:p w14:paraId="028193E0" w14:textId="1213FE08" w:rsidR="002153DD" w:rsidRPr="00005939" w:rsidRDefault="002153DD" w:rsidP="00441CB4">
      <w:r w:rsidRPr="00005939">
        <w:rPr>
          <w:rStyle w:val="FootnoteReference"/>
        </w:rPr>
        <w:footnoteRef/>
      </w:r>
      <w:r w:rsidRPr="00005939">
        <w:t xml:space="preserve"> </w:t>
      </w:r>
      <w:r w:rsidRPr="00EA3FA9">
        <w:rPr>
          <w:i/>
          <w:iCs/>
        </w:rPr>
        <w:t>See</w:t>
      </w:r>
      <w:r w:rsidRPr="00EA3FA9">
        <w:t xml:space="preserve"> WCB Feb. 6, 2013 Virtual Workshop Submission Letter, Attach. at 39-40.</w:t>
      </w:r>
    </w:p>
  </w:footnote>
  <w:footnote w:id="22">
    <w:p w14:paraId="4012B272" w14:textId="77777777" w:rsidR="002153DD" w:rsidRDefault="002153DD" w:rsidP="00207BD8">
      <w:r>
        <w:rPr>
          <w:rStyle w:val="FootnoteReference"/>
        </w:rPr>
        <w:footnoteRef/>
      </w:r>
      <w:r>
        <w:t xml:space="preserve"> </w:t>
      </w:r>
      <w:r w:rsidRPr="00D66453">
        <w:rPr>
          <w:i/>
          <w:iCs/>
        </w:rPr>
        <w:t>See</w:t>
      </w:r>
      <w:r w:rsidRPr="00D66453">
        <w:t xml:space="preserve"> Letter from Michael J. Jacobs, Legal Advisor to the Chief, Wireline Competition Bureau, to Marlene Dortch, Secretary, FCC, WC Docket No. 10-90, Attach. at 39-40 (filed Feb. 6, 2013) (WCB Feb. 6, 2013 Virtual Workshop Submission Letter).</w:t>
      </w:r>
    </w:p>
  </w:footnote>
  <w:footnote w:id="23">
    <w:p w14:paraId="2854907E" w14:textId="77777777" w:rsidR="002153DD" w:rsidRDefault="002153DD" w:rsidP="00D94A31">
      <w:pPr>
        <w:pStyle w:val="FootnoteText"/>
      </w:pPr>
      <w:r>
        <w:rPr>
          <w:rStyle w:val="FootnoteReference"/>
        </w:rPr>
        <w:footnoteRef/>
      </w:r>
      <w:r>
        <w:t xml:space="preserve"> These assumptions produce two effects.  On the one hand, the CAM assumes the network is optimally built out at once, when, for example, network drops are not always deployed optimally</w:t>
      </w:r>
      <w:r w:rsidRPr="00265E5B">
        <w:t xml:space="preserve"> </w:t>
      </w:r>
      <w:r>
        <w:t xml:space="preserve">from an </w:t>
      </w:r>
      <w:r w:rsidRPr="00207BD8">
        <w:rPr>
          <w:i/>
        </w:rPr>
        <w:t>ex ante</w:t>
      </w:r>
      <w:r>
        <w:t xml:space="preserve"> perspective, but rather are built piecemeal, following demand.  This leads the CAM to understate costs.  On the other hand, where delay is optimal, as might be the case for those drops that are only required at a later date, the CAM will overstate costs because it does not optimally postpone such expenses.  The savings due to delay rise with future growth, and especially to the extent to which that growth is back-loaded (which does not seem likely).  It is not obvious that one of these two effects dominates the other.</w:t>
      </w:r>
    </w:p>
  </w:footnote>
  <w:footnote w:id="24">
    <w:p w14:paraId="4F37EA6B" w14:textId="61C98792" w:rsidR="002153DD" w:rsidRDefault="002153DD" w:rsidP="00C309AF">
      <w:pPr>
        <w:pStyle w:val="FootnoteText"/>
      </w:pPr>
      <w:r>
        <w:rPr>
          <w:rStyle w:val="FootnoteReference"/>
        </w:rPr>
        <w:footnoteRef/>
      </w:r>
      <w:r>
        <w:t xml:space="preserve"> Hogendorn at 4.</w:t>
      </w:r>
    </w:p>
  </w:footnote>
  <w:footnote w:id="25">
    <w:p w14:paraId="2F28F100" w14:textId="77777777" w:rsidR="002153DD" w:rsidRDefault="002153DD" w:rsidP="00C309AF">
      <w:pPr>
        <w:pStyle w:val="FootnoteText"/>
      </w:pPr>
      <w:r>
        <w:rPr>
          <w:rStyle w:val="FootnoteReference"/>
        </w:rPr>
        <w:footnoteRef/>
      </w:r>
      <w:r>
        <w:t xml:space="preserve"> 47 U.S.C. § 245(b).</w:t>
      </w:r>
    </w:p>
  </w:footnote>
  <w:footnote w:id="26">
    <w:p w14:paraId="50B25694" w14:textId="5AA63170" w:rsidR="002153DD" w:rsidRDefault="002153DD" w:rsidP="0061706B">
      <w:r>
        <w:rPr>
          <w:rStyle w:val="FootnoteReference"/>
        </w:rPr>
        <w:footnoteRef/>
      </w:r>
      <w:r>
        <w:t xml:space="preserve"> WCB June 25 Virtual Workshop Submission Letter.</w:t>
      </w:r>
    </w:p>
  </w:footnote>
  <w:footnote w:id="27">
    <w:p w14:paraId="64B053D7" w14:textId="0B62DD7C" w:rsidR="002153DD" w:rsidRDefault="002153DD">
      <w:pPr>
        <w:pStyle w:val="FootnoteText"/>
      </w:pPr>
      <w:r>
        <w:rPr>
          <w:rStyle w:val="FootnoteReference"/>
        </w:rPr>
        <w:footnoteRef/>
      </w:r>
      <w:r>
        <w:t xml:space="preserve"> Hogendorn at 7.</w:t>
      </w:r>
    </w:p>
  </w:footnote>
  <w:footnote w:id="28">
    <w:p w14:paraId="5B8D4468" w14:textId="77777777" w:rsidR="002153DD" w:rsidRDefault="002153DD">
      <w:pPr>
        <w:pStyle w:val="FootnoteText"/>
      </w:pPr>
      <w:r>
        <w:rPr>
          <w:rStyle w:val="FootnoteReference"/>
        </w:rPr>
        <w:footnoteRef/>
      </w:r>
      <w:r>
        <w:t xml:space="preserve"> The choice to model a FTTP network, with or without video revenues, does not imply carriers accepting model subsidies must deploy an FTTP network and offer (or not offer) video services.  </w:t>
      </w:r>
    </w:p>
  </w:footnote>
  <w:footnote w:id="29">
    <w:p w14:paraId="558639CC" w14:textId="56ABA55A" w:rsidR="002153DD" w:rsidRPr="00371AE7" w:rsidRDefault="002153DD" w:rsidP="00481ED5">
      <w:pPr>
        <w:pStyle w:val="FootnoteText"/>
        <w:rPr>
          <w:b/>
          <w:bCs/>
        </w:rPr>
      </w:pPr>
      <w:r>
        <w:rPr>
          <w:rStyle w:val="FootnoteReference"/>
        </w:rPr>
        <w:footnoteRef/>
      </w:r>
      <w:r>
        <w:t xml:space="preserve"> T</w:t>
      </w:r>
      <w:r w:rsidRPr="001D7379">
        <w:rPr>
          <w:szCs w:val="22"/>
        </w:rPr>
        <w:t xml:space="preserve">he combined shares of all </w:t>
      </w:r>
      <w:r>
        <w:rPr>
          <w:szCs w:val="22"/>
        </w:rPr>
        <w:t>telephone multichannel video distributors (</w:t>
      </w:r>
      <w:r w:rsidRPr="001D7379">
        <w:rPr>
          <w:szCs w:val="22"/>
        </w:rPr>
        <w:t>MVPDs</w:t>
      </w:r>
      <w:r>
        <w:rPr>
          <w:szCs w:val="22"/>
        </w:rPr>
        <w:t>)</w:t>
      </w:r>
      <w:r w:rsidRPr="001D7379">
        <w:rPr>
          <w:szCs w:val="22"/>
        </w:rPr>
        <w:t xml:space="preserve"> accounted for approximately </w:t>
      </w:r>
      <w:r>
        <w:rPr>
          <w:szCs w:val="22"/>
        </w:rPr>
        <w:t>8.4</w:t>
      </w:r>
      <w:r w:rsidRPr="001D7379">
        <w:rPr>
          <w:szCs w:val="22"/>
        </w:rPr>
        <w:t xml:space="preserve"> percent of MVPD subscribers at the end of 2011</w:t>
      </w:r>
      <w:r>
        <w:rPr>
          <w:szCs w:val="22"/>
        </w:rPr>
        <w:t>, compared to 6.9 percent at the end of 2010</w:t>
      </w:r>
      <w:r w:rsidRPr="001D7379">
        <w:rPr>
          <w:szCs w:val="22"/>
        </w:rPr>
        <w:t>.</w:t>
      </w:r>
      <w:r>
        <w:t>.  The largest of these, Verizon, was the 7</w:t>
      </w:r>
      <w:r w:rsidRPr="000F6B97">
        <w:rPr>
          <w:vertAlign w:val="superscript"/>
        </w:rPr>
        <w:t>th</w:t>
      </w:r>
      <w:r>
        <w:t xml:space="preserve"> largest MVPD, while the 2</w:t>
      </w:r>
      <w:r w:rsidRPr="000F6B97">
        <w:rPr>
          <w:vertAlign w:val="superscript"/>
        </w:rPr>
        <w:t>nd</w:t>
      </w:r>
      <w:r>
        <w:t xml:space="preserve"> largest, AT&amp;T, was the 9</w:t>
      </w:r>
      <w:r w:rsidRPr="000F6B97">
        <w:rPr>
          <w:vertAlign w:val="superscript"/>
        </w:rPr>
        <w:t>th</w:t>
      </w:r>
      <w:r>
        <w:t xml:space="preserve"> largest.  </w:t>
      </w:r>
      <w:r w:rsidRPr="00207BD8">
        <w:rPr>
          <w:i/>
        </w:rPr>
        <w:t>Annual Assessment of the Status of Competition in the Market for the Delivery of Video Programming</w:t>
      </w:r>
      <w:r w:rsidRPr="00371AE7">
        <w:t>,</w:t>
      </w:r>
      <w:r>
        <w:t xml:space="preserve"> </w:t>
      </w:r>
      <w:r>
        <w:rPr>
          <w:spacing w:val="-2"/>
        </w:rPr>
        <w:t>MB Docket No. 12-203, Fifteenth Report,</w:t>
      </w:r>
      <w:r>
        <w:t xml:space="preserve"> FCC 13-99 at 12-13, paras. 28, 30 (rel. July 22, 2013) </w:t>
      </w:r>
      <w:r w:rsidRPr="00371AE7">
        <w:t>(</w:t>
      </w:r>
      <w:r w:rsidRPr="00A34A56">
        <w:rPr>
          <w:i/>
        </w:rPr>
        <w:t>1</w:t>
      </w:r>
      <w:r>
        <w:rPr>
          <w:i/>
        </w:rPr>
        <w:t>5</w:t>
      </w:r>
      <w:r w:rsidRPr="00A34A56">
        <w:rPr>
          <w:i/>
          <w:vertAlign w:val="superscript"/>
        </w:rPr>
        <w:t>th</w:t>
      </w:r>
      <w:r w:rsidRPr="00A34A56">
        <w:rPr>
          <w:i/>
        </w:rPr>
        <w:t xml:space="preserve"> </w:t>
      </w:r>
      <w:r w:rsidRPr="00A34A56">
        <w:rPr>
          <w:bCs/>
          <w:i/>
        </w:rPr>
        <w:t>Video Competition Report</w:t>
      </w:r>
      <w:r>
        <w:rPr>
          <w:bCs/>
        </w:rPr>
        <w:t>)</w:t>
      </w:r>
      <w:r>
        <w:t xml:space="preserve">.  According to one analyst, as of March 2013, telephone MVPD share had risen to closer to ten percent of the market (Leichtman Research Group, press release, May 20, 2013, </w:t>
      </w:r>
      <w:hyperlink r:id="rId6" w:history="1">
        <w:r w:rsidRPr="008364CE">
          <w:rPr>
            <w:rStyle w:val="Hyperlink"/>
          </w:rPr>
          <w:t>http://leichtmanresearch.com/press/052013release.html</w:t>
        </w:r>
      </w:hyperlink>
      <w:r>
        <w:t>, viewed May 31, 2013).</w:t>
      </w:r>
    </w:p>
  </w:footnote>
  <w:footnote w:id="30">
    <w:p w14:paraId="19643628" w14:textId="0B38C7E5" w:rsidR="002153DD" w:rsidRDefault="002153DD" w:rsidP="00481ED5">
      <w:pPr>
        <w:pStyle w:val="FootnoteText"/>
      </w:pPr>
      <w:r>
        <w:rPr>
          <w:rStyle w:val="FootnoteReference"/>
        </w:rPr>
        <w:footnoteRef/>
      </w:r>
      <w:r>
        <w:t xml:space="preserve"> </w:t>
      </w:r>
      <w:r w:rsidRPr="00530EA4">
        <w:rPr>
          <w:i/>
        </w:rPr>
        <w:t>1</w:t>
      </w:r>
      <w:r>
        <w:rPr>
          <w:i/>
        </w:rPr>
        <w:t>5</w:t>
      </w:r>
      <w:r w:rsidRPr="00530EA4">
        <w:rPr>
          <w:i/>
          <w:vertAlign w:val="superscript"/>
        </w:rPr>
        <w:t>th</w:t>
      </w:r>
      <w:r w:rsidRPr="00530EA4">
        <w:rPr>
          <w:i/>
        </w:rPr>
        <w:t xml:space="preserve"> </w:t>
      </w:r>
      <w:r w:rsidRPr="00530EA4">
        <w:rPr>
          <w:bCs/>
          <w:i/>
        </w:rPr>
        <w:t>Video Competition Report</w:t>
      </w:r>
      <w:r>
        <w:t xml:space="preserve">, FCC 13-99 at 34-35, paras. 69-72.  SNL Kagan reports </w:t>
      </w:r>
      <w:r w:rsidRPr="00E42D35">
        <w:t>that larger MVPDs face lower programming costs</w:t>
      </w:r>
      <w:r>
        <w:t xml:space="preserve">.  </w:t>
      </w:r>
      <w:r w:rsidRPr="005E3213">
        <w:rPr>
          <w:i/>
        </w:rPr>
        <w:t xml:space="preserve">See </w:t>
      </w:r>
      <w:r>
        <w:t>Telco TV Outlook: Competitive analysis of US telco video deployments, 2007 edition, SNL Kagan, June 2007 (“</w:t>
      </w:r>
      <w:r w:rsidRPr="006B00A7">
        <w:t>volume discounts and most-favored-nation (MFN) clauses ensuring multichannel giants such as Comcast and Time Warner Cable always pay rates</w:t>
      </w:r>
      <w:r>
        <w:t xml:space="preserve"> [for programming]</w:t>
      </w:r>
      <w:r w:rsidRPr="006B00A7">
        <w:t xml:space="preserve"> less than or equal to those charged their competitors.</w:t>
      </w:r>
      <w:r>
        <w:t xml:space="preserve"> . . .</w:t>
      </w:r>
      <w:r w:rsidRPr="005905B4">
        <w:rPr>
          <w:rFonts w:ascii="Optima" w:hAnsi="Optima" w:cs="Optima"/>
          <w:color w:val="1A1718"/>
          <w:sz w:val="30"/>
          <w:szCs w:val="30"/>
        </w:rPr>
        <w:t xml:space="preserve"> </w:t>
      </w:r>
      <w:r w:rsidRPr="005905B4">
        <w:t>we polled some small operators and found they were paying about 30% more than the average for a dozen networks randomly chosen for our survey.</w:t>
      </w:r>
      <w:r>
        <w:t xml:space="preserve">”).    </w:t>
      </w:r>
    </w:p>
  </w:footnote>
  <w:footnote w:id="31">
    <w:p w14:paraId="347E575A" w14:textId="77777777" w:rsidR="002153DD" w:rsidRDefault="002153DD" w:rsidP="00481ED5">
      <w:pPr>
        <w:pStyle w:val="FootnoteText"/>
      </w:pPr>
      <w:r>
        <w:rPr>
          <w:rStyle w:val="FootnoteReference"/>
        </w:rPr>
        <w:footnoteRef/>
      </w:r>
      <w:r>
        <w:t xml:space="preserve"> For example, this would be true if packaging video with voice (and perhaps broadband) makes, holding other things constant, customers less likely to switch their voice services to another provider.</w:t>
      </w:r>
    </w:p>
  </w:footnote>
  <w:footnote w:id="32">
    <w:p w14:paraId="6DE9E1B9" w14:textId="6AD791AC" w:rsidR="002153DD" w:rsidRDefault="002153DD">
      <w:pPr>
        <w:pStyle w:val="FootnoteText"/>
      </w:pPr>
      <w:r>
        <w:rPr>
          <w:rStyle w:val="FootnoteReference"/>
        </w:rPr>
        <w:footnoteRef/>
      </w:r>
      <w:r>
        <w:t xml:space="preserve"> Hogendorn at 6.</w:t>
      </w:r>
    </w:p>
  </w:footnote>
  <w:footnote w:id="33">
    <w:p w14:paraId="408561BB" w14:textId="77777777" w:rsidR="002153DD" w:rsidRDefault="002153DD">
      <w:pPr>
        <w:pStyle w:val="FootnoteText"/>
      </w:pPr>
      <w:r>
        <w:rPr>
          <w:rStyle w:val="FootnoteReference"/>
        </w:rPr>
        <w:footnoteRef/>
      </w:r>
      <w:r>
        <w:t xml:space="preserve"> </w:t>
      </w:r>
      <w:r w:rsidRPr="008A4772">
        <w:rPr>
          <w:i/>
        </w:rPr>
        <w:t>CA</w:t>
      </w:r>
      <w:r>
        <w:rPr>
          <w:i/>
        </w:rPr>
        <w:t>M Platform</w:t>
      </w:r>
      <w:r w:rsidRPr="008A4772">
        <w:rPr>
          <w:i/>
        </w:rPr>
        <w:t xml:space="preserve"> Order</w:t>
      </w:r>
      <w:r>
        <w:rPr>
          <w:i/>
        </w:rPr>
        <w:t>,</w:t>
      </w:r>
      <w:r w:rsidRPr="00AB2DAA">
        <w:t xml:space="preserve"> </w:t>
      </w:r>
      <w:r>
        <w:t xml:space="preserve">28 FCC Rcd </w:t>
      </w:r>
      <w:r w:rsidRPr="00AB2DAA">
        <w:t xml:space="preserve">at </w:t>
      </w:r>
      <w:r>
        <w:t>5314-16</w:t>
      </w:r>
      <w:r w:rsidRPr="00AB2DAA">
        <w:t>, para</w:t>
      </w:r>
      <w:r>
        <w:t>.</w:t>
      </w:r>
      <w:r w:rsidRPr="00AB2DAA">
        <w:t xml:space="preserve"> </w:t>
      </w:r>
      <w:r>
        <w:t>33</w:t>
      </w:r>
      <w:r w:rsidRPr="00AB2DAA">
        <w:t>.</w:t>
      </w:r>
    </w:p>
  </w:footnote>
  <w:footnote w:id="34">
    <w:p w14:paraId="58030F96" w14:textId="6AFC5317" w:rsidR="002153DD" w:rsidRDefault="002153DD">
      <w:pPr>
        <w:pStyle w:val="FootnoteText"/>
      </w:pPr>
      <w:r>
        <w:rPr>
          <w:rStyle w:val="FootnoteReference"/>
        </w:rPr>
        <w:footnoteRef/>
      </w:r>
      <w:r>
        <w:t xml:space="preserve"> Hogendorn at 7.</w:t>
      </w:r>
    </w:p>
  </w:footnote>
  <w:footnote w:id="35">
    <w:p w14:paraId="0879C05E" w14:textId="1C594EC5" w:rsidR="002153DD" w:rsidRDefault="002153DD" w:rsidP="00DA0EC5">
      <w:pPr>
        <w:pStyle w:val="FootnoteText"/>
      </w:pPr>
      <w:r>
        <w:rPr>
          <w:rStyle w:val="FootnoteReference"/>
        </w:rPr>
        <w:footnoteRef/>
      </w:r>
      <w:r>
        <w:t xml:space="preserve"> </w:t>
      </w:r>
      <w:r w:rsidRPr="00AB2DAA">
        <w:rPr>
          <w:i/>
        </w:rPr>
        <w:t xml:space="preserve">See </w:t>
      </w:r>
      <w:r w:rsidRPr="008A4772">
        <w:rPr>
          <w:i/>
        </w:rPr>
        <w:t>CA</w:t>
      </w:r>
      <w:r>
        <w:rPr>
          <w:i/>
        </w:rPr>
        <w:t>M Platform</w:t>
      </w:r>
      <w:r w:rsidRPr="008A4772">
        <w:rPr>
          <w:i/>
        </w:rPr>
        <w:t xml:space="preserve"> </w:t>
      </w:r>
      <w:r w:rsidRPr="00AB2DAA">
        <w:rPr>
          <w:i/>
        </w:rPr>
        <w:t>Order</w:t>
      </w:r>
      <w:r>
        <w:rPr>
          <w:i/>
        </w:rPr>
        <w:t>,</w:t>
      </w:r>
      <w:r w:rsidRPr="00AB2DAA">
        <w:t xml:space="preserve"> </w:t>
      </w:r>
      <w:r>
        <w:t>28 FCC Rcd</w:t>
      </w:r>
      <w:r w:rsidRPr="00AB2DAA">
        <w:t xml:space="preserve"> at </w:t>
      </w:r>
      <w:r>
        <w:t>5309-14</w:t>
      </w:r>
      <w:r w:rsidRPr="00AB2DAA">
        <w:t>, paras</w:t>
      </w:r>
      <w:r>
        <w:t>.</w:t>
      </w:r>
      <w:r w:rsidRPr="00AB2DAA">
        <w:t xml:space="preserve"> 19-32.</w:t>
      </w:r>
    </w:p>
  </w:footnote>
  <w:footnote w:id="36">
    <w:p w14:paraId="41D58594" w14:textId="161E63B3" w:rsidR="002153DD" w:rsidRDefault="002153DD">
      <w:pPr>
        <w:pStyle w:val="FootnoteText"/>
      </w:pPr>
      <w:r>
        <w:rPr>
          <w:rStyle w:val="FootnoteReference"/>
        </w:rPr>
        <w:footnoteRef/>
      </w:r>
      <w:r>
        <w:t xml:space="preserve"> Hogendorn at 5.</w:t>
      </w:r>
    </w:p>
  </w:footnote>
  <w:footnote w:id="37">
    <w:p w14:paraId="389E6567" w14:textId="0A179ED9" w:rsidR="002153DD" w:rsidRDefault="002153DD">
      <w:pPr>
        <w:pStyle w:val="FootnoteText"/>
      </w:pPr>
      <w:r>
        <w:rPr>
          <w:rStyle w:val="FootnoteReference"/>
        </w:rPr>
        <w:footnoteRef/>
      </w:r>
      <w:r>
        <w:t xml:space="preserve"> For example, it is estimated that the average annual quality-adjusted price change from 1995 to 1999 for routers was -14%, for switches, -22%, for LAN cards, -18%, and for hubs, -19% (</w:t>
      </w:r>
      <w:r>
        <w:rPr>
          <w:rFonts w:eastAsia="Times New Roman"/>
        </w:rPr>
        <w:t>Prices for Local Area Network Equipment</w:t>
      </w:r>
      <w:r>
        <w:t xml:space="preserve">, </w:t>
      </w:r>
      <w:r w:rsidRPr="009B628E">
        <w:t xml:space="preserve">Mark Doms </w:t>
      </w:r>
      <w:r>
        <w:t xml:space="preserve">and Chris Forman, June 2003, pp. 17-20, </w:t>
      </w:r>
      <w:hyperlink r:id="rId7" w:history="1">
        <w:r w:rsidRPr="008364CE">
          <w:rPr>
            <w:rStyle w:val="Hyperlink"/>
          </w:rPr>
          <w:t>http://www.frbsf.org/publications/economics/papers/2003/wp03-13bk.pdf</w:t>
        </w:r>
      </w:hyperlink>
      <w:r>
        <w:rPr>
          <w:rStyle w:val="Hyperlink"/>
        </w:rPr>
        <w:t>,</w:t>
      </w:r>
      <w:r>
        <w:t xml:space="preserve"> (viewed May 31, 2013). </w:t>
      </w:r>
    </w:p>
  </w:footnote>
  <w:footnote w:id="38">
    <w:p w14:paraId="2FA500C7" w14:textId="77777777" w:rsidR="002153DD" w:rsidRDefault="002153DD" w:rsidP="00C111DD">
      <w:pPr>
        <w:pStyle w:val="FootnoteText"/>
      </w:pPr>
      <w:r>
        <w:rPr>
          <w:rStyle w:val="FootnoteReference"/>
        </w:rPr>
        <w:footnoteRef/>
      </w:r>
      <w:r>
        <w:t xml:space="preserve"> </w:t>
      </w:r>
      <w:r w:rsidRPr="003F2653">
        <w:rPr>
          <w:i/>
          <w:iCs/>
        </w:rPr>
        <w:t>See USF/ICC Transformation Order</w:t>
      </w:r>
      <w:r w:rsidRPr="003F2653">
        <w:t>, 26 FCC Rcd</w:t>
      </w:r>
      <w:r>
        <w:t xml:space="preserve"> at 17837, </w:t>
      </w:r>
      <w:r w:rsidRPr="00986038">
        <w:rPr>
          <w:iCs/>
        </w:rPr>
        <w:t>para</w:t>
      </w:r>
      <w:r>
        <w:rPr>
          <w:iCs/>
        </w:rPr>
        <w:t>. 533.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7E93" w14:textId="77777777" w:rsidR="00C447F7" w:rsidRDefault="00C44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9674" w14:textId="77777777" w:rsidR="00C447F7" w:rsidRDefault="00C44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7A71" w14:textId="77777777" w:rsidR="00C447F7" w:rsidRDefault="00C44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1A9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C038F0"/>
    <w:multiLevelType w:val="hybridMultilevel"/>
    <w:tmpl w:val="1594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A28E0"/>
    <w:multiLevelType w:val="hybridMultilevel"/>
    <w:tmpl w:val="B22A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oNotTrackMoves/>
  <w:defaultTabStop w:val="720"/>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1B08"/>
    <w:rsid w:val="00000C80"/>
    <w:rsid w:val="00001C20"/>
    <w:rsid w:val="00001C21"/>
    <w:rsid w:val="000028FA"/>
    <w:rsid w:val="00002A16"/>
    <w:rsid w:val="00005939"/>
    <w:rsid w:val="00005ACF"/>
    <w:rsid w:val="000067D6"/>
    <w:rsid w:val="00006BEF"/>
    <w:rsid w:val="00007B83"/>
    <w:rsid w:val="000104B2"/>
    <w:rsid w:val="00010C74"/>
    <w:rsid w:val="00012F2B"/>
    <w:rsid w:val="00013984"/>
    <w:rsid w:val="00013F11"/>
    <w:rsid w:val="00017680"/>
    <w:rsid w:val="0002049D"/>
    <w:rsid w:val="00022082"/>
    <w:rsid w:val="00022459"/>
    <w:rsid w:val="0002363A"/>
    <w:rsid w:val="00025DE1"/>
    <w:rsid w:val="00026123"/>
    <w:rsid w:val="0003328A"/>
    <w:rsid w:val="00033346"/>
    <w:rsid w:val="00034A61"/>
    <w:rsid w:val="000367BA"/>
    <w:rsid w:val="00037753"/>
    <w:rsid w:val="000408B3"/>
    <w:rsid w:val="00040BD2"/>
    <w:rsid w:val="00040F73"/>
    <w:rsid w:val="000413EB"/>
    <w:rsid w:val="00042D98"/>
    <w:rsid w:val="00044BA9"/>
    <w:rsid w:val="00050147"/>
    <w:rsid w:val="000517F3"/>
    <w:rsid w:val="00052C7D"/>
    <w:rsid w:val="000531BC"/>
    <w:rsid w:val="000534C0"/>
    <w:rsid w:val="00053744"/>
    <w:rsid w:val="000552A7"/>
    <w:rsid w:val="0006194E"/>
    <w:rsid w:val="00063DBA"/>
    <w:rsid w:val="000647EC"/>
    <w:rsid w:val="0006539B"/>
    <w:rsid w:val="000654F0"/>
    <w:rsid w:val="000657D1"/>
    <w:rsid w:val="000678D8"/>
    <w:rsid w:val="00075D1D"/>
    <w:rsid w:val="000778FC"/>
    <w:rsid w:val="00080652"/>
    <w:rsid w:val="00080EB8"/>
    <w:rsid w:val="0008137C"/>
    <w:rsid w:val="000858B6"/>
    <w:rsid w:val="00087B40"/>
    <w:rsid w:val="000933D2"/>
    <w:rsid w:val="00093730"/>
    <w:rsid w:val="000945DD"/>
    <w:rsid w:val="00094AB9"/>
    <w:rsid w:val="00094EDD"/>
    <w:rsid w:val="0009587C"/>
    <w:rsid w:val="00096D28"/>
    <w:rsid w:val="000A0C16"/>
    <w:rsid w:val="000A17B0"/>
    <w:rsid w:val="000A222B"/>
    <w:rsid w:val="000A4835"/>
    <w:rsid w:val="000A4F99"/>
    <w:rsid w:val="000A734D"/>
    <w:rsid w:val="000B04E0"/>
    <w:rsid w:val="000B0B5E"/>
    <w:rsid w:val="000B3FE5"/>
    <w:rsid w:val="000B5331"/>
    <w:rsid w:val="000B5973"/>
    <w:rsid w:val="000C08F1"/>
    <w:rsid w:val="000C2F8C"/>
    <w:rsid w:val="000C32C2"/>
    <w:rsid w:val="000C4A91"/>
    <w:rsid w:val="000C6005"/>
    <w:rsid w:val="000C6445"/>
    <w:rsid w:val="000D0E4B"/>
    <w:rsid w:val="000D1577"/>
    <w:rsid w:val="000D2AF9"/>
    <w:rsid w:val="000D2D37"/>
    <w:rsid w:val="000D4FC3"/>
    <w:rsid w:val="000D5113"/>
    <w:rsid w:val="000E1459"/>
    <w:rsid w:val="000E353A"/>
    <w:rsid w:val="000E7553"/>
    <w:rsid w:val="000F39F2"/>
    <w:rsid w:val="000F4F8B"/>
    <w:rsid w:val="000F57A7"/>
    <w:rsid w:val="000F6780"/>
    <w:rsid w:val="000F6B97"/>
    <w:rsid w:val="000F707A"/>
    <w:rsid w:val="000F7AB7"/>
    <w:rsid w:val="0010108A"/>
    <w:rsid w:val="00102E9A"/>
    <w:rsid w:val="00104FF3"/>
    <w:rsid w:val="001065EE"/>
    <w:rsid w:val="00106EF9"/>
    <w:rsid w:val="0011039C"/>
    <w:rsid w:val="00113B1C"/>
    <w:rsid w:val="001162CA"/>
    <w:rsid w:val="00117194"/>
    <w:rsid w:val="00120DE0"/>
    <w:rsid w:val="00121DD1"/>
    <w:rsid w:val="00123DBE"/>
    <w:rsid w:val="0012453B"/>
    <w:rsid w:val="001246D5"/>
    <w:rsid w:val="00125A4F"/>
    <w:rsid w:val="00125C7B"/>
    <w:rsid w:val="00126EEB"/>
    <w:rsid w:val="00127208"/>
    <w:rsid w:val="001272AD"/>
    <w:rsid w:val="00130208"/>
    <w:rsid w:val="0013208E"/>
    <w:rsid w:val="00132F17"/>
    <w:rsid w:val="0013397D"/>
    <w:rsid w:val="0013689F"/>
    <w:rsid w:val="00136CDA"/>
    <w:rsid w:val="00136D4F"/>
    <w:rsid w:val="0014041E"/>
    <w:rsid w:val="00142E9D"/>
    <w:rsid w:val="001445EA"/>
    <w:rsid w:val="001478C9"/>
    <w:rsid w:val="00150771"/>
    <w:rsid w:val="00151860"/>
    <w:rsid w:val="001529B5"/>
    <w:rsid w:val="00152A73"/>
    <w:rsid w:val="00153088"/>
    <w:rsid w:val="001544EF"/>
    <w:rsid w:val="00154C88"/>
    <w:rsid w:val="001557D3"/>
    <w:rsid w:val="001565B1"/>
    <w:rsid w:val="00157D85"/>
    <w:rsid w:val="00163808"/>
    <w:rsid w:val="00164E3F"/>
    <w:rsid w:val="00167501"/>
    <w:rsid w:val="00167897"/>
    <w:rsid w:val="001705EE"/>
    <w:rsid w:val="00170BB2"/>
    <w:rsid w:val="00173322"/>
    <w:rsid w:val="00174DE2"/>
    <w:rsid w:val="00175789"/>
    <w:rsid w:val="001812D9"/>
    <w:rsid w:val="0018238A"/>
    <w:rsid w:val="00183BDF"/>
    <w:rsid w:val="0018548C"/>
    <w:rsid w:val="00186616"/>
    <w:rsid w:val="00187293"/>
    <w:rsid w:val="00187BD1"/>
    <w:rsid w:val="00190BEC"/>
    <w:rsid w:val="00190EAE"/>
    <w:rsid w:val="00192B6F"/>
    <w:rsid w:val="001941D8"/>
    <w:rsid w:val="00195573"/>
    <w:rsid w:val="001962C8"/>
    <w:rsid w:val="00196CC5"/>
    <w:rsid w:val="001A28C3"/>
    <w:rsid w:val="001B022C"/>
    <w:rsid w:val="001B052D"/>
    <w:rsid w:val="001B1089"/>
    <w:rsid w:val="001B2494"/>
    <w:rsid w:val="001B4012"/>
    <w:rsid w:val="001B4171"/>
    <w:rsid w:val="001B4F59"/>
    <w:rsid w:val="001B6279"/>
    <w:rsid w:val="001C0BEF"/>
    <w:rsid w:val="001C1E1A"/>
    <w:rsid w:val="001C4CCC"/>
    <w:rsid w:val="001C63BC"/>
    <w:rsid w:val="001D129E"/>
    <w:rsid w:val="001D3063"/>
    <w:rsid w:val="001D3B0E"/>
    <w:rsid w:val="001D51AC"/>
    <w:rsid w:val="001D6069"/>
    <w:rsid w:val="001D73C8"/>
    <w:rsid w:val="001D7405"/>
    <w:rsid w:val="001E0319"/>
    <w:rsid w:val="001E109C"/>
    <w:rsid w:val="001E159B"/>
    <w:rsid w:val="001E352E"/>
    <w:rsid w:val="001E35F3"/>
    <w:rsid w:val="001E5691"/>
    <w:rsid w:val="001E7342"/>
    <w:rsid w:val="001F02EB"/>
    <w:rsid w:val="001F397B"/>
    <w:rsid w:val="001F4278"/>
    <w:rsid w:val="001F4E0A"/>
    <w:rsid w:val="001F5252"/>
    <w:rsid w:val="001F7D1E"/>
    <w:rsid w:val="00201665"/>
    <w:rsid w:val="00207BD8"/>
    <w:rsid w:val="002104EF"/>
    <w:rsid w:val="00211DEB"/>
    <w:rsid w:val="002130B5"/>
    <w:rsid w:val="002152FB"/>
    <w:rsid w:val="002153DD"/>
    <w:rsid w:val="002166F6"/>
    <w:rsid w:val="0021695A"/>
    <w:rsid w:val="00221B99"/>
    <w:rsid w:val="0022314E"/>
    <w:rsid w:val="00225D4B"/>
    <w:rsid w:val="00226AD4"/>
    <w:rsid w:val="00231AC9"/>
    <w:rsid w:val="00233D11"/>
    <w:rsid w:val="00233F82"/>
    <w:rsid w:val="002340AE"/>
    <w:rsid w:val="00234824"/>
    <w:rsid w:val="00235EAD"/>
    <w:rsid w:val="00240BCA"/>
    <w:rsid w:val="00241C45"/>
    <w:rsid w:val="002436CC"/>
    <w:rsid w:val="00245146"/>
    <w:rsid w:val="00247F25"/>
    <w:rsid w:val="002540AE"/>
    <w:rsid w:val="00255305"/>
    <w:rsid w:val="002558F4"/>
    <w:rsid w:val="002561D9"/>
    <w:rsid w:val="00256DFD"/>
    <w:rsid w:val="002603D6"/>
    <w:rsid w:val="00260450"/>
    <w:rsid w:val="00261E40"/>
    <w:rsid w:val="00263341"/>
    <w:rsid w:val="00265E5B"/>
    <w:rsid w:val="00270496"/>
    <w:rsid w:val="00270CC9"/>
    <w:rsid w:val="002735BD"/>
    <w:rsid w:val="0027504C"/>
    <w:rsid w:val="0027516F"/>
    <w:rsid w:val="00275383"/>
    <w:rsid w:val="002757F3"/>
    <w:rsid w:val="00275968"/>
    <w:rsid w:val="0028074A"/>
    <w:rsid w:val="002820E3"/>
    <w:rsid w:val="00283B22"/>
    <w:rsid w:val="002842ED"/>
    <w:rsid w:val="00286BD5"/>
    <w:rsid w:val="00286E61"/>
    <w:rsid w:val="00290F20"/>
    <w:rsid w:val="00293C46"/>
    <w:rsid w:val="002956D1"/>
    <w:rsid w:val="0029576D"/>
    <w:rsid w:val="00297EB4"/>
    <w:rsid w:val="002A02B6"/>
    <w:rsid w:val="002A2069"/>
    <w:rsid w:val="002A40AE"/>
    <w:rsid w:val="002A4C5A"/>
    <w:rsid w:val="002A56C6"/>
    <w:rsid w:val="002A593A"/>
    <w:rsid w:val="002B133D"/>
    <w:rsid w:val="002B346A"/>
    <w:rsid w:val="002B3C00"/>
    <w:rsid w:val="002B6271"/>
    <w:rsid w:val="002B74C4"/>
    <w:rsid w:val="002B7E0E"/>
    <w:rsid w:val="002C0F34"/>
    <w:rsid w:val="002C36CF"/>
    <w:rsid w:val="002C6151"/>
    <w:rsid w:val="002D23EB"/>
    <w:rsid w:val="002D2657"/>
    <w:rsid w:val="002D2BF3"/>
    <w:rsid w:val="002D2D56"/>
    <w:rsid w:val="002D3D47"/>
    <w:rsid w:val="002D3EEB"/>
    <w:rsid w:val="002D49CD"/>
    <w:rsid w:val="002D5F25"/>
    <w:rsid w:val="002D71A5"/>
    <w:rsid w:val="002E136A"/>
    <w:rsid w:val="002E1FD4"/>
    <w:rsid w:val="002E3540"/>
    <w:rsid w:val="002E4597"/>
    <w:rsid w:val="002E702F"/>
    <w:rsid w:val="002F11CB"/>
    <w:rsid w:val="002F3B1C"/>
    <w:rsid w:val="002F4A54"/>
    <w:rsid w:val="002F79CD"/>
    <w:rsid w:val="00300A4F"/>
    <w:rsid w:val="00301022"/>
    <w:rsid w:val="0030327E"/>
    <w:rsid w:val="00306420"/>
    <w:rsid w:val="0030693E"/>
    <w:rsid w:val="0030741E"/>
    <w:rsid w:val="00310EEC"/>
    <w:rsid w:val="0031481C"/>
    <w:rsid w:val="00314BB0"/>
    <w:rsid w:val="00320FA8"/>
    <w:rsid w:val="00321AE8"/>
    <w:rsid w:val="00323BA6"/>
    <w:rsid w:val="00323CDC"/>
    <w:rsid w:val="00325684"/>
    <w:rsid w:val="00326962"/>
    <w:rsid w:val="00326DF6"/>
    <w:rsid w:val="00331CC3"/>
    <w:rsid w:val="0033305C"/>
    <w:rsid w:val="003359D0"/>
    <w:rsid w:val="00336263"/>
    <w:rsid w:val="00336D08"/>
    <w:rsid w:val="00336EF9"/>
    <w:rsid w:val="00341A2A"/>
    <w:rsid w:val="00343E25"/>
    <w:rsid w:val="003446D8"/>
    <w:rsid w:val="00346B6A"/>
    <w:rsid w:val="003470E7"/>
    <w:rsid w:val="00350A2E"/>
    <w:rsid w:val="00351DA6"/>
    <w:rsid w:val="00352DEB"/>
    <w:rsid w:val="00356ADA"/>
    <w:rsid w:val="00357E6B"/>
    <w:rsid w:val="003603D4"/>
    <w:rsid w:val="003606AF"/>
    <w:rsid w:val="00361FED"/>
    <w:rsid w:val="003620E8"/>
    <w:rsid w:val="0036296B"/>
    <w:rsid w:val="00362C5F"/>
    <w:rsid w:val="00363C75"/>
    <w:rsid w:val="003646BE"/>
    <w:rsid w:val="00365B76"/>
    <w:rsid w:val="00366D16"/>
    <w:rsid w:val="00371AE7"/>
    <w:rsid w:val="00371B29"/>
    <w:rsid w:val="00373239"/>
    <w:rsid w:val="003742FE"/>
    <w:rsid w:val="00375F37"/>
    <w:rsid w:val="00376364"/>
    <w:rsid w:val="00376FD0"/>
    <w:rsid w:val="00380B38"/>
    <w:rsid w:val="00380B87"/>
    <w:rsid w:val="00383611"/>
    <w:rsid w:val="00385A46"/>
    <w:rsid w:val="00387D79"/>
    <w:rsid w:val="00387EBD"/>
    <w:rsid w:val="0039109E"/>
    <w:rsid w:val="003921FD"/>
    <w:rsid w:val="00395256"/>
    <w:rsid w:val="00395A3F"/>
    <w:rsid w:val="003A02E1"/>
    <w:rsid w:val="003A255A"/>
    <w:rsid w:val="003A4438"/>
    <w:rsid w:val="003A453A"/>
    <w:rsid w:val="003A5BE8"/>
    <w:rsid w:val="003A67A0"/>
    <w:rsid w:val="003B0F39"/>
    <w:rsid w:val="003B1B52"/>
    <w:rsid w:val="003B1EEA"/>
    <w:rsid w:val="003B217E"/>
    <w:rsid w:val="003B36B0"/>
    <w:rsid w:val="003B5F45"/>
    <w:rsid w:val="003B7CA0"/>
    <w:rsid w:val="003C0917"/>
    <w:rsid w:val="003C3FBE"/>
    <w:rsid w:val="003C5CF9"/>
    <w:rsid w:val="003D257E"/>
    <w:rsid w:val="003D2906"/>
    <w:rsid w:val="003D30D1"/>
    <w:rsid w:val="003D70E7"/>
    <w:rsid w:val="003E2CED"/>
    <w:rsid w:val="003E5126"/>
    <w:rsid w:val="003E782B"/>
    <w:rsid w:val="003F1761"/>
    <w:rsid w:val="003F2653"/>
    <w:rsid w:val="003F40A8"/>
    <w:rsid w:val="003F4178"/>
    <w:rsid w:val="003F4A06"/>
    <w:rsid w:val="003F615A"/>
    <w:rsid w:val="003F7054"/>
    <w:rsid w:val="003F7813"/>
    <w:rsid w:val="003F7CCB"/>
    <w:rsid w:val="004000FD"/>
    <w:rsid w:val="004005E2"/>
    <w:rsid w:val="0040400C"/>
    <w:rsid w:val="00407DCB"/>
    <w:rsid w:val="004111F4"/>
    <w:rsid w:val="00411959"/>
    <w:rsid w:val="00413642"/>
    <w:rsid w:val="00413A7B"/>
    <w:rsid w:val="00413B77"/>
    <w:rsid w:val="00413E5B"/>
    <w:rsid w:val="004149DF"/>
    <w:rsid w:val="004175AB"/>
    <w:rsid w:val="00420A72"/>
    <w:rsid w:val="00420B04"/>
    <w:rsid w:val="00422698"/>
    <w:rsid w:val="004235F8"/>
    <w:rsid w:val="00423A67"/>
    <w:rsid w:val="00423AA2"/>
    <w:rsid w:val="00424C87"/>
    <w:rsid w:val="004301BF"/>
    <w:rsid w:val="00431A86"/>
    <w:rsid w:val="004332D7"/>
    <w:rsid w:val="00433F03"/>
    <w:rsid w:val="00434063"/>
    <w:rsid w:val="00434D05"/>
    <w:rsid w:val="00435888"/>
    <w:rsid w:val="004376BC"/>
    <w:rsid w:val="00441CB4"/>
    <w:rsid w:val="00441E26"/>
    <w:rsid w:val="00444CB1"/>
    <w:rsid w:val="00445982"/>
    <w:rsid w:val="004479DD"/>
    <w:rsid w:val="00450294"/>
    <w:rsid w:val="00450BFA"/>
    <w:rsid w:val="00451148"/>
    <w:rsid w:val="00451158"/>
    <w:rsid w:val="00451A75"/>
    <w:rsid w:val="00452BDF"/>
    <w:rsid w:val="00452E36"/>
    <w:rsid w:val="004538B1"/>
    <w:rsid w:val="00457152"/>
    <w:rsid w:val="00460A87"/>
    <w:rsid w:val="0046391B"/>
    <w:rsid w:val="00471AEE"/>
    <w:rsid w:val="00472416"/>
    <w:rsid w:val="00472E26"/>
    <w:rsid w:val="0047359E"/>
    <w:rsid w:val="0047583F"/>
    <w:rsid w:val="00476144"/>
    <w:rsid w:val="0047775F"/>
    <w:rsid w:val="00480B20"/>
    <w:rsid w:val="00481ED5"/>
    <w:rsid w:val="00481F3C"/>
    <w:rsid w:val="00483E0A"/>
    <w:rsid w:val="004874AA"/>
    <w:rsid w:val="00487CCC"/>
    <w:rsid w:val="00491082"/>
    <w:rsid w:val="004915F4"/>
    <w:rsid w:val="00491714"/>
    <w:rsid w:val="00491C9C"/>
    <w:rsid w:val="004931E9"/>
    <w:rsid w:val="00497437"/>
    <w:rsid w:val="0049746E"/>
    <w:rsid w:val="004A6DA3"/>
    <w:rsid w:val="004A7C23"/>
    <w:rsid w:val="004B13A3"/>
    <w:rsid w:val="004B7A76"/>
    <w:rsid w:val="004C1CFA"/>
    <w:rsid w:val="004C361D"/>
    <w:rsid w:val="004C3F90"/>
    <w:rsid w:val="004D276D"/>
    <w:rsid w:val="004D2EED"/>
    <w:rsid w:val="004E1608"/>
    <w:rsid w:val="004E25DB"/>
    <w:rsid w:val="004E3525"/>
    <w:rsid w:val="004E4085"/>
    <w:rsid w:val="004E668E"/>
    <w:rsid w:val="004E6AFC"/>
    <w:rsid w:val="004E6EDA"/>
    <w:rsid w:val="004E6F6E"/>
    <w:rsid w:val="004F1673"/>
    <w:rsid w:val="004F391E"/>
    <w:rsid w:val="004F5A34"/>
    <w:rsid w:val="004F5DA9"/>
    <w:rsid w:val="004F7977"/>
    <w:rsid w:val="004F7E0B"/>
    <w:rsid w:val="0050171E"/>
    <w:rsid w:val="005027E0"/>
    <w:rsid w:val="00502E09"/>
    <w:rsid w:val="0050512D"/>
    <w:rsid w:val="00505A9D"/>
    <w:rsid w:val="00505FC2"/>
    <w:rsid w:val="00507067"/>
    <w:rsid w:val="00513027"/>
    <w:rsid w:val="00513F09"/>
    <w:rsid w:val="00513FFC"/>
    <w:rsid w:val="00515273"/>
    <w:rsid w:val="00515F3E"/>
    <w:rsid w:val="00517F8A"/>
    <w:rsid w:val="005254EF"/>
    <w:rsid w:val="00525BEB"/>
    <w:rsid w:val="00531A7F"/>
    <w:rsid w:val="00531C27"/>
    <w:rsid w:val="00534ABB"/>
    <w:rsid w:val="0053731C"/>
    <w:rsid w:val="005375A9"/>
    <w:rsid w:val="005406BC"/>
    <w:rsid w:val="00540C0D"/>
    <w:rsid w:val="00543669"/>
    <w:rsid w:val="00543734"/>
    <w:rsid w:val="00544B52"/>
    <w:rsid w:val="00545B18"/>
    <w:rsid w:val="0054705B"/>
    <w:rsid w:val="00550EA2"/>
    <w:rsid w:val="00551223"/>
    <w:rsid w:val="0055156B"/>
    <w:rsid w:val="0055165B"/>
    <w:rsid w:val="00552137"/>
    <w:rsid w:val="00553173"/>
    <w:rsid w:val="0055425A"/>
    <w:rsid w:val="00556DAD"/>
    <w:rsid w:val="0055726E"/>
    <w:rsid w:val="0056112C"/>
    <w:rsid w:val="005616B6"/>
    <w:rsid w:val="00563BB3"/>
    <w:rsid w:val="00565AA7"/>
    <w:rsid w:val="005665EE"/>
    <w:rsid w:val="005702EA"/>
    <w:rsid w:val="00572787"/>
    <w:rsid w:val="00573E25"/>
    <w:rsid w:val="00574608"/>
    <w:rsid w:val="00577AFD"/>
    <w:rsid w:val="00581794"/>
    <w:rsid w:val="0058472D"/>
    <w:rsid w:val="005905B4"/>
    <w:rsid w:val="005A38FF"/>
    <w:rsid w:val="005A542C"/>
    <w:rsid w:val="005A5F1D"/>
    <w:rsid w:val="005A6637"/>
    <w:rsid w:val="005B235D"/>
    <w:rsid w:val="005B25CD"/>
    <w:rsid w:val="005B5BE8"/>
    <w:rsid w:val="005B6473"/>
    <w:rsid w:val="005B7549"/>
    <w:rsid w:val="005B7E64"/>
    <w:rsid w:val="005C0CBD"/>
    <w:rsid w:val="005C14D0"/>
    <w:rsid w:val="005C33A5"/>
    <w:rsid w:val="005C40BA"/>
    <w:rsid w:val="005C44BE"/>
    <w:rsid w:val="005C4A09"/>
    <w:rsid w:val="005C4EFD"/>
    <w:rsid w:val="005C711A"/>
    <w:rsid w:val="005D0866"/>
    <w:rsid w:val="005D58A1"/>
    <w:rsid w:val="005E3263"/>
    <w:rsid w:val="005E36BF"/>
    <w:rsid w:val="005E4F24"/>
    <w:rsid w:val="005E4F4C"/>
    <w:rsid w:val="005E5C7C"/>
    <w:rsid w:val="005E73F0"/>
    <w:rsid w:val="005E7CD6"/>
    <w:rsid w:val="005F024C"/>
    <w:rsid w:val="005F2EE9"/>
    <w:rsid w:val="005F6F92"/>
    <w:rsid w:val="005F785F"/>
    <w:rsid w:val="0060019F"/>
    <w:rsid w:val="006024EC"/>
    <w:rsid w:val="00602B3E"/>
    <w:rsid w:val="0060651C"/>
    <w:rsid w:val="006068C3"/>
    <w:rsid w:val="0060748A"/>
    <w:rsid w:val="00607DC1"/>
    <w:rsid w:val="00612B9F"/>
    <w:rsid w:val="00613728"/>
    <w:rsid w:val="00613B21"/>
    <w:rsid w:val="00614C11"/>
    <w:rsid w:val="00614F93"/>
    <w:rsid w:val="0061706B"/>
    <w:rsid w:val="00617E48"/>
    <w:rsid w:val="00620B44"/>
    <w:rsid w:val="00621363"/>
    <w:rsid w:val="0062253F"/>
    <w:rsid w:val="00623E95"/>
    <w:rsid w:val="006243B5"/>
    <w:rsid w:val="00626E9D"/>
    <w:rsid w:val="00630818"/>
    <w:rsid w:val="00631CED"/>
    <w:rsid w:val="006340EB"/>
    <w:rsid w:val="00634479"/>
    <w:rsid w:val="0063654C"/>
    <w:rsid w:val="00637855"/>
    <w:rsid w:val="00637A2F"/>
    <w:rsid w:val="00641D3D"/>
    <w:rsid w:val="00642CEB"/>
    <w:rsid w:val="00645749"/>
    <w:rsid w:val="00645767"/>
    <w:rsid w:val="00651678"/>
    <w:rsid w:val="00653BA9"/>
    <w:rsid w:val="00654E50"/>
    <w:rsid w:val="006625FE"/>
    <w:rsid w:val="00665F20"/>
    <w:rsid w:val="00666243"/>
    <w:rsid w:val="006721A4"/>
    <w:rsid w:val="00672793"/>
    <w:rsid w:val="00674CCC"/>
    <w:rsid w:val="00676CC6"/>
    <w:rsid w:val="00680F02"/>
    <w:rsid w:val="0068128F"/>
    <w:rsid w:val="00681B08"/>
    <w:rsid w:val="00684F15"/>
    <w:rsid w:val="006863FE"/>
    <w:rsid w:val="00694235"/>
    <w:rsid w:val="00696861"/>
    <w:rsid w:val="006971E5"/>
    <w:rsid w:val="006A57F1"/>
    <w:rsid w:val="006A66B4"/>
    <w:rsid w:val="006A6FF2"/>
    <w:rsid w:val="006B00A7"/>
    <w:rsid w:val="006B1624"/>
    <w:rsid w:val="006B1949"/>
    <w:rsid w:val="006B337B"/>
    <w:rsid w:val="006B6EFD"/>
    <w:rsid w:val="006C028C"/>
    <w:rsid w:val="006C098A"/>
    <w:rsid w:val="006C2422"/>
    <w:rsid w:val="006C2991"/>
    <w:rsid w:val="006C3578"/>
    <w:rsid w:val="006C5C82"/>
    <w:rsid w:val="006C7CD8"/>
    <w:rsid w:val="006D16E5"/>
    <w:rsid w:val="006D23E3"/>
    <w:rsid w:val="006D292D"/>
    <w:rsid w:val="006D2CE9"/>
    <w:rsid w:val="006D4230"/>
    <w:rsid w:val="006D5371"/>
    <w:rsid w:val="006D650F"/>
    <w:rsid w:val="006E1455"/>
    <w:rsid w:val="006E18AE"/>
    <w:rsid w:val="006E2046"/>
    <w:rsid w:val="006E2AD3"/>
    <w:rsid w:val="006E498E"/>
    <w:rsid w:val="006E662B"/>
    <w:rsid w:val="006F09B0"/>
    <w:rsid w:val="006F156B"/>
    <w:rsid w:val="006F3925"/>
    <w:rsid w:val="006F4168"/>
    <w:rsid w:val="006F4EEC"/>
    <w:rsid w:val="006F6383"/>
    <w:rsid w:val="007005D7"/>
    <w:rsid w:val="007031C1"/>
    <w:rsid w:val="00703352"/>
    <w:rsid w:val="00705610"/>
    <w:rsid w:val="00707192"/>
    <w:rsid w:val="007115DD"/>
    <w:rsid w:val="00714DB3"/>
    <w:rsid w:val="00715A77"/>
    <w:rsid w:val="007160B8"/>
    <w:rsid w:val="00716311"/>
    <w:rsid w:val="00725529"/>
    <w:rsid w:val="007265BC"/>
    <w:rsid w:val="00727826"/>
    <w:rsid w:val="0072793E"/>
    <w:rsid w:val="00734464"/>
    <w:rsid w:val="00734E4B"/>
    <w:rsid w:val="00736FA4"/>
    <w:rsid w:val="007378FB"/>
    <w:rsid w:val="00742A7D"/>
    <w:rsid w:val="00743450"/>
    <w:rsid w:val="00744930"/>
    <w:rsid w:val="0074714C"/>
    <w:rsid w:val="007507C8"/>
    <w:rsid w:val="007546E5"/>
    <w:rsid w:val="00756805"/>
    <w:rsid w:val="00757594"/>
    <w:rsid w:val="007611E5"/>
    <w:rsid w:val="00767A67"/>
    <w:rsid w:val="00771E70"/>
    <w:rsid w:val="0077370B"/>
    <w:rsid w:val="007748E9"/>
    <w:rsid w:val="00775792"/>
    <w:rsid w:val="007763D2"/>
    <w:rsid w:val="00780B6D"/>
    <w:rsid w:val="007817BA"/>
    <w:rsid w:val="007828E9"/>
    <w:rsid w:val="00782FC0"/>
    <w:rsid w:val="00783A86"/>
    <w:rsid w:val="00786C6D"/>
    <w:rsid w:val="00791968"/>
    <w:rsid w:val="00794E9F"/>
    <w:rsid w:val="00794EDC"/>
    <w:rsid w:val="007A0CBC"/>
    <w:rsid w:val="007A68EB"/>
    <w:rsid w:val="007A7EA6"/>
    <w:rsid w:val="007B52E7"/>
    <w:rsid w:val="007C05BF"/>
    <w:rsid w:val="007C1756"/>
    <w:rsid w:val="007C3B49"/>
    <w:rsid w:val="007C6926"/>
    <w:rsid w:val="007C7400"/>
    <w:rsid w:val="007D0ACE"/>
    <w:rsid w:val="007D1048"/>
    <w:rsid w:val="007D2095"/>
    <w:rsid w:val="007D5452"/>
    <w:rsid w:val="007D7961"/>
    <w:rsid w:val="007D7C57"/>
    <w:rsid w:val="007E0A93"/>
    <w:rsid w:val="007E1A08"/>
    <w:rsid w:val="007E25A4"/>
    <w:rsid w:val="007E277E"/>
    <w:rsid w:val="007E2A0E"/>
    <w:rsid w:val="007E6C73"/>
    <w:rsid w:val="007F2313"/>
    <w:rsid w:val="007F4327"/>
    <w:rsid w:val="007F4DAC"/>
    <w:rsid w:val="007F4DE1"/>
    <w:rsid w:val="007F6AC7"/>
    <w:rsid w:val="008041D9"/>
    <w:rsid w:val="008070A7"/>
    <w:rsid w:val="008071B2"/>
    <w:rsid w:val="00813A6B"/>
    <w:rsid w:val="00813FAF"/>
    <w:rsid w:val="0082260E"/>
    <w:rsid w:val="008230FC"/>
    <w:rsid w:val="00824693"/>
    <w:rsid w:val="008259AE"/>
    <w:rsid w:val="00831438"/>
    <w:rsid w:val="00833F74"/>
    <w:rsid w:val="00834A81"/>
    <w:rsid w:val="00835BD5"/>
    <w:rsid w:val="00840252"/>
    <w:rsid w:val="00842545"/>
    <w:rsid w:val="0084274C"/>
    <w:rsid w:val="008431C0"/>
    <w:rsid w:val="00844697"/>
    <w:rsid w:val="00844C9B"/>
    <w:rsid w:val="00845229"/>
    <w:rsid w:val="008458C1"/>
    <w:rsid w:val="00846521"/>
    <w:rsid w:val="00856E70"/>
    <w:rsid w:val="00857686"/>
    <w:rsid w:val="00860253"/>
    <w:rsid w:val="00863C47"/>
    <w:rsid w:val="00864959"/>
    <w:rsid w:val="00865201"/>
    <w:rsid w:val="00866F06"/>
    <w:rsid w:val="008678B7"/>
    <w:rsid w:val="00870815"/>
    <w:rsid w:val="008718C8"/>
    <w:rsid w:val="008723EA"/>
    <w:rsid w:val="008743F1"/>
    <w:rsid w:val="00874FCB"/>
    <w:rsid w:val="00875FD4"/>
    <w:rsid w:val="00880DA8"/>
    <w:rsid w:val="0088549F"/>
    <w:rsid w:val="00891F5B"/>
    <w:rsid w:val="00891F7E"/>
    <w:rsid w:val="00892D2E"/>
    <w:rsid w:val="00893359"/>
    <w:rsid w:val="00896D31"/>
    <w:rsid w:val="008A23CC"/>
    <w:rsid w:val="008A3B7E"/>
    <w:rsid w:val="008A4380"/>
    <w:rsid w:val="008A4EDD"/>
    <w:rsid w:val="008A63C3"/>
    <w:rsid w:val="008B08B5"/>
    <w:rsid w:val="008B0D91"/>
    <w:rsid w:val="008B4271"/>
    <w:rsid w:val="008B511B"/>
    <w:rsid w:val="008B5AB3"/>
    <w:rsid w:val="008C001B"/>
    <w:rsid w:val="008C042C"/>
    <w:rsid w:val="008C073B"/>
    <w:rsid w:val="008C1F66"/>
    <w:rsid w:val="008C4108"/>
    <w:rsid w:val="008D20E0"/>
    <w:rsid w:val="008D350D"/>
    <w:rsid w:val="008D3A00"/>
    <w:rsid w:val="008D43B0"/>
    <w:rsid w:val="008D4971"/>
    <w:rsid w:val="008D6B2F"/>
    <w:rsid w:val="008E4519"/>
    <w:rsid w:val="008E52B2"/>
    <w:rsid w:val="008E5606"/>
    <w:rsid w:val="008F3035"/>
    <w:rsid w:val="008F6676"/>
    <w:rsid w:val="008F75CA"/>
    <w:rsid w:val="00900A6A"/>
    <w:rsid w:val="00906735"/>
    <w:rsid w:val="00910401"/>
    <w:rsid w:val="00910A53"/>
    <w:rsid w:val="00910F50"/>
    <w:rsid w:val="0091179E"/>
    <w:rsid w:val="00912C67"/>
    <w:rsid w:val="009144CE"/>
    <w:rsid w:val="00915646"/>
    <w:rsid w:val="0091774E"/>
    <w:rsid w:val="00921416"/>
    <w:rsid w:val="009220EA"/>
    <w:rsid w:val="00923553"/>
    <w:rsid w:val="00924E90"/>
    <w:rsid w:val="00925B6D"/>
    <w:rsid w:val="009305DA"/>
    <w:rsid w:val="009317B9"/>
    <w:rsid w:val="00934889"/>
    <w:rsid w:val="00935D27"/>
    <w:rsid w:val="00936597"/>
    <w:rsid w:val="00936C6A"/>
    <w:rsid w:val="00937A21"/>
    <w:rsid w:val="0094089F"/>
    <w:rsid w:val="00943550"/>
    <w:rsid w:val="0094420C"/>
    <w:rsid w:val="00944D46"/>
    <w:rsid w:val="00944F84"/>
    <w:rsid w:val="00945087"/>
    <w:rsid w:val="009470E9"/>
    <w:rsid w:val="00951084"/>
    <w:rsid w:val="00952413"/>
    <w:rsid w:val="00953473"/>
    <w:rsid w:val="00955E70"/>
    <w:rsid w:val="00957BCF"/>
    <w:rsid w:val="00961F57"/>
    <w:rsid w:val="00961F70"/>
    <w:rsid w:val="0096250E"/>
    <w:rsid w:val="00963E50"/>
    <w:rsid w:val="00963F2E"/>
    <w:rsid w:val="00964EFD"/>
    <w:rsid w:val="00966158"/>
    <w:rsid w:val="009666CD"/>
    <w:rsid w:val="00970078"/>
    <w:rsid w:val="00970AD4"/>
    <w:rsid w:val="00970F37"/>
    <w:rsid w:val="00972482"/>
    <w:rsid w:val="00972F79"/>
    <w:rsid w:val="00973491"/>
    <w:rsid w:val="00976A0B"/>
    <w:rsid w:val="00976CF0"/>
    <w:rsid w:val="00982467"/>
    <w:rsid w:val="00982FA3"/>
    <w:rsid w:val="009853F2"/>
    <w:rsid w:val="00986038"/>
    <w:rsid w:val="00986546"/>
    <w:rsid w:val="00986754"/>
    <w:rsid w:val="00992541"/>
    <w:rsid w:val="00993430"/>
    <w:rsid w:val="0099441C"/>
    <w:rsid w:val="0099557C"/>
    <w:rsid w:val="00997637"/>
    <w:rsid w:val="00997DB6"/>
    <w:rsid w:val="009A2445"/>
    <w:rsid w:val="009A43F5"/>
    <w:rsid w:val="009A48C9"/>
    <w:rsid w:val="009A5C7D"/>
    <w:rsid w:val="009A6A10"/>
    <w:rsid w:val="009A7FD3"/>
    <w:rsid w:val="009B0217"/>
    <w:rsid w:val="009B03A4"/>
    <w:rsid w:val="009B0DC7"/>
    <w:rsid w:val="009B2CB2"/>
    <w:rsid w:val="009B34B4"/>
    <w:rsid w:val="009B3DB2"/>
    <w:rsid w:val="009B6106"/>
    <w:rsid w:val="009B628E"/>
    <w:rsid w:val="009C0624"/>
    <w:rsid w:val="009C4EA0"/>
    <w:rsid w:val="009C58C7"/>
    <w:rsid w:val="009C6950"/>
    <w:rsid w:val="009C69A6"/>
    <w:rsid w:val="009C7334"/>
    <w:rsid w:val="009D0825"/>
    <w:rsid w:val="009D218F"/>
    <w:rsid w:val="009D27C3"/>
    <w:rsid w:val="009D38A8"/>
    <w:rsid w:val="009F1147"/>
    <w:rsid w:val="009F15D8"/>
    <w:rsid w:val="009F28AD"/>
    <w:rsid w:val="009F3FBE"/>
    <w:rsid w:val="009F444E"/>
    <w:rsid w:val="009F4548"/>
    <w:rsid w:val="009F5B59"/>
    <w:rsid w:val="009F7040"/>
    <w:rsid w:val="00A0133A"/>
    <w:rsid w:val="00A014CD"/>
    <w:rsid w:val="00A017A0"/>
    <w:rsid w:val="00A040AD"/>
    <w:rsid w:val="00A06822"/>
    <w:rsid w:val="00A11BA6"/>
    <w:rsid w:val="00A20CED"/>
    <w:rsid w:val="00A24577"/>
    <w:rsid w:val="00A24B00"/>
    <w:rsid w:val="00A30CDF"/>
    <w:rsid w:val="00A31DB8"/>
    <w:rsid w:val="00A32C85"/>
    <w:rsid w:val="00A349A2"/>
    <w:rsid w:val="00A361AB"/>
    <w:rsid w:val="00A36FF9"/>
    <w:rsid w:val="00A406A2"/>
    <w:rsid w:val="00A427FA"/>
    <w:rsid w:val="00A42FD5"/>
    <w:rsid w:val="00A451A0"/>
    <w:rsid w:val="00A50945"/>
    <w:rsid w:val="00A51369"/>
    <w:rsid w:val="00A515BF"/>
    <w:rsid w:val="00A51FD5"/>
    <w:rsid w:val="00A55F6C"/>
    <w:rsid w:val="00A56788"/>
    <w:rsid w:val="00A56950"/>
    <w:rsid w:val="00A57EE1"/>
    <w:rsid w:val="00A60ECC"/>
    <w:rsid w:val="00A617A4"/>
    <w:rsid w:val="00A61973"/>
    <w:rsid w:val="00A62331"/>
    <w:rsid w:val="00A648F6"/>
    <w:rsid w:val="00A64EC6"/>
    <w:rsid w:val="00A663E3"/>
    <w:rsid w:val="00A6675B"/>
    <w:rsid w:val="00A7102D"/>
    <w:rsid w:val="00A719CD"/>
    <w:rsid w:val="00A72136"/>
    <w:rsid w:val="00A752D5"/>
    <w:rsid w:val="00A8140D"/>
    <w:rsid w:val="00A83D2E"/>
    <w:rsid w:val="00A8437C"/>
    <w:rsid w:val="00A85BCD"/>
    <w:rsid w:val="00AA1068"/>
    <w:rsid w:val="00AA2CFA"/>
    <w:rsid w:val="00AA2F6F"/>
    <w:rsid w:val="00AA3F29"/>
    <w:rsid w:val="00AA6227"/>
    <w:rsid w:val="00AA65E7"/>
    <w:rsid w:val="00AA778E"/>
    <w:rsid w:val="00AB0BE8"/>
    <w:rsid w:val="00AB200D"/>
    <w:rsid w:val="00AB2DAA"/>
    <w:rsid w:val="00AB4374"/>
    <w:rsid w:val="00AB5A17"/>
    <w:rsid w:val="00AC1A3D"/>
    <w:rsid w:val="00AC21D4"/>
    <w:rsid w:val="00AC6839"/>
    <w:rsid w:val="00AC73ED"/>
    <w:rsid w:val="00AD10EF"/>
    <w:rsid w:val="00AD12A8"/>
    <w:rsid w:val="00AD19EF"/>
    <w:rsid w:val="00AD45CE"/>
    <w:rsid w:val="00AD4BE2"/>
    <w:rsid w:val="00AD67AF"/>
    <w:rsid w:val="00AF1BB2"/>
    <w:rsid w:val="00AF3797"/>
    <w:rsid w:val="00AF44ED"/>
    <w:rsid w:val="00AF5676"/>
    <w:rsid w:val="00AF6DF7"/>
    <w:rsid w:val="00B03573"/>
    <w:rsid w:val="00B03931"/>
    <w:rsid w:val="00B039DF"/>
    <w:rsid w:val="00B058CE"/>
    <w:rsid w:val="00B0782E"/>
    <w:rsid w:val="00B11131"/>
    <w:rsid w:val="00B11BCE"/>
    <w:rsid w:val="00B12130"/>
    <w:rsid w:val="00B12566"/>
    <w:rsid w:val="00B13568"/>
    <w:rsid w:val="00B1392C"/>
    <w:rsid w:val="00B15715"/>
    <w:rsid w:val="00B16498"/>
    <w:rsid w:val="00B16FB6"/>
    <w:rsid w:val="00B223B0"/>
    <w:rsid w:val="00B22A8D"/>
    <w:rsid w:val="00B22E45"/>
    <w:rsid w:val="00B22EA7"/>
    <w:rsid w:val="00B264E7"/>
    <w:rsid w:val="00B3179A"/>
    <w:rsid w:val="00B31A7B"/>
    <w:rsid w:val="00B34F2E"/>
    <w:rsid w:val="00B35714"/>
    <w:rsid w:val="00B35F2C"/>
    <w:rsid w:val="00B36D28"/>
    <w:rsid w:val="00B40008"/>
    <w:rsid w:val="00B4039B"/>
    <w:rsid w:val="00B40C0A"/>
    <w:rsid w:val="00B44487"/>
    <w:rsid w:val="00B54D01"/>
    <w:rsid w:val="00B55542"/>
    <w:rsid w:val="00B567AE"/>
    <w:rsid w:val="00B570C4"/>
    <w:rsid w:val="00B57DF8"/>
    <w:rsid w:val="00B61A15"/>
    <w:rsid w:val="00B630FE"/>
    <w:rsid w:val="00B65058"/>
    <w:rsid w:val="00B65A62"/>
    <w:rsid w:val="00B65F89"/>
    <w:rsid w:val="00B674B3"/>
    <w:rsid w:val="00B70737"/>
    <w:rsid w:val="00B73164"/>
    <w:rsid w:val="00B75871"/>
    <w:rsid w:val="00B8153B"/>
    <w:rsid w:val="00B820C7"/>
    <w:rsid w:val="00B85280"/>
    <w:rsid w:val="00B866C3"/>
    <w:rsid w:val="00B86D34"/>
    <w:rsid w:val="00B87FD1"/>
    <w:rsid w:val="00B93531"/>
    <w:rsid w:val="00B9643A"/>
    <w:rsid w:val="00B966F6"/>
    <w:rsid w:val="00B96EAD"/>
    <w:rsid w:val="00BA30C0"/>
    <w:rsid w:val="00BA4DE4"/>
    <w:rsid w:val="00BA54D2"/>
    <w:rsid w:val="00BA591F"/>
    <w:rsid w:val="00BA6B10"/>
    <w:rsid w:val="00BA77A1"/>
    <w:rsid w:val="00BB4243"/>
    <w:rsid w:val="00BB60BA"/>
    <w:rsid w:val="00BC0024"/>
    <w:rsid w:val="00BC4F5B"/>
    <w:rsid w:val="00BC75B4"/>
    <w:rsid w:val="00BD082D"/>
    <w:rsid w:val="00BD255A"/>
    <w:rsid w:val="00BD572F"/>
    <w:rsid w:val="00BD7126"/>
    <w:rsid w:val="00BD7648"/>
    <w:rsid w:val="00BE1C9E"/>
    <w:rsid w:val="00BE41CB"/>
    <w:rsid w:val="00BF12F1"/>
    <w:rsid w:val="00BF257D"/>
    <w:rsid w:val="00BF5DA5"/>
    <w:rsid w:val="00C02FBF"/>
    <w:rsid w:val="00C03995"/>
    <w:rsid w:val="00C046E6"/>
    <w:rsid w:val="00C060CB"/>
    <w:rsid w:val="00C10DD7"/>
    <w:rsid w:val="00C111DD"/>
    <w:rsid w:val="00C119A4"/>
    <w:rsid w:val="00C139C3"/>
    <w:rsid w:val="00C149B0"/>
    <w:rsid w:val="00C15621"/>
    <w:rsid w:val="00C15BB9"/>
    <w:rsid w:val="00C20CB5"/>
    <w:rsid w:val="00C21623"/>
    <w:rsid w:val="00C21A8D"/>
    <w:rsid w:val="00C21F82"/>
    <w:rsid w:val="00C23AC7"/>
    <w:rsid w:val="00C2484B"/>
    <w:rsid w:val="00C25E91"/>
    <w:rsid w:val="00C272AF"/>
    <w:rsid w:val="00C27F85"/>
    <w:rsid w:val="00C309AF"/>
    <w:rsid w:val="00C31C1C"/>
    <w:rsid w:val="00C31F98"/>
    <w:rsid w:val="00C3276E"/>
    <w:rsid w:val="00C32B8E"/>
    <w:rsid w:val="00C339DE"/>
    <w:rsid w:val="00C361D8"/>
    <w:rsid w:val="00C4044A"/>
    <w:rsid w:val="00C42275"/>
    <w:rsid w:val="00C43656"/>
    <w:rsid w:val="00C443D9"/>
    <w:rsid w:val="00C447F7"/>
    <w:rsid w:val="00C457D3"/>
    <w:rsid w:val="00C4618E"/>
    <w:rsid w:val="00C466B2"/>
    <w:rsid w:val="00C51DB0"/>
    <w:rsid w:val="00C52A10"/>
    <w:rsid w:val="00C559AF"/>
    <w:rsid w:val="00C55EBD"/>
    <w:rsid w:val="00C56186"/>
    <w:rsid w:val="00C56418"/>
    <w:rsid w:val="00C565F7"/>
    <w:rsid w:val="00C61846"/>
    <w:rsid w:val="00C63C13"/>
    <w:rsid w:val="00C63CF1"/>
    <w:rsid w:val="00C6533F"/>
    <w:rsid w:val="00C6777C"/>
    <w:rsid w:val="00C67FA6"/>
    <w:rsid w:val="00C70CCF"/>
    <w:rsid w:val="00C71A72"/>
    <w:rsid w:val="00C73931"/>
    <w:rsid w:val="00C73B84"/>
    <w:rsid w:val="00C746D3"/>
    <w:rsid w:val="00C757CB"/>
    <w:rsid w:val="00C7746D"/>
    <w:rsid w:val="00C81D08"/>
    <w:rsid w:val="00C854F2"/>
    <w:rsid w:val="00C85854"/>
    <w:rsid w:val="00C85CCC"/>
    <w:rsid w:val="00C86E17"/>
    <w:rsid w:val="00C87188"/>
    <w:rsid w:val="00C9075D"/>
    <w:rsid w:val="00C9164B"/>
    <w:rsid w:val="00C931FE"/>
    <w:rsid w:val="00C953D6"/>
    <w:rsid w:val="00C9686A"/>
    <w:rsid w:val="00CA2E4A"/>
    <w:rsid w:val="00CA3E0B"/>
    <w:rsid w:val="00CB03EC"/>
    <w:rsid w:val="00CB051E"/>
    <w:rsid w:val="00CB081A"/>
    <w:rsid w:val="00CB2466"/>
    <w:rsid w:val="00CB31E4"/>
    <w:rsid w:val="00CB3766"/>
    <w:rsid w:val="00CB3813"/>
    <w:rsid w:val="00CB3B2C"/>
    <w:rsid w:val="00CB454C"/>
    <w:rsid w:val="00CB4AF0"/>
    <w:rsid w:val="00CB592E"/>
    <w:rsid w:val="00CB5FA8"/>
    <w:rsid w:val="00CB6885"/>
    <w:rsid w:val="00CB6C84"/>
    <w:rsid w:val="00CB6F87"/>
    <w:rsid w:val="00CB71AA"/>
    <w:rsid w:val="00CC3AA9"/>
    <w:rsid w:val="00CC6010"/>
    <w:rsid w:val="00CC7D7E"/>
    <w:rsid w:val="00CD21A2"/>
    <w:rsid w:val="00CD6603"/>
    <w:rsid w:val="00CD6F01"/>
    <w:rsid w:val="00CE23C2"/>
    <w:rsid w:val="00CE242A"/>
    <w:rsid w:val="00CE507F"/>
    <w:rsid w:val="00CE70FC"/>
    <w:rsid w:val="00CF0975"/>
    <w:rsid w:val="00CF0E16"/>
    <w:rsid w:val="00CF11A4"/>
    <w:rsid w:val="00CF4306"/>
    <w:rsid w:val="00CF48E7"/>
    <w:rsid w:val="00CF653D"/>
    <w:rsid w:val="00CF7784"/>
    <w:rsid w:val="00D01190"/>
    <w:rsid w:val="00D02CD1"/>
    <w:rsid w:val="00D032DA"/>
    <w:rsid w:val="00D05B2A"/>
    <w:rsid w:val="00D07546"/>
    <w:rsid w:val="00D07594"/>
    <w:rsid w:val="00D10877"/>
    <w:rsid w:val="00D16F2D"/>
    <w:rsid w:val="00D2223A"/>
    <w:rsid w:val="00D22437"/>
    <w:rsid w:val="00D23637"/>
    <w:rsid w:val="00D23E49"/>
    <w:rsid w:val="00D24836"/>
    <w:rsid w:val="00D30D9F"/>
    <w:rsid w:val="00D30E21"/>
    <w:rsid w:val="00D33B54"/>
    <w:rsid w:val="00D3491B"/>
    <w:rsid w:val="00D35414"/>
    <w:rsid w:val="00D40481"/>
    <w:rsid w:val="00D410B2"/>
    <w:rsid w:val="00D41A1A"/>
    <w:rsid w:val="00D42CF4"/>
    <w:rsid w:val="00D42FC5"/>
    <w:rsid w:val="00D4473E"/>
    <w:rsid w:val="00D44CFB"/>
    <w:rsid w:val="00D4551B"/>
    <w:rsid w:val="00D55285"/>
    <w:rsid w:val="00D61FE4"/>
    <w:rsid w:val="00D626EF"/>
    <w:rsid w:val="00D64546"/>
    <w:rsid w:val="00D652A9"/>
    <w:rsid w:val="00D66453"/>
    <w:rsid w:val="00D67550"/>
    <w:rsid w:val="00D67FBE"/>
    <w:rsid w:val="00D711BB"/>
    <w:rsid w:val="00D734B5"/>
    <w:rsid w:val="00D74096"/>
    <w:rsid w:val="00D82DDE"/>
    <w:rsid w:val="00D8382A"/>
    <w:rsid w:val="00D85484"/>
    <w:rsid w:val="00D86D71"/>
    <w:rsid w:val="00D8714F"/>
    <w:rsid w:val="00D90DD8"/>
    <w:rsid w:val="00D91D9C"/>
    <w:rsid w:val="00D93429"/>
    <w:rsid w:val="00D94A31"/>
    <w:rsid w:val="00DA0EC5"/>
    <w:rsid w:val="00DA1CFD"/>
    <w:rsid w:val="00DA1E3A"/>
    <w:rsid w:val="00DB0390"/>
    <w:rsid w:val="00DB12D0"/>
    <w:rsid w:val="00DB1F23"/>
    <w:rsid w:val="00DB7518"/>
    <w:rsid w:val="00DC074E"/>
    <w:rsid w:val="00DC13C0"/>
    <w:rsid w:val="00DC1CF8"/>
    <w:rsid w:val="00DC238D"/>
    <w:rsid w:val="00DC7BE7"/>
    <w:rsid w:val="00DD073E"/>
    <w:rsid w:val="00DD0CA2"/>
    <w:rsid w:val="00DD4DB6"/>
    <w:rsid w:val="00DD59C4"/>
    <w:rsid w:val="00DD603E"/>
    <w:rsid w:val="00DD66E0"/>
    <w:rsid w:val="00DE0A03"/>
    <w:rsid w:val="00DE1A47"/>
    <w:rsid w:val="00DE3452"/>
    <w:rsid w:val="00DE39C6"/>
    <w:rsid w:val="00DE5212"/>
    <w:rsid w:val="00DE6376"/>
    <w:rsid w:val="00DE76A4"/>
    <w:rsid w:val="00DF2407"/>
    <w:rsid w:val="00DF2AA7"/>
    <w:rsid w:val="00DF4DBA"/>
    <w:rsid w:val="00DF6854"/>
    <w:rsid w:val="00DF698B"/>
    <w:rsid w:val="00E01140"/>
    <w:rsid w:val="00E01D3D"/>
    <w:rsid w:val="00E0458E"/>
    <w:rsid w:val="00E048CD"/>
    <w:rsid w:val="00E049FA"/>
    <w:rsid w:val="00E059C1"/>
    <w:rsid w:val="00E10020"/>
    <w:rsid w:val="00E10102"/>
    <w:rsid w:val="00E11678"/>
    <w:rsid w:val="00E119E9"/>
    <w:rsid w:val="00E13857"/>
    <w:rsid w:val="00E14DCB"/>
    <w:rsid w:val="00E15672"/>
    <w:rsid w:val="00E1594B"/>
    <w:rsid w:val="00E178E5"/>
    <w:rsid w:val="00E20CDB"/>
    <w:rsid w:val="00E240CC"/>
    <w:rsid w:val="00E24BF7"/>
    <w:rsid w:val="00E3007E"/>
    <w:rsid w:val="00E30566"/>
    <w:rsid w:val="00E33145"/>
    <w:rsid w:val="00E35C3D"/>
    <w:rsid w:val="00E41543"/>
    <w:rsid w:val="00E41F08"/>
    <w:rsid w:val="00E46035"/>
    <w:rsid w:val="00E460D1"/>
    <w:rsid w:val="00E5307C"/>
    <w:rsid w:val="00E54540"/>
    <w:rsid w:val="00E54C03"/>
    <w:rsid w:val="00E54F87"/>
    <w:rsid w:val="00E55891"/>
    <w:rsid w:val="00E62840"/>
    <w:rsid w:val="00E63874"/>
    <w:rsid w:val="00E665CF"/>
    <w:rsid w:val="00E6698A"/>
    <w:rsid w:val="00E7067F"/>
    <w:rsid w:val="00E723DA"/>
    <w:rsid w:val="00E72C33"/>
    <w:rsid w:val="00E77DCE"/>
    <w:rsid w:val="00E81373"/>
    <w:rsid w:val="00E83807"/>
    <w:rsid w:val="00E84202"/>
    <w:rsid w:val="00E86AE8"/>
    <w:rsid w:val="00E90D39"/>
    <w:rsid w:val="00E90F76"/>
    <w:rsid w:val="00E913D8"/>
    <w:rsid w:val="00E9458F"/>
    <w:rsid w:val="00E968E3"/>
    <w:rsid w:val="00E97916"/>
    <w:rsid w:val="00EA1179"/>
    <w:rsid w:val="00EA28BE"/>
    <w:rsid w:val="00EA3FA9"/>
    <w:rsid w:val="00EA5AC7"/>
    <w:rsid w:val="00EB03BB"/>
    <w:rsid w:val="00EB0F9A"/>
    <w:rsid w:val="00EB660A"/>
    <w:rsid w:val="00EB6A9F"/>
    <w:rsid w:val="00EB6F08"/>
    <w:rsid w:val="00EB785E"/>
    <w:rsid w:val="00EC0988"/>
    <w:rsid w:val="00EC23E1"/>
    <w:rsid w:val="00EC261E"/>
    <w:rsid w:val="00EC2FD7"/>
    <w:rsid w:val="00EC3721"/>
    <w:rsid w:val="00EC3A0A"/>
    <w:rsid w:val="00EC3BD2"/>
    <w:rsid w:val="00EC4824"/>
    <w:rsid w:val="00EC55BC"/>
    <w:rsid w:val="00EC5B27"/>
    <w:rsid w:val="00EC7A1F"/>
    <w:rsid w:val="00EC7C22"/>
    <w:rsid w:val="00EC7F3B"/>
    <w:rsid w:val="00ED2174"/>
    <w:rsid w:val="00ED3E71"/>
    <w:rsid w:val="00ED58F5"/>
    <w:rsid w:val="00ED7783"/>
    <w:rsid w:val="00ED7A3B"/>
    <w:rsid w:val="00EE305E"/>
    <w:rsid w:val="00EE5546"/>
    <w:rsid w:val="00EE5804"/>
    <w:rsid w:val="00EF23E6"/>
    <w:rsid w:val="00EF2F0D"/>
    <w:rsid w:val="00EF3CD0"/>
    <w:rsid w:val="00EF5646"/>
    <w:rsid w:val="00EF5685"/>
    <w:rsid w:val="00EF6B74"/>
    <w:rsid w:val="00F01A62"/>
    <w:rsid w:val="00F03B98"/>
    <w:rsid w:val="00F13247"/>
    <w:rsid w:val="00F14F3B"/>
    <w:rsid w:val="00F16498"/>
    <w:rsid w:val="00F16C91"/>
    <w:rsid w:val="00F17747"/>
    <w:rsid w:val="00F21BB8"/>
    <w:rsid w:val="00F225D1"/>
    <w:rsid w:val="00F2261D"/>
    <w:rsid w:val="00F22B62"/>
    <w:rsid w:val="00F230B6"/>
    <w:rsid w:val="00F235A2"/>
    <w:rsid w:val="00F240ED"/>
    <w:rsid w:val="00F24933"/>
    <w:rsid w:val="00F2501B"/>
    <w:rsid w:val="00F31AF4"/>
    <w:rsid w:val="00F34200"/>
    <w:rsid w:val="00F40D13"/>
    <w:rsid w:val="00F40E70"/>
    <w:rsid w:val="00F42521"/>
    <w:rsid w:val="00F44605"/>
    <w:rsid w:val="00F45B52"/>
    <w:rsid w:val="00F466DA"/>
    <w:rsid w:val="00F46954"/>
    <w:rsid w:val="00F500DB"/>
    <w:rsid w:val="00F5260D"/>
    <w:rsid w:val="00F54351"/>
    <w:rsid w:val="00F54CE4"/>
    <w:rsid w:val="00F56630"/>
    <w:rsid w:val="00F56FE6"/>
    <w:rsid w:val="00F576E4"/>
    <w:rsid w:val="00F6014C"/>
    <w:rsid w:val="00F605E4"/>
    <w:rsid w:val="00F61B57"/>
    <w:rsid w:val="00F63734"/>
    <w:rsid w:val="00F63E1A"/>
    <w:rsid w:val="00F63FFD"/>
    <w:rsid w:val="00F643CC"/>
    <w:rsid w:val="00F667FB"/>
    <w:rsid w:val="00F70992"/>
    <w:rsid w:val="00F70EFF"/>
    <w:rsid w:val="00F710D4"/>
    <w:rsid w:val="00F74031"/>
    <w:rsid w:val="00F77DD5"/>
    <w:rsid w:val="00F80DBF"/>
    <w:rsid w:val="00F80DC8"/>
    <w:rsid w:val="00F812DE"/>
    <w:rsid w:val="00F8130C"/>
    <w:rsid w:val="00F837AA"/>
    <w:rsid w:val="00F84BE0"/>
    <w:rsid w:val="00F8609D"/>
    <w:rsid w:val="00F869E6"/>
    <w:rsid w:val="00F87755"/>
    <w:rsid w:val="00F903B3"/>
    <w:rsid w:val="00F906A5"/>
    <w:rsid w:val="00F91D94"/>
    <w:rsid w:val="00F9305A"/>
    <w:rsid w:val="00F94EAB"/>
    <w:rsid w:val="00F96EB6"/>
    <w:rsid w:val="00F9733A"/>
    <w:rsid w:val="00FA4CCF"/>
    <w:rsid w:val="00FA4EAA"/>
    <w:rsid w:val="00FA5543"/>
    <w:rsid w:val="00FA5F5C"/>
    <w:rsid w:val="00FA6C41"/>
    <w:rsid w:val="00FB0C28"/>
    <w:rsid w:val="00FB0E55"/>
    <w:rsid w:val="00FB1062"/>
    <w:rsid w:val="00FB24CD"/>
    <w:rsid w:val="00FB3B7B"/>
    <w:rsid w:val="00FB4D1F"/>
    <w:rsid w:val="00FB514E"/>
    <w:rsid w:val="00FB6262"/>
    <w:rsid w:val="00FC029A"/>
    <w:rsid w:val="00FC0E0E"/>
    <w:rsid w:val="00FC1866"/>
    <w:rsid w:val="00FC20F9"/>
    <w:rsid w:val="00FC28CD"/>
    <w:rsid w:val="00FC7656"/>
    <w:rsid w:val="00FD258E"/>
    <w:rsid w:val="00FD2BF8"/>
    <w:rsid w:val="00FD3B5F"/>
    <w:rsid w:val="00FD3B71"/>
    <w:rsid w:val="00FD48FB"/>
    <w:rsid w:val="00FD5023"/>
    <w:rsid w:val="00FE0399"/>
    <w:rsid w:val="00FE0752"/>
    <w:rsid w:val="00FE1F1C"/>
    <w:rsid w:val="00FE3196"/>
    <w:rsid w:val="00FE6785"/>
    <w:rsid w:val="00FE7DBA"/>
    <w:rsid w:val="00FF4B5D"/>
    <w:rsid w:val="00FF4DC5"/>
    <w:rsid w:val="00FF4F84"/>
    <w:rsid w:val="00FF67D2"/>
    <w:rsid w:val="00FF7093"/>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33E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semiHidden/>
    <w:rsid w:val="00866F06"/>
    <w:rPr>
      <w:sz w:val="24"/>
      <w:szCs w:val="24"/>
    </w:rPr>
  </w:style>
  <w:style w:type="paragraph" w:styleId="Heading2">
    <w:name w:val="heading 2"/>
    <w:basedOn w:val="Normal"/>
    <w:next w:val="Normal"/>
    <w:link w:val="Heading2Char"/>
    <w:qFormat/>
    <w:locked/>
    <w:rsid w:val="00371AE7"/>
    <w:pPr>
      <w:keepNext/>
      <w:keepLines/>
      <w:spacing w:before="200"/>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40D13"/>
  </w:style>
  <w:style w:type="character" w:customStyle="1" w:styleId="FootnoteTextChar">
    <w:name w:val="Footnote Text Char"/>
    <w:link w:val="FootnoteText"/>
    <w:uiPriority w:val="99"/>
    <w:locked/>
    <w:rsid w:val="00F40D13"/>
    <w:rPr>
      <w:rFonts w:cs="Times New Roman"/>
    </w:rPr>
  </w:style>
  <w:style w:type="character" w:styleId="FootnoteReference">
    <w:name w:val="footnote reference"/>
    <w:aliases w:val="Style 12,(NECG) Footnote Reference,Appel note de bas de p,Style 124,o,fr,Style 3,Style 13,FR,Style 17,Style 6,Footnote Reference/"/>
    <w:uiPriority w:val="99"/>
    <w:rsid w:val="00F40D13"/>
    <w:rPr>
      <w:rFonts w:cs="Times New Roman"/>
      <w:vertAlign w:val="superscript"/>
    </w:rPr>
  </w:style>
  <w:style w:type="paragraph" w:styleId="ListParagraph">
    <w:name w:val="List Paragraph"/>
    <w:basedOn w:val="Normal"/>
    <w:uiPriority w:val="99"/>
    <w:qFormat/>
    <w:rsid w:val="00F22B62"/>
    <w:pPr>
      <w:ind w:left="720"/>
      <w:contextualSpacing/>
    </w:pPr>
  </w:style>
  <w:style w:type="character" w:styleId="CommentReference">
    <w:name w:val="annotation reference"/>
    <w:uiPriority w:val="99"/>
    <w:semiHidden/>
    <w:rsid w:val="00866F06"/>
    <w:rPr>
      <w:rFonts w:cs="Times New Roman"/>
      <w:sz w:val="18"/>
      <w:szCs w:val="18"/>
    </w:rPr>
  </w:style>
  <w:style w:type="paragraph" w:styleId="CommentText">
    <w:name w:val="annotation text"/>
    <w:basedOn w:val="Normal"/>
    <w:link w:val="CommentTextChar"/>
    <w:uiPriority w:val="99"/>
    <w:semiHidden/>
    <w:rsid w:val="00866F06"/>
  </w:style>
  <w:style w:type="character" w:customStyle="1" w:styleId="CommentTextChar">
    <w:name w:val="Comment Text Char"/>
    <w:link w:val="CommentText"/>
    <w:uiPriority w:val="99"/>
    <w:semiHidden/>
    <w:locked/>
    <w:rsid w:val="00866F06"/>
    <w:rPr>
      <w:rFonts w:cs="Times New Roman"/>
    </w:rPr>
  </w:style>
  <w:style w:type="paragraph" w:styleId="CommentSubject">
    <w:name w:val="annotation subject"/>
    <w:basedOn w:val="CommentText"/>
    <w:next w:val="CommentText"/>
    <w:link w:val="CommentSubjectChar"/>
    <w:uiPriority w:val="99"/>
    <w:semiHidden/>
    <w:rsid w:val="00866F06"/>
    <w:rPr>
      <w:b/>
      <w:bCs/>
      <w:sz w:val="20"/>
      <w:szCs w:val="20"/>
    </w:rPr>
  </w:style>
  <w:style w:type="character" w:customStyle="1" w:styleId="CommentSubjectChar">
    <w:name w:val="Comment Subject Char"/>
    <w:link w:val="CommentSubject"/>
    <w:uiPriority w:val="99"/>
    <w:semiHidden/>
    <w:locked/>
    <w:rsid w:val="00866F06"/>
    <w:rPr>
      <w:rFonts w:cs="Times New Roman"/>
      <w:b/>
      <w:bCs/>
      <w:sz w:val="20"/>
      <w:szCs w:val="20"/>
    </w:rPr>
  </w:style>
  <w:style w:type="paragraph" w:styleId="Revision">
    <w:name w:val="Revision"/>
    <w:hidden/>
    <w:uiPriority w:val="99"/>
    <w:semiHidden/>
    <w:rsid w:val="00866F06"/>
    <w:rPr>
      <w:sz w:val="24"/>
      <w:szCs w:val="24"/>
    </w:rPr>
  </w:style>
  <w:style w:type="paragraph" w:styleId="BalloonText">
    <w:name w:val="Balloon Text"/>
    <w:basedOn w:val="Normal"/>
    <w:link w:val="BalloonTextChar"/>
    <w:uiPriority w:val="99"/>
    <w:semiHidden/>
    <w:rsid w:val="00866F06"/>
    <w:rPr>
      <w:rFonts w:ascii="Lucida Grande" w:hAnsi="Lucida Grande" w:cs="Lucida Grande"/>
      <w:sz w:val="18"/>
      <w:szCs w:val="18"/>
    </w:rPr>
  </w:style>
  <w:style w:type="character" w:customStyle="1" w:styleId="BalloonTextChar">
    <w:name w:val="Balloon Text Char"/>
    <w:link w:val="BalloonText"/>
    <w:uiPriority w:val="99"/>
    <w:semiHidden/>
    <w:locked/>
    <w:rsid w:val="00866F06"/>
    <w:rPr>
      <w:rFonts w:ascii="Lucida Grande" w:hAnsi="Lucida Grande" w:cs="Lucida Grande"/>
      <w:sz w:val="18"/>
      <w:szCs w:val="18"/>
    </w:rPr>
  </w:style>
  <w:style w:type="character" w:styleId="Hyperlink">
    <w:name w:val="Hyperlink"/>
    <w:uiPriority w:val="99"/>
    <w:rsid w:val="00241C45"/>
    <w:rPr>
      <w:rFonts w:cs="Times New Roman"/>
      <w:color w:val="0000FF"/>
      <w:u w:val="single"/>
    </w:rPr>
  </w:style>
  <w:style w:type="character" w:styleId="FollowedHyperlink">
    <w:name w:val="FollowedHyperlink"/>
    <w:uiPriority w:val="99"/>
    <w:semiHidden/>
    <w:rsid w:val="00B93531"/>
    <w:rPr>
      <w:rFonts w:cs="Times New Roman"/>
      <w:color w:val="800080"/>
      <w:u w:val="single"/>
    </w:rPr>
  </w:style>
  <w:style w:type="table" w:styleId="TableGrid">
    <w:name w:val="Table Grid"/>
    <w:basedOn w:val="TableNormal"/>
    <w:uiPriority w:val="99"/>
    <w:rsid w:val="00705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371AE7"/>
    <w:rPr>
      <w:rFonts w:eastAsia="MS Gothic"/>
      <w:b/>
      <w:bCs/>
      <w:color w:val="4F81BD"/>
      <w:sz w:val="26"/>
      <w:szCs w:val="26"/>
    </w:rPr>
  </w:style>
  <w:style w:type="paragraph" w:styleId="Header">
    <w:name w:val="header"/>
    <w:basedOn w:val="Normal"/>
    <w:link w:val="HeaderChar"/>
    <w:uiPriority w:val="99"/>
    <w:unhideWhenUsed/>
    <w:rsid w:val="00C3276E"/>
    <w:pPr>
      <w:tabs>
        <w:tab w:val="center" w:pos="4320"/>
        <w:tab w:val="right" w:pos="8640"/>
      </w:tabs>
    </w:pPr>
  </w:style>
  <w:style w:type="character" w:customStyle="1" w:styleId="HeaderChar">
    <w:name w:val="Header Char"/>
    <w:link w:val="Header"/>
    <w:uiPriority w:val="99"/>
    <w:rsid w:val="00C3276E"/>
    <w:rPr>
      <w:sz w:val="24"/>
      <w:szCs w:val="24"/>
    </w:rPr>
  </w:style>
  <w:style w:type="paragraph" w:styleId="Footer">
    <w:name w:val="footer"/>
    <w:basedOn w:val="Normal"/>
    <w:link w:val="FooterChar"/>
    <w:uiPriority w:val="99"/>
    <w:unhideWhenUsed/>
    <w:rsid w:val="00C3276E"/>
    <w:pPr>
      <w:tabs>
        <w:tab w:val="center" w:pos="4320"/>
        <w:tab w:val="right" w:pos="8640"/>
      </w:tabs>
    </w:pPr>
  </w:style>
  <w:style w:type="character" w:customStyle="1" w:styleId="FooterChar">
    <w:name w:val="Footer Char"/>
    <w:link w:val="Footer"/>
    <w:uiPriority w:val="99"/>
    <w:rsid w:val="00C327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semiHidden/>
    <w:rsid w:val="00866F06"/>
    <w:rPr>
      <w:sz w:val="24"/>
      <w:szCs w:val="24"/>
    </w:rPr>
  </w:style>
  <w:style w:type="paragraph" w:styleId="Heading2">
    <w:name w:val="heading 2"/>
    <w:basedOn w:val="Normal"/>
    <w:next w:val="Normal"/>
    <w:link w:val="Heading2Char"/>
    <w:qFormat/>
    <w:locked/>
    <w:rsid w:val="00371AE7"/>
    <w:pPr>
      <w:keepNext/>
      <w:keepLines/>
      <w:spacing w:before="200"/>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40D13"/>
  </w:style>
  <w:style w:type="character" w:customStyle="1" w:styleId="FootnoteTextChar">
    <w:name w:val="Footnote Text Char"/>
    <w:link w:val="FootnoteText"/>
    <w:uiPriority w:val="99"/>
    <w:locked/>
    <w:rsid w:val="00F40D13"/>
    <w:rPr>
      <w:rFonts w:cs="Times New Roman"/>
    </w:rPr>
  </w:style>
  <w:style w:type="character" w:styleId="FootnoteReference">
    <w:name w:val="footnote reference"/>
    <w:aliases w:val="Style 12,(NECG) Footnote Reference,Appel note de bas de p,Style 124,o,fr,Style 3,Style 13,FR,Style 17,Style 6,Footnote Reference/"/>
    <w:uiPriority w:val="99"/>
    <w:rsid w:val="00F40D13"/>
    <w:rPr>
      <w:rFonts w:cs="Times New Roman"/>
      <w:vertAlign w:val="superscript"/>
    </w:rPr>
  </w:style>
  <w:style w:type="paragraph" w:styleId="ListParagraph">
    <w:name w:val="List Paragraph"/>
    <w:basedOn w:val="Normal"/>
    <w:uiPriority w:val="99"/>
    <w:qFormat/>
    <w:rsid w:val="00F22B62"/>
    <w:pPr>
      <w:ind w:left="720"/>
      <w:contextualSpacing/>
    </w:pPr>
  </w:style>
  <w:style w:type="character" w:styleId="CommentReference">
    <w:name w:val="annotation reference"/>
    <w:uiPriority w:val="99"/>
    <w:semiHidden/>
    <w:rsid w:val="00866F06"/>
    <w:rPr>
      <w:rFonts w:cs="Times New Roman"/>
      <w:sz w:val="18"/>
      <w:szCs w:val="18"/>
    </w:rPr>
  </w:style>
  <w:style w:type="paragraph" w:styleId="CommentText">
    <w:name w:val="annotation text"/>
    <w:basedOn w:val="Normal"/>
    <w:link w:val="CommentTextChar"/>
    <w:uiPriority w:val="99"/>
    <w:semiHidden/>
    <w:rsid w:val="00866F06"/>
  </w:style>
  <w:style w:type="character" w:customStyle="1" w:styleId="CommentTextChar">
    <w:name w:val="Comment Text Char"/>
    <w:link w:val="CommentText"/>
    <w:uiPriority w:val="99"/>
    <w:semiHidden/>
    <w:locked/>
    <w:rsid w:val="00866F06"/>
    <w:rPr>
      <w:rFonts w:cs="Times New Roman"/>
    </w:rPr>
  </w:style>
  <w:style w:type="paragraph" w:styleId="CommentSubject">
    <w:name w:val="annotation subject"/>
    <w:basedOn w:val="CommentText"/>
    <w:next w:val="CommentText"/>
    <w:link w:val="CommentSubjectChar"/>
    <w:uiPriority w:val="99"/>
    <w:semiHidden/>
    <w:rsid w:val="00866F06"/>
    <w:rPr>
      <w:b/>
      <w:bCs/>
      <w:sz w:val="20"/>
      <w:szCs w:val="20"/>
    </w:rPr>
  </w:style>
  <w:style w:type="character" w:customStyle="1" w:styleId="CommentSubjectChar">
    <w:name w:val="Comment Subject Char"/>
    <w:link w:val="CommentSubject"/>
    <w:uiPriority w:val="99"/>
    <w:semiHidden/>
    <w:locked/>
    <w:rsid w:val="00866F06"/>
    <w:rPr>
      <w:rFonts w:cs="Times New Roman"/>
      <w:b/>
      <w:bCs/>
      <w:sz w:val="20"/>
      <w:szCs w:val="20"/>
    </w:rPr>
  </w:style>
  <w:style w:type="paragraph" w:styleId="Revision">
    <w:name w:val="Revision"/>
    <w:hidden/>
    <w:uiPriority w:val="99"/>
    <w:semiHidden/>
    <w:rsid w:val="00866F06"/>
    <w:rPr>
      <w:sz w:val="24"/>
      <w:szCs w:val="24"/>
    </w:rPr>
  </w:style>
  <w:style w:type="paragraph" w:styleId="BalloonText">
    <w:name w:val="Balloon Text"/>
    <w:basedOn w:val="Normal"/>
    <w:link w:val="BalloonTextChar"/>
    <w:uiPriority w:val="99"/>
    <w:semiHidden/>
    <w:rsid w:val="00866F06"/>
    <w:rPr>
      <w:rFonts w:ascii="Lucida Grande" w:hAnsi="Lucida Grande" w:cs="Lucida Grande"/>
      <w:sz w:val="18"/>
      <w:szCs w:val="18"/>
    </w:rPr>
  </w:style>
  <w:style w:type="character" w:customStyle="1" w:styleId="BalloonTextChar">
    <w:name w:val="Balloon Text Char"/>
    <w:link w:val="BalloonText"/>
    <w:uiPriority w:val="99"/>
    <w:semiHidden/>
    <w:locked/>
    <w:rsid w:val="00866F06"/>
    <w:rPr>
      <w:rFonts w:ascii="Lucida Grande" w:hAnsi="Lucida Grande" w:cs="Lucida Grande"/>
      <w:sz w:val="18"/>
      <w:szCs w:val="18"/>
    </w:rPr>
  </w:style>
  <w:style w:type="character" w:styleId="Hyperlink">
    <w:name w:val="Hyperlink"/>
    <w:uiPriority w:val="99"/>
    <w:rsid w:val="00241C45"/>
    <w:rPr>
      <w:rFonts w:cs="Times New Roman"/>
      <w:color w:val="0000FF"/>
      <w:u w:val="single"/>
    </w:rPr>
  </w:style>
  <w:style w:type="character" w:styleId="FollowedHyperlink">
    <w:name w:val="FollowedHyperlink"/>
    <w:uiPriority w:val="99"/>
    <w:semiHidden/>
    <w:rsid w:val="00B93531"/>
    <w:rPr>
      <w:rFonts w:cs="Times New Roman"/>
      <w:color w:val="800080"/>
      <w:u w:val="single"/>
    </w:rPr>
  </w:style>
  <w:style w:type="table" w:styleId="TableGrid">
    <w:name w:val="Table Grid"/>
    <w:basedOn w:val="TableNormal"/>
    <w:uiPriority w:val="99"/>
    <w:rsid w:val="00705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371AE7"/>
    <w:rPr>
      <w:rFonts w:eastAsia="MS Gothic"/>
      <w:b/>
      <w:bCs/>
      <w:color w:val="4F81BD"/>
      <w:sz w:val="26"/>
      <w:szCs w:val="26"/>
    </w:rPr>
  </w:style>
  <w:style w:type="paragraph" w:styleId="Header">
    <w:name w:val="header"/>
    <w:basedOn w:val="Normal"/>
    <w:link w:val="HeaderChar"/>
    <w:uiPriority w:val="99"/>
    <w:unhideWhenUsed/>
    <w:rsid w:val="00C3276E"/>
    <w:pPr>
      <w:tabs>
        <w:tab w:val="center" w:pos="4320"/>
        <w:tab w:val="right" w:pos="8640"/>
      </w:tabs>
    </w:pPr>
  </w:style>
  <w:style w:type="character" w:customStyle="1" w:styleId="HeaderChar">
    <w:name w:val="Header Char"/>
    <w:link w:val="Header"/>
    <w:uiPriority w:val="99"/>
    <w:rsid w:val="00C3276E"/>
    <w:rPr>
      <w:sz w:val="24"/>
      <w:szCs w:val="24"/>
    </w:rPr>
  </w:style>
  <w:style w:type="paragraph" w:styleId="Footer">
    <w:name w:val="footer"/>
    <w:basedOn w:val="Normal"/>
    <w:link w:val="FooterChar"/>
    <w:uiPriority w:val="99"/>
    <w:unhideWhenUsed/>
    <w:rsid w:val="00C3276E"/>
    <w:pPr>
      <w:tabs>
        <w:tab w:val="center" w:pos="4320"/>
        <w:tab w:val="right" w:pos="8640"/>
      </w:tabs>
    </w:pPr>
  </w:style>
  <w:style w:type="character" w:customStyle="1" w:styleId="FooterChar">
    <w:name w:val="Footer Char"/>
    <w:link w:val="Footer"/>
    <w:uiPriority w:val="99"/>
    <w:rsid w:val="00C32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53553">
      <w:bodyDiv w:val="1"/>
      <w:marLeft w:val="0"/>
      <w:marRight w:val="0"/>
      <w:marTop w:val="0"/>
      <w:marBottom w:val="0"/>
      <w:divBdr>
        <w:top w:val="none" w:sz="0" w:space="0" w:color="auto"/>
        <w:left w:val="none" w:sz="0" w:space="0" w:color="auto"/>
        <w:bottom w:val="none" w:sz="0" w:space="0" w:color="auto"/>
        <w:right w:val="none" w:sz="0" w:space="0" w:color="auto"/>
      </w:divBdr>
    </w:div>
    <w:div w:id="481310306">
      <w:bodyDiv w:val="1"/>
      <w:marLeft w:val="0"/>
      <w:marRight w:val="0"/>
      <w:marTop w:val="0"/>
      <w:marBottom w:val="0"/>
      <w:divBdr>
        <w:top w:val="none" w:sz="0" w:space="0" w:color="auto"/>
        <w:left w:val="none" w:sz="0" w:space="0" w:color="auto"/>
        <w:bottom w:val="none" w:sz="0" w:space="0" w:color="auto"/>
        <w:right w:val="none" w:sz="0" w:space="0" w:color="auto"/>
      </w:divBdr>
    </w:div>
    <w:div w:id="543910272">
      <w:bodyDiv w:val="1"/>
      <w:marLeft w:val="0"/>
      <w:marRight w:val="0"/>
      <w:marTop w:val="0"/>
      <w:marBottom w:val="0"/>
      <w:divBdr>
        <w:top w:val="none" w:sz="0" w:space="0" w:color="auto"/>
        <w:left w:val="none" w:sz="0" w:space="0" w:color="auto"/>
        <w:bottom w:val="none" w:sz="0" w:space="0" w:color="auto"/>
        <w:right w:val="none" w:sz="0" w:space="0" w:color="auto"/>
      </w:divBdr>
    </w:div>
    <w:div w:id="678118948">
      <w:bodyDiv w:val="1"/>
      <w:marLeft w:val="0"/>
      <w:marRight w:val="0"/>
      <w:marTop w:val="0"/>
      <w:marBottom w:val="0"/>
      <w:divBdr>
        <w:top w:val="none" w:sz="0" w:space="0" w:color="auto"/>
        <w:left w:val="none" w:sz="0" w:space="0" w:color="auto"/>
        <w:bottom w:val="none" w:sz="0" w:space="0" w:color="auto"/>
        <w:right w:val="none" w:sz="0" w:space="0" w:color="auto"/>
      </w:divBdr>
    </w:div>
    <w:div w:id="1800757221">
      <w:marLeft w:val="0"/>
      <w:marRight w:val="0"/>
      <w:marTop w:val="0"/>
      <w:marBottom w:val="0"/>
      <w:divBdr>
        <w:top w:val="none" w:sz="0" w:space="0" w:color="auto"/>
        <w:left w:val="none" w:sz="0" w:space="0" w:color="auto"/>
        <w:bottom w:val="none" w:sz="0" w:space="0" w:color="auto"/>
        <w:right w:val="none" w:sz="0" w:space="0" w:color="auto"/>
      </w:divBdr>
    </w:div>
    <w:div w:id="1800757222">
      <w:marLeft w:val="0"/>
      <w:marRight w:val="0"/>
      <w:marTop w:val="0"/>
      <w:marBottom w:val="0"/>
      <w:divBdr>
        <w:top w:val="none" w:sz="0" w:space="0" w:color="auto"/>
        <w:left w:val="none" w:sz="0" w:space="0" w:color="auto"/>
        <w:bottom w:val="none" w:sz="0" w:space="0" w:color="auto"/>
        <w:right w:val="none" w:sz="0" w:space="0" w:color="auto"/>
      </w:divBdr>
    </w:div>
    <w:div w:id="1800757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ideas.repec.org/s/eee/iepoli.html" TargetMode="External"/><Relationship Id="rId7" Type="http://schemas.openxmlformats.org/officeDocument/2006/relationships/hyperlink" Target="http://www.frbsf.org/publications/economics/papers/2003/wp03-13bk.pdf" TargetMode="External"/><Relationship Id="rId2" Type="http://schemas.openxmlformats.org/officeDocument/2006/relationships/hyperlink" Target="http://appsint.fcc.gov/ecfs/document/view?id=7520925140" TargetMode="External"/><Relationship Id="rId1" Type="http://schemas.openxmlformats.org/officeDocument/2006/relationships/hyperlink" Target="http://appsint.fcc.gov/ecfs/document/view?id=7520925138" TargetMode="External"/><Relationship Id="rId6" Type="http://schemas.openxmlformats.org/officeDocument/2006/relationships/hyperlink" Target="http://leichtmanresearch.com/press/052013release.html" TargetMode="External"/><Relationship Id="rId5" Type="http://schemas.openxmlformats.org/officeDocument/2006/relationships/hyperlink" Target="https://webmail.fcc.gov/owa/redir.aspx?C=c992128c1b454750bd7893115e102bfd&amp;URL=http%3a%2f%2fwww.ers.usda.gov%2fmedia%2f965908%2feb-21_single_pages.pdf" TargetMode="External"/><Relationship Id="rId4" Type="http://schemas.openxmlformats.org/officeDocument/2006/relationships/hyperlink" Target="http://www.sciencedirect.com/science/journal/01676245/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4284</Words>
  <Characters>22110</Characters>
  <Application>Microsoft Office Word</Application>
  <DocSecurity>0</DocSecurity>
  <Lines>650</Lines>
  <Paragraphs>329</Paragraphs>
  <ScaleCrop>false</ScaleCrop>
  <HeadingPairs>
    <vt:vector size="2" baseType="variant">
      <vt:variant>
        <vt:lpstr>Title</vt:lpstr>
      </vt:variant>
      <vt:variant>
        <vt:i4>1</vt:i4>
      </vt:variant>
    </vt:vector>
  </HeadingPairs>
  <TitlesOfParts>
    <vt:vector size="1" baseType="lpstr">
      <vt:lpstr>Response to ProfessorHogendorn</vt:lpstr>
    </vt:vector>
  </TitlesOfParts>
  <Manager/>
  <Company/>
  <LinksUpToDate>false</LinksUpToDate>
  <CharactersWithSpaces>26065</CharactersWithSpaces>
  <SharedDoc>false</SharedDoc>
  <HyperlinkBase> </HyperlinkBase>
  <HLinks>
    <vt:vector size="36" baseType="variant">
      <vt:variant>
        <vt:i4>6226003</vt:i4>
      </vt:variant>
      <vt:variant>
        <vt:i4>18</vt:i4>
      </vt:variant>
      <vt:variant>
        <vt:i4>0</vt:i4>
      </vt:variant>
      <vt:variant>
        <vt:i4>5</vt:i4>
      </vt:variant>
      <vt:variant>
        <vt:lpwstr>http://www.frbsf.org/publications/economics/papers/2003/wp03-13bk.pdf</vt:lpwstr>
      </vt:variant>
      <vt:variant>
        <vt:lpwstr/>
      </vt:variant>
      <vt:variant>
        <vt:i4>1769542</vt:i4>
      </vt:variant>
      <vt:variant>
        <vt:i4>15</vt:i4>
      </vt:variant>
      <vt:variant>
        <vt:i4>0</vt:i4>
      </vt:variant>
      <vt:variant>
        <vt:i4>5</vt:i4>
      </vt:variant>
      <vt:variant>
        <vt:lpwstr>http://leichtmanresearch.com/press/052013release.html</vt:lpwstr>
      </vt:variant>
      <vt:variant>
        <vt:lpwstr/>
      </vt:variant>
      <vt:variant>
        <vt:i4>3145776</vt:i4>
      </vt:variant>
      <vt:variant>
        <vt:i4>12</vt:i4>
      </vt:variant>
      <vt:variant>
        <vt:i4>0</vt:i4>
      </vt:variant>
      <vt:variant>
        <vt:i4>5</vt:i4>
      </vt:variant>
      <vt:variant>
        <vt:lpwstr>http://www.fcc.gov/document/fcc-releases-14th-video-competition-report</vt:lpwstr>
      </vt:variant>
      <vt:variant>
        <vt:lpwstr/>
      </vt:variant>
      <vt:variant>
        <vt:i4>6291561</vt:i4>
      </vt:variant>
      <vt:variant>
        <vt:i4>9</vt:i4>
      </vt:variant>
      <vt:variant>
        <vt:i4>0</vt:i4>
      </vt:variant>
      <vt:variant>
        <vt:i4>5</vt:i4>
      </vt:variant>
      <vt:variant>
        <vt:lpwstr>http://www.fcc.gov/blog/wcb-cost-model-virtual-workshop-2012-support-thresholds</vt:lpwstr>
      </vt:variant>
      <vt:variant>
        <vt:lpwstr/>
      </vt:variant>
      <vt:variant>
        <vt:i4>6684797</vt:i4>
      </vt:variant>
      <vt:variant>
        <vt:i4>3</vt:i4>
      </vt:variant>
      <vt:variant>
        <vt:i4>0</vt:i4>
      </vt:variant>
      <vt:variant>
        <vt:i4>5</vt:i4>
      </vt:variant>
      <vt:variant>
        <vt:lpwstr>http://www.ers.usda.gov/media/524276/annualpopchcms.htm</vt:lpwstr>
      </vt:variant>
      <vt:variant>
        <vt:lpwstr/>
      </vt:variant>
      <vt:variant>
        <vt:i4>852050</vt:i4>
      </vt:variant>
      <vt:variant>
        <vt:i4>0</vt:i4>
      </vt:variant>
      <vt:variant>
        <vt:i4>0</vt:i4>
      </vt:variant>
      <vt:variant>
        <vt:i4>5</vt:i4>
      </vt:variant>
      <vt:variant>
        <vt:lpwstr>http://ideas.repec.org/s/eee/iepoli.html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2013-07-11T20:07:00Z</cp:lastPrinted>
  <dcterms:created xsi:type="dcterms:W3CDTF">2013-07-25T15:57:00Z</dcterms:created>
  <dcterms:modified xsi:type="dcterms:W3CDTF">2013-07-25T15:57:00Z</dcterms:modified>
  <cp:category> </cp:category>
  <cp:contentStatus> </cp:contentStatus>
</cp:coreProperties>
</file>