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28B" w:rsidRDefault="0060228B">
      <w:pPr>
        <w:jc w:val="center"/>
        <w:rPr>
          <w:b/>
        </w:rPr>
      </w:pPr>
      <w:bookmarkStart w:id="0" w:name="_GoBack"/>
      <w:bookmarkEnd w:id="0"/>
      <w:r>
        <w:rPr>
          <w:b/>
        </w:rPr>
        <w:t>Before the</w:t>
      </w:r>
    </w:p>
    <w:p w:rsidR="0060228B" w:rsidRDefault="0060228B">
      <w:pPr>
        <w:jc w:val="center"/>
        <w:rPr>
          <w:b/>
        </w:rPr>
      </w:pPr>
      <w:r>
        <w:rPr>
          <w:b/>
        </w:rPr>
        <w:t>Federal Communications Commission</w:t>
      </w:r>
    </w:p>
    <w:p w:rsidR="0060228B" w:rsidRDefault="0060228B">
      <w:pPr>
        <w:jc w:val="center"/>
        <w:rPr>
          <w:b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</w:rPr>
            <w:t>Washington</w:t>
          </w:r>
        </w:smartTag>
        <w:r>
          <w:rPr>
            <w:b/>
          </w:rPr>
          <w:t xml:space="preserve">, </w:t>
        </w:r>
        <w:smartTag w:uri="urn:schemas-microsoft-com:office:smarttags" w:element="State">
          <w:r>
            <w:rPr>
              <w:b/>
            </w:rPr>
            <w:t>D.C.</w:t>
          </w:r>
        </w:smartTag>
        <w:r>
          <w:rPr>
            <w:b/>
          </w:rPr>
          <w:t xml:space="preserve"> </w:t>
        </w:r>
        <w:smartTag w:uri="urn:schemas-microsoft-com:office:smarttags" w:element="PostalCode">
          <w:r>
            <w:rPr>
              <w:b/>
            </w:rPr>
            <w:t>20554</w:t>
          </w:r>
        </w:smartTag>
      </w:smartTag>
    </w:p>
    <w:p w:rsidR="0060228B" w:rsidRDefault="0060228B"/>
    <w:p w:rsidR="0060228B" w:rsidRDefault="0060228B"/>
    <w:tbl>
      <w:tblPr>
        <w:tblW w:w="9648" w:type="dxa"/>
        <w:tblLayout w:type="fixed"/>
        <w:tblLook w:val="04A0" w:firstRow="1" w:lastRow="0" w:firstColumn="1" w:lastColumn="0" w:noHBand="0" w:noVBand="1"/>
      </w:tblPr>
      <w:tblGrid>
        <w:gridCol w:w="4698"/>
        <w:gridCol w:w="630"/>
        <w:gridCol w:w="90"/>
        <w:gridCol w:w="4158"/>
        <w:gridCol w:w="72"/>
      </w:tblGrid>
      <w:tr w:rsidR="00EF0359" w:rsidTr="00EF0359">
        <w:trPr>
          <w:gridAfter w:val="1"/>
          <w:wAfter w:w="72" w:type="dxa"/>
        </w:trPr>
        <w:tc>
          <w:tcPr>
            <w:tcW w:w="4698" w:type="dxa"/>
          </w:tcPr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kern w:val="28"/>
              </w:rPr>
            </w:pPr>
            <w:r>
              <w:rPr>
                <w:spacing w:val="-2"/>
              </w:rPr>
              <w:t>In the Matter of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Acceleration of Broadband Deployment by Improving Wireless Facilities Siting Policies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  <w:r>
              <w:t>Acceleration of Broadband Deployment: Expanding the Reach and Reducing the Cost of Broadband Deployment by Improving Policies Regarding Public Rights of Way and Wireless Facilities Siting</w:t>
            </w: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Amendment of Parts 1 and 17 of the</w:t>
            </w: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Commission’s Rules Regarding Public</w:t>
            </w: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Notice Procedures for Processing Antenna</w:t>
            </w: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Structure Registration Applications for</w:t>
            </w: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Certain Temporary Towers</w:t>
            </w: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2012 Biennial Review of</w:t>
            </w:r>
          </w:p>
          <w:p w:rsidR="00EF0359" w:rsidRDefault="00EF035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spacing w:val="-2"/>
                <w:kern w:val="28"/>
              </w:rPr>
            </w:pPr>
            <w:r>
              <w:rPr>
                <w:spacing w:val="-2"/>
                <w:szCs w:val="22"/>
              </w:rPr>
              <w:t>Telecommunications Regulations</w:t>
            </w:r>
            <w:r>
              <w:tab/>
            </w:r>
            <w:r>
              <w:tab/>
            </w:r>
          </w:p>
        </w:tc>
        <w:tc>
          <w:tcPr>
            <w:tcW w:w="630" w:type="dxa"/>
            <w:hideMark/>
          </w:tcPr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  <w:kern w:val="28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EF0359" w:rsidRDefault="00EF035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spacing w:val="-2"/>
                <w:kern w:val="28"/>
              </w:rPr>
            </w:pPr>
            <w:r>
              <w:rPr>
                <w:b/>
                <w:spacing w:val="-2"/>
              </w:rPr>
              <w:t>)</w:t>
            </w:r>
          </w:p>
        </w:tc>
        <w:tc>
          <w:tcPr>
            <w:tcW w:w="4248" w:type="dxa"/>
            <w:gridSpan w:val="2"/>
          </w:tcPr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kern w:val="28"/>
              </w:rPr>
            </w:pPr>
          </w:p>
          <w:p w:rsidR="00EF0359" w:rsidRDefault="00EF0359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  <w:r>
              <w:rPr>
                <w:spacing w:val="-2"/>
              </w:rPr>
              <w:t>WT Docket No. 13-238</w:t>
            </w:r>
            <w:r>
              <w:t xml:space="preserve"> </w:t>
            </w: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  <w:r>
              <w:t>WC Docket No. 11-59</w:t>
            </w: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  <w:r>
              <w:rPr>
                <w:spacing w:val="-2"/>
                <w:szCs w:val="22"/>
              </w:rPr>
              <w:t>RM-11688 (terminated)</w:t>
            </w: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0359" w:rsidRDefault="00EF0359">
            <w:pPr>
              <w:tabs>
                <w:tab w:val="center" w:pos="4680"/>
              </w:tabs>
              <w:suppressAutoHyphens/>
              <w:rPr>
                <w:spacing w:val="-2"/>
                <w:szCs w:val="22"/>
              </w:rPr>
            </w:pPr>
          </w:p>
          <w:p w:rsidR="00EF0359" w:rsidRDefault="00EF0359">
            <w:pPr>
              <w:widowControl w:val="0"/>
              <w:tabs>
                <w:tab w:val="center" w:pos="4680"/>
              </w:tabs>
              <w:suppressAutoHyphens/>
              <w:snapToGrid w:val="0"/>
              <w:rPr>
                <w:spacing w:val="-2"/>
                <w:kern w:val="28"/>
              </w:rPr>
            </w:pPr>
            <w:r>
              <w:rPr>
                <w:spacing w:val="-2"/>
                <w:szCs w:val="22"/>
              </w:rPr>
              <w:t>WT Docket No. 13-32</w:t>
            </w:r>
          </w:p>
        </w:tc>
      </w:tr>
      <w:tr w:rsidR="0060228B" w:rsidTr="00EF0359">
        <w:tblPrEx>
          <w:tblLook w:val="0000" w:firstRow="0" w:lastRow="0" w:firstColumn="0" w:lastColumn="0" w:noHBand="0" w:noVBand="0"/>
        </w:tblPrEx>
        <w:tc>
          <w:tcPr>
            <w:tcW w:w="4698" w:type="dxa"/>
          </w:tcPr>
          <w:p w:rsidR="0060228B" w:rsidRDefault="0060228B">
            <w:pPr>
              <w:ind w:right="-18"/>
            </w:pPr>
          </w:p>
        </w:tc>
        <w:tc>
          <w:tcPr>
            <w:tcW w:w="720" w:type="dxa"/>
            <w:gridSpan w:val="2"/>
          </w:tcPr>
          <w:p w:rsidR="0060228B" w:rsidRDefault="0060228B">
            <w:pPr>
              <w:rPr>
                <w:b/>
              </w:rPr>
            </w:pPr>
          </w:p>
        </w:tc>
        <w:tc>
          <w:tcPr>
            <w:tcW w:w="4230" w:type="dxa"/>
            <w:gridSpan w:val="2"/>
          </w:tcPr>
          <w:p w:rsidR="0060228B" w:rsidRPr="00EB1A95" w:rsidRDefault="0060228B">
            <w:pPr>
              <w:rPr>
                <w:b/>
              </w:rPr>
            </w:pPr>
          </w:p>
        </w:tc>
      </w:tr>
    </w:tbl>
    <w:p w:rsidR="0060228B" w:rsidRDefault="002E484C" w:rsidP="002A4E36">
      <w:pPr>
        <w:spacing w:before="120"/>
        <w:jc w:val="center"/>
        <w:rPr>
          <w:b/>
          <w:spacing w:val="-2"/>
        </w:rPr>
      </w:pPr>
      <w:r>
        <w:rPr>
          <w:b/>
          <w:spacing w:val="-2"/>
        </w:rPr>
        <w:t>ERRATUM</w:t>
      </w:r>
    </w:p>
    <w:p w:rsidR="00E00E22" w:rsidRDefault="00E00E22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  <w:rPr>
          <w:b/>
        </w:rPr>
      </w:pPr>
      <w:r>
        <w:rPr>
          <w:b/>
        </w:rPr>
        <w:tab/>
        <w:t xml:space="preserve">Released:  </w:t>
      </w:r>
      <w:r w:rsidR="003C2DB0">
        <w:rPr>
          <w:b/>
        </w:rPr>
        <w:t>November 4, 2013</w:t>
      </w:r>
    </w:p>
    <w:p w:rsidR="0060228B" w:rsidRDefault="0060228B">
      <w:pPr>
        <w:tabs>
          <w:tab w:val="left" w:pos="5760"/>
        </w:tabs>
        <w:rPr>
          <w:b/>
        </w:rPr>
      </w:pPr>
    </w:p>
    <w:p w:rsidR="0060228B" w:rsidRDefault="0060228B">
      <w:pPr>
        <w:tabs>
          <w:tab w:val="left" w:pos="5760"/>
        </w:tabs>
      </w:pPr>
      <w:r>
        <w:t xml:space="preserve">By the </w:t>
      </w:r>
      <w:r w:rsidR="00EF0359">
        <w:t>Associate Chief, Wireless Telecommunications Bureau:</w:t>
      </w:r>
    </w:p>
    <w:p w:rsidR="0060228B" w:rsidRDefault="0060228B"/>
    <w:p w:rsidR="00B07300" w:rsidRDefault="00B07300" w:rsidP="00B07300">
      <w:pPr>
        <w:pStyle w:val="ParaNum"/>
        <w:numPr>
          <w:ilvl w:val="0"/>
          <w:numId w:val="0"/>
        </w:numPr>
      </w:pPr>
      <w:r>
        <w:t xml:space="preserve">On </w:t>
      </w:r>
      <w:r w:rsidR="00EF0359">
        <w:t xml:space="preserve">September 26, 2013, the Commission </w:t>
      </w:r>
      <w:r>
        <w:t>released a</w:t>
      </w:r>
      <w:r w:rsidRPr="00A6678A">
        <w:t xml:space="preserve"> </w:t>
      </w:r>
      <w:r w:rsidR="00EF0359">
        <w:t>Notice of Proposed Rulemaking, FCC 13-122</w:t>
      </w:r>
      <w:r>
        <w:t>, in the above captioned proceeding</w:t>
      </w:r>
      <w:r w:rsidR="00EF0359">
        <w:t>s</w:t>
      </w:r>
      <w:r>
        <w:t xml:space="preserve">.  This Erratum </w:t>
      </w:r>
      <w:r w:rsidR="00EF0359">
        <w:t>corrects paragraph 171 by replacing “30 days” with “60 days” and replacing “45 days” with “90 days.”  In addition, the Erratum corrects footnote 217 by replacing “Dotch” with “Dortch.”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  <w:t>FEDERAL COMMUNICATIONS COMMISSION</w:t>
      </w:r>
    </w:p>
    <w:p w:rsidR="00B07300" w:rsidRDefault="00B07300" w:rsidP="00B07300">
      <w:pPr>
        <w:pStyle w:val="Heading1"/>
        <w:numPr>
          <w:ilvl w:val="0"/>
          <w:numId w:val="0"/>
        </w:numPr>
        <w:rPr>
          <w:b w:val="0"/>
          <w:caps w:val="0"/>
          <w:spacing w:val="-2"/>
        </w:rPr>
      </w:pP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EF0359">
        <w:rPr>
          <w:b w:val="0"/>
          <w:caps w:val="0"/>
          <w:spacing w:val="-2"/>
        </w:rPr>
        <w:t>Jane E. Jackson</w:t>
      </w:r>
      <w:r>
        <w:rPr>
          <w:b w:val="0"/>
          <w:caps w:val="0"/>
          <w:spacing w:val="-2"/>
        </w:rPr>
        <w:t xml:space="preserve"> </w:t>
      </w:r>
    </w:p>
    <w:p w:rsidR="00B07300" w:rsidRDefault="00B07300" w:rsidP="00B07300">
      <w:pPr>
        <w:pStyle w:val="Heading1"/>
        <w:numPr>
          <w:ilvl w:val="0"/>
          <w:numId w:val="0"/>
        </w:numPr>
        <w:spacing w:after="0"/>
        <w:rPr>
          <w:b w:val="0"/>
          <w:caps w:val="0"/>
          <w:spacing w:val="-2"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EF0359">
        <w:rPr>
          <w:b w:val="0"/>
          <w:caps w:val="0"/>
          <w:spacing w:val="-2"/>
        </w:rPr>
        <w:t>Associate Chief</w:t>
      </w:r>
    </w:p>
    <w:p w:rsidR="00B07300" w:rsidRPr="00722146" w:rsidRDefault="00B07300" w:rsidP="00B07300">
      <w:pPr>
        <w:pStyle w:val="Heading1"/>
        <w:numPr>
          <w:ilvl w:val="0"/>
          <w:numId w:val="0"/>
        </w:numPr>
        <w:spacing w:after="0"/>
        <w:rPr>
          <w:i/>
        </w:rPr>
      </w:pP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>
        <w:rPr>
          <w:b w:val="0"/>
          <w:caps w:val="0"/>
          <w:spacing w:val="-2"/>
        </w:rPr>
        <w:tab/>
      </w:r>
      <w:r w:rsidR="00EF0359">
        <w:rPr>
          <w:b w:val="0"/>
          <w:caps w:val="0"/>
          <w:spacing w:val="-2"/>
        </w:rPr>
        <w:t>Wireless Telecommunications Bureau</w:t>
      </w:r>
    </w:p>
    <w:p w:rsidR="002E484C" w:rsidRDefault="002E484C" w:rsidP="00E00E22">
      <w:pPr>
        <w:pStyle w:val="Heading1"/>
        <w:numPr>
          <w:ilvl w:val="0"/>
          <w:numId w:val="0"/>
        </w:numPr>
      </w:pPr>
    </w:p>
    <w:sectPr w:rsidR="002E48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72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BE5" w:rsidRDefault="00122BE5">
      <w:r>
        <w:separator/>
      </w:r>
    </w:p>
  </w:endnote>
  <w:endnote w:type="continuationSeparator" w:id="0">
    <w:p w:rsidR="00122BE5" w:rsidRDefault="00122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B" w:rsidRDefault="002C0F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F0359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B" w:rsidRDefault="002C0F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BE5" w:rsidRDefault="00122BE5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122BE5" w:rsidRDefault="00122BE5">
      <w:pPr>
        <w:rPr>
          <w:sz w:val="20"/>
        </w:rPr>
      </w:pPr>
      <w:r>
        <w:rPr>
          <w:sz w:val="20"/>
        </w:rPr>
        <w:separator/>
      </w:r>
    </w:p>
    <w:p w:rsidR="00122BE5" w:rsidRDefault="00122BE5">
      <w:pPr>
        <w:rPr>
          <w:sz w:val="20"/>
        </w:rPr>
      </w:pPr>
      <w:r>
        <w:rPr>
          <w:sz w:val="20"/>
        </w:rPr>
        <w:t>(...continued from previous page)</w:t>
      </w:r>
    </w:p>
  </w:footnote>
  <w:footnote w:type="continuationNotice" w:id="1">
    <w:p w:rsidR="00122BE5" w:rsidRDefault="00122BE5">
      <w:pPr>
        <w:jc w:val="right"/>
        <w:rPr>
          <w:sz w:val="20"/>
        </w:rPr>
      </w:pPr>
      <w:r>
        <w:rPr>
          <w:sz w:val="20"/>
        </w:rPr>
        <w:t>(continued....)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F2B" w:rsidRDefault="002C0F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>FCC 01-</w:t>
    </w:r>
    <w:r>
      <w:rPr>
        <w:b/>
      </w:rPr>
      <w:fldChar w:fldCharType="begin"/>
    </w:r>
    <w:r>
      <w:rPr>
        <w:b/>
      </w:rPr>
      <w:instrText xml:space="preserve"> MACROBUTTON NoMacro [Click to enter order number] </w:instrText>
    </w:r>
    <w:r>
      <w:rPr>
        <w:b/>
      </w:rPr>
      <w:fldChar w:fldCharType="end"/>
    </w:r>
    <w:r>
      <w:rPr>
        <w:b/>
      </w:rPr>
      <w:t xml:space="preserve"> </w:t>
    </w:r>
  </w:p>
  <w:p w:rsidR="0060228B" w:rsidRDefault="005F6A7E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2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rkk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" o:allowincell="f" strokeweight="1.5pt"/>
          </w:pict>
        </mc:Fallback>
      </mc:AlternateContent>
    </w:r>
  </w:p>
  <w:p w:rsidR="0060228B" w:rsidRDefault="006022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28B" w:rsidRDefault="0060228B">
    <w:pPr>
      <w:pStyle w:val="Header"/>
      <w:tabs>
        <w:tab w:val="clear" w:pos="4320"/>
        <w:tab w:val="clear" w:pos="8640"/>
        <w:tab w:val="center" w:pos="4680"/>
        <w:tab w:val="right" w:pos="9360"/>
      </w:tabs>
      <w:rPr>
        <w:b/>
      </w:rPr>
    </w:pPr>
    <w:r>
      <w:rPr>
        <w:b/>
      </w:rPr>
      <w:tab/>
      <w:t>Federal Communications Commission</w:t>
    </w:r>
    <w:r>
      <w:rPr>
        <w:b/>
      </w:rPr>
      <w:tab/>
      <w:t xml:space="preserve"> </w:t>
    </w:r>
  </w:p>
  <w:p w:rsidR="0060228B" w:rsidRDefault="005F6A7E">
    <w:pPr>
      <w:pStyle w:val="Header"/>
      <w:tabs>
        <w:tab w:val="clear" w:pos="8640"/>
        <w:tab w:val="right" w:pos="936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22225</wp:posOffset>
              </wp:positionV>
              <wp:extent cx="5943600" cy="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5pt" to="468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c/XEQ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" o:allowincell="f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9591F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">
    <w:nsid w:val="1AA72553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C30232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3">
    <w:nsid w:val="1F09508A"/>
    <w:multiLevelType w:val="multilevel"/>
    <w:tmpl w:val="7D5A78C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4">
    <w:nsid w:val="2A9009E5"/>
    <w:multiLevelType w:val="multilevel"/>
    <w:tmpl w:val="37E49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/>
        <w:i w:val="0"/>
        <w:sz w:val="22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5">
    <w:nsid w:val="2B0355C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6">
    <w:nsid w:val="2C771368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7">
    <w:nsid w:val="31AD0280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31E25FD5"/>
    <w:multiLevelType w:val="singleLevel"/>
    <w:tmpl w:val="4DCCE69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345E437F"/>
    <w:multiLevelType w:val="singleLevel"/>
    <w:tmpl w:val="50EE1B60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3C344BDD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1">
    <w:nsid w:val="3D0F1B3D"/>
    <w:multiLevelType w:val="singleLevel"/>
    <w:tmpl w:val="4DCCE696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>
    <w:nsid w:val="45DC3A3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96B4275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4">
    <w:nsid w:val="5341241F"/>
    <w:multiLevelType w:val="singleLevel"/>
    <w:tmpl w:val="4C62BFF4"/>
    <w:lvl w:ilvl="0">
      <w:start w:val="1"/>
      <w:numFmt w:val="decimal"/>
      <w:pStyle w:val="NumberedList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5">
    <w:nsid w:val="541F6B38"/>
    <w:multiLevelType w:val="multilevel"/>
    <w:tmpl w:val="D892E404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abstractNum w:abstractNumId="16">
    <w:nsid w:val="54FB72DB"/>
    <w:multiLevelType w:val="singleLevel"/>
    <w:tmpl w:val="4C14F8B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7">
    <w:nsid w:val="59BA0F8A"/>
    <w:multiLevelType w:val="singleLevel"/>
    <w:tmpl w:val="5E322D42"/>
    <w:lvl w:ilvl="0">
      <w:start w:val="1"/>
      <w:numFmt w:val="bullet"/>
      <w:pStyle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8">
    <w:nsid w:val="5D2B06DD"/>
    <w:multiLevelType w:val="multilevel"/>
    <w:tmpl w:val="5636CE5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1656"/>
        </w:tabs>
        <w:ind w:left="1440" w:hanging="144"/>
      </w:pPr>
      <w:rPr>
        <w:rFonts w:ascii="Times New Roman" w:hAnsi="Times New Roman" w:hint="default"/>
        <w:b/>
        <w:i w:val="0"/>
        <w:sz w:val="22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rFonts w:ascii="Times New Roman" w:hAnsi="Times New Roman" w:hint="default"/>
        <w:b/>
        <w:i w:val="0"/>
        <w:sz w:val="22"/>
      </w:r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rFonts w:ascii="Times New Roman" w:hAnsi="Times New Roman" w:hint="default"/>
        <w:b/>
        <w:i w:val="0"/>
        <w:sz w:val="22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ascii="Times New Roman" w:hAnsi="Times New Roman" w:hint="default"/>
        <w:b/>
        <w:i w:val="0"/>
        <w:sz w:val="22"/>
      </w:r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rFonts w:ascii="Times New Roman" w:hAnsi="Times New Roman" w:hint="default"/>
        <w:b/>
        <w:i w:val="0"/>
        <w:sz w:val="22"/>
      </w:rPr>
    </w:lvl>
  </w:abstractNum>
  <w:abstractNum w:abstractNumId="19">
    <w:nsid w:val="6496261D"/>
    <w:multiLevelType w:val="singleLevel"/>
    <w:tmpl w:val="459AAAC2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76FA2B00"/>
    <w:multiLevelType w:val="multilevel"/>
    <w:tmpl w:val="66C40B32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440" w:hanging="144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960"/>
        </w:tabs>
        <w:ind w:left="3600" w:hanging="720"/>
      </w:pPr>
      <w:rPr>
        <w:rFonts w:ascii="Tahoma" w:hAnsi="Tahoma" w:hint="default"/>
        <w:b/>
        <w:i w:val="0"/>
        <w:caps w:val="0"/>
        <w:strike w:val="0"/>
        <w:dstrike w:val="0"/>
        <w:vanish w:val="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480"/>
        </w:tabs>
        <w:ind w:left="5760" w:firstLine="0"/>
      </w:pPr>
      <w:rPr>
        <w:b/>
        <w:i w:val="0"/>
        <w:sz w:val="22"/>
      </w:rPr>
    </w:lvl>
  </w:abstractNum>
  <w:num w:numId="1">
    <w:abstractNumId w:val="19"/>
  </w:num>
  <w:num w:numId="2">
    <w:abstractNumId w:val="20"/>
  </w:num>
  <w:num w:numId="3">
    <w:abstractNumId w:val="3"/>
  </w:num>
  <w:num w:numId="4">
    <w:abstractNumId w:val="15"/>
  </w:num>
  <w:num w:numId="5">
    <w:abstractNumId w:val="4"/>
  </w:num>
  <w:num w:numId="6">
    <w:abstractNumId w:val="18"/>
  </w:num>
  <w:num w:numId="7">
    <w:abstractNumId w:val="12"/>
  </w:num>
  <w:num w:numId="8">
    <w:abstractNumId w:val="5"/>
  </w:num>
  <w:num w:numId="9">
    <w:abstractNumId w:val="17"/>
  </w:num>
  <w:num w:numId="10">
    <w:abstractNumId w:val="10"/>
  </w:num>
  <w:num w:numId="11">
    <w:abstractNumId w:val="9"/>
  </w:num>
  <w:num w:numId="12">
    <w:abstractNumId w:val="6"/>
  </w:num>
  <w:num w:numId="13">
    <w:abstractNumId w:val="11"/>
  </w:num>
  <w:num w:numId="14">
    <w:abstractNumId w:val="16"/>
  </w:num>
  <w:num w:numId="15">
    <w:abstractNumId w:val="1"/>
  </w:num>
  <w:num w:numId="16">
    <w:abstractNumId w:val="2"/>
  </w:num>
  <w:num w:numId="17">
    <w:abstractNumId w:val="7"/>
  </w:num>
  <w:num w:numId="18">
    <w:abstractNumId w:val="0"/>
  </w:num>
  <w:num w:numId="19">
    <w:abstractNumId w:val="8"/>
  </w:num>
  <w:num w:numId="20">
    <w:abstractNumId w:val="1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4C"/>
    <w:rsid w:val="00122BE5"/>
    <w:rsid w:val="001779C9"/>
    <w:rsid w:val="002A4E36"/>
    <w:rsid w:val="002C0F2B"/>
    <w:rsid w:val="002E484C"/>
    <w:rsid w:val="003C2DB0"/>
    <w:rsid w:val="003C7585"/>
    <w:rsid w:val="00456E40"/>
    <w:rsid w:val="004E3715"/>
    <w:rsid w:val="005D39F7"/>
    <w:rsid w:val="005F6A7E"/>
    <w:rsid w:val="0060228B"/>
    <w:rsid w:val="00891ADC"/>
    <w:rsid w:val="00B07300"/>
    <w:rsid w:val="00C956C0"/>
    <w:rsid w:val="00E00E22"/>
    <w:rsid w:val="00E543E9"/>
    <w:rsid w:val="00EA23A7"/>
    <w:rsid w:val="00EB1A95"/>
    <w:rsid w:val="00ED2EA8"/>
    <w:rsid w:val="00ED43C6"/>
    <w:rsid w:val="00E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TOAHeading">
    <w:name w:val="toa heading"/>
    <w:basedOn w:val="Normal"/>
    <w:next w:val="Normal"/>
    <w:unhideWhenUsed/>
    <w:rsid w:val="00EF0359"/>
    <w:pPr>
      <w:widowControl w:val="0"/>
      <w:tabs>
        <w:tab w:val="right" w:pos="9360"/>
      </w:tabs>
      <w:suppressAutoHyphens/>
      <w:snapToGrid w:val="0"/>
    </w:pPr>
    <w:rPr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2"/>
    </w:rPr>
  </w:style>
  <w:style w:type="paragraph" w:styleId="Heading1">
    <w:name w:val="heading 1"/>
    <w:basedOn w:val="Normal"/>
    <w:next w:val="ParaNum"/>
    <w:qFormat/>
    <w:pPr>
      <w:keepNext/>
      <w:widowControl w:val="0"/>
      <w:numPr>
        <w:numId w:val="4"/>
      </w:numPr>
      <w:suppressAutoHyphens/>
      <w:spacing w:after="220"/>
      <w:jc w:val="both"/>
      <w:outlineLvl w:val="0"/>
    </w:pPr>
    <w:rPr>
      <w:b/>
      <w:caps/>
    </w:rPr>
  </w:style>
  <w:style w:type="paragraph" w:styleId="Heading2">
    <w:name w:val="heading 2"/>
    <w:basedOn w:val="Normal"/>
    <w:next w:val="ParaNum"/>
    <w:qFormat/>
    <w:pPr>
      <w:keepNext/>
      <w:widowControl w:val="0"/>
      <w:numPr>
        <w:ilvl w:val="1"/>
        <w:numId w:val="4"/>
      </w:numPr>
      <w:spacing w:after="220"/>
      <w:jc w:val="both"/>
      <w:outlineLvl w:val="1"/>
    </w:pPr>
    <w:rPr>
      <w:b/>
    </w:rPr>
  </w:style>
  <w:style w:type="paragraph" w:styleId="Heading3">
    <w:name w:val="heading 3"/>
    <w:basedOn w:val="Normal"/>
    <w:next w:val="ParaNum"/>
    <w:qFormat/>
    <w:pPr>
      <w:keepNext/>
      <w:widowControl w:val="0"/>
      <w:numPr>
        <w:ilvl w:val="2"/>
        <w:numId w:val="4"/>
      </w:numPr>
      <w:spacing w:after="220"/>
      <w:jc w:val="both"/>
      <w:outlineLvl w:val="2"/>
    </w:pPr>
    <w:rPr>
      <w:b/>
    </w:rPr>
  </w:style>
  <w:style w:type="paragraph" w:styleId="Heading4">
    <w:name w:val="heading 4"/>
    <w:basedOn w:val="Normal"/>
    <w:next w:val="ParaNum"/>
    <w:qFormat/>
    <w:pPr>
      <w:keepNext/>
      <w:widowControl w:val="0"/>
      <w:numPr>
        <w:ilvl w:val="3"/>
        <w:numId w:val="4"/>
      </w:numPr>
      <w:spacing w:after="220"/>
      <w:jc w:val="both"/>
      <w:outlineLvl w:val="3"/>
    </w:pPr>
    <w:rPr>
      <w:b/>
    </w:rPr>
  </w:style>
  <w:style w:type="paragraph" w:styleId="Heading5">
    <w:name w:val="heading 5"/>
    <w:basedOn w:val="Normal"/>
    <w:next w:val="ParaNum"/>
    <w:qFormat/>
    <w:pPr>
      <w:keepNext/>
      <w:widowControl w:val="0"/>
      <w:numPr>
        <w:ilvl w:val="4"/>
        <w:numId w:val="4"/>
      </w:numPr>
      <w:suppressAutoHyphens/>
      <w:spacing w:after="220"/>
      <w:jc w:val="both"/>
      <w:outlineLvl w:val="4"/>
    </w:pPr>
    <w:rPr>
      <w:b/>
    </w:rPr>
  </w:style>
  <w:style w:type="paragraph" w:styleId="Heading6">
    <w:name w:val="heading 6"/>
    <w:basedOn w:val="Normal"/>
    <w:next w:val="ParaNum"/>
    <w:qFormat/>
    <w:pPr>
      <w:widowControl w:val="0"/>
      <w:numPr>
        <w:ilvl w:val="5"/>
        <w:numId w:val="4"/>
      </w:numPr>
      <w:spacing w:after="220"/>
      <w:jc w:val="both"/>
      <w:outlineLvl w:val="5"/>
    </w:pPr>
    <w:rPr>
      <w:b/>
    </w:rPr>
  </w:style>
  <w:style w:type="paragraph" w:styleId="Heading7">
    <w:name w:val="heading 7"/>
    <w:basedOn w:val="Normal"/>
    <w:next w:val="ParaNum"/>
    <w:qFormat/>
    <w:pPr>
      <w:widowControl w:val="0"/>
      <w:numPr>
        <w:ilvl w:val="6"/>
        <w:numId w:val="4"/>
      </w:numPr>
      <w:spacing w:after="220"/>
      <w:jc w:val="both"/>
      <w:outlineLvl w:val="6"/>
    </w:pPr>
    <w:rPr>
      <w:b/>
    </w:rPr>
  </w:style>
  <w:style w:type="paragraph" w:styleId="Heading8">
    <w:name w:val="heading 8"/>
    <w:basedOn w:val="Normal"/>
    <w:next w:val="ParaNum"/>
    <w:qFormat/>
    <w:pPr>
      <w:widowControl w:val="0"/>
      <w:numPr>
        <w:ilvl w:val="7"/>
        <w:numId w:val="4"/>
      </w:numPr>
      <w:spacing w:after="220"/>
      <w:jc w:val="both"/>
      <w:outlineLvl w:val="7"/>
    </w:pPr>
    <w:rPr>
      <w:b/>
    </w:rPr>
  </w:style>
  <w:style w:type="paragraph" w:styleId="Heading9">
    <w:name w:val="heading 9"/>
    <w:basedOn w:val="Normal"/>
    <w:next w:val="ParaNum"/>
    <w:qFormat/>
    <w:pPr>
      <w:widowControl w:val="0"/>
      <w:numPr>
        <w:ilvl w:val="8"/>
        <w:numId w:val="4"/>
      </w:numPr>
      <w:spacing w:after="220"/>
      <w:jc w:val="both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ParaNum">
    <w:name w:val="ParaNum"/>
    <w:basedOn w:val="Normal"/>
    <w:pPr>
      <w:widowControl w:val="0"/>
      <w:numPr>
        <w:numId w:val="13"/>
      </w:numPr>
      <w:tabs>
        <w:tab w:val="clear" w:pos="1080"/>
        <w:tab w:val="left" w:pos="1440"/>
      </w:tabs>
      <w:spacing w:after="220"/>
      <w:jc w:val="both"/>
    </w:pPr>
  </w:style>
  <w:style w:type="paragraph" w:styleId="FootnoteText">
    <w:name w:val="footnote text"/>
    <w:basedOn w:val="Normal"/>
    <w:semiHidden/>
    <w:pPr>
      <w:tabs>
        <w:tab w:val="left" w:pos="180"/>
        <w:tab w:val="left" w:pos="720"/>
        <w:tab w:val="left" w:pos="1440"/>
        <w:tab w:val="left" w:pos="2160"/>
      </w:tabs>
      <w:spacing w:after="120"/>
      <w:jc w:val="both"/>
    </w:pPr>
    <w:rPr>
      <w:sz w:val="20"/>
    </w:rPr>
  </w:style>
  <w:style w:type="paragraph" w:customStyle="1" w:styleId="Bullet">
    <w:name w:val="Bullet"/>
    <w:basedOn w:val="Normal"/>
    <w:pPr>
      <w:widowControl w:val="0"/>
      <w:numPr>
        <w:numId w:val="9"/>
      </w:numPr>
      <w:tabs>
        <w:tab w:val="clear" w:pos="2520"/>
      </w:tabs>
      <w:spacing w:after="220"/>
      <w:ind w:left="2160" w:hanging="720"/>
      <w:jc w:val="both"/>
    </w:pPr>
  </w:style>
  <w:style w:type="paragraph" w:styleId="BlockText">
    <w:name w:val="Block Text"/>
    <w:basedOn w:val="Normal"/>
    <w:pPr>
      <w:widowControl w:val="0"/>
      <w:spacing w:after="220"/>
      <w:ind w:left="1440" w:right="1440"/>
      <w:jc w:val="both"/>
    </w:pPr>
  </w:style>
  <w:style w:type="paragraph" w:customStyle="1" w:styleId="TableFormat">
    <w:name w:val="TableFormat"/>
    <w:basedOn w:val="Normal"/>
    <w:pPr>
      <w:widowControl w:val="0"/>
      <w:tabs>
        <w:tab w:val="left" w:pos="5040"/>
      </w:tabs>
      <w:spacing w:after="220"/>
      <w:ind w:left="5040" w:hanging="3600"/>
      <w:jc w:val="both"/>
    </w:p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TOC2">
    <w:name w:val="toc 2"/>
    <w:basedOn w:val="Normal"/>
    <w:next w:val="Normal"/>
    <w:semiHidden/>
    <w:pPr>
      <w:widowControl w:val="0"/>
      <w:tabs>
        <w:tab w:val="left" w:pos="1440"/>
        <w:tab w:val="right" w:leader="dot" w:pos="9360"/>
      </w:tabs>
      <w:suppressAutoHyphens/>
      <w:spacing w:before="220"/>
      <w:ind w:left="1440" w:right="720" w:hanging="720"/>
      <w:jc w:val="both"/>
    </w:pPr>
  </w:style>
  <w:style w:type="paragraph" w:customStyle="1" w:styleId="NumberedList">
    <w:name w:val="Numbered List"/>
    <w:basedOn w:val="Normal"/>
    <w:pPr>
      <w:numPr>
        <w:numId w:val="21"/>
      </w:numPr>
      <w:tabs>
        <w:tab w:val="clear" w:pos="1080"/>
      </w:tabs>
      <w:spacing w:after="220"/>
      <w:ind w:firstLine="0"/>
    </w:pPr>
  </w:style>
  <w:style w:type="paragraph" w:styleId="TOC1">
    <w:name w:val="toc 1"/>
    <w:basedOn w:val="Normal"/>
    <w:next w:val="Normal"/>
    <w:semiHidden/>
    <w:pPr>
      <w:widowControl w:val="0"/>
      <w:tabs>
        <w:tab w:val="right" w:leader="dot" w:pos="9360"/>
      </w:tabs>
      <w:suppressAutoHyphens/>
      <w:spacing w:before="220"/>
      <w:ind w:left="720" w:right="720" w:hanging="720"/>
      <w:jc w:val="both"/>
    </w:pPr>
    <w:rPr>
      <w:caps/>
    </w:rPr>
  </w:style>
  <w:style w:type="paragraph" w:styleId="TOC3">
    <w:name w:val="toc 3"/>
    <w:basedOn w:val="Normal"/>
    <w:next w:val="Normal"/>
    <w:semiHidden/>
    <w:pPr>
      <w:widowControl w:val="0"/>
      <w:tabs>
        <w:tab w:val="left" w:pos="2160"/>
        <w:tab w:val="right" w:leader="dot" w:pos="9360"/>
      </w:tabs>
      <w:suppressAutoHyphens/>
      <w:ind w:left="2160" w:right="720" w:hanging="720"/>
      <w:jc w:val="both"/>
    </w:pPr>
  </w:style>
  <w:style w:type="paragraph" w:styleId="TOC4">
    <w:name w:val="toc 4"/>
    <w:basedOn w:val="Normal"/>
    <w:next w:val="Normal"/>
    <w:semiHidden/>
    <w:pPr>
      <w:widowControl w:val="0"/>
      <w:tabs>
        <w:tab w:val="left" w:pos="2880"/>
        <w:tab w:val="right" w:leader="dot" w:pos="9360"/>
      </w:tabs>
      <w:suppressAutoHyphens/>
      <w:ind w:left="2880" w:right="720" w:hanging="720"/>
      <w:jc w:val="both"/>
    </w:pPr>
  </w:style>
  <w:style w:type="paragraph" w:styleId="TOC5">
    <w:name w:val="toc 5"/>
    <w:basedOn w:val="Normal"/>
    <w:next w:val="Normal"/>
    <w:semiHidden/>
    <w:pPr>
      <w:widowControl w:val="0"/>
      <w:tabs>
        <w:tab w:val="left" w:pos="3600"/>
        <w:tab w:val="right" w:leader="dot" w:pos="9360"/>
      </w:tabs>
      <w:suppressAutoHyphens/>
      <w:ind w:left="3600" w:right="720" w:hanging="720"/>
      <w:jc w:val="both"/>
    </w:pPr>
  </w:style>
  <w:style w:type="paragraph" w:styleId="TOC6">
    <w:name w:val="toc 6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7">
    <w:name w:val="toc 7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8">
    <w:name w:val="toc 8"/>
    <w:basedOn w:val="Normal"/>
    <w:next w:val="Normal"/>
    <w:semiHidden/>
    <w:pPr>
      <w:widowControl w:val="0"/>
      <w:tabs>
        <w:tab w:val="left" w:leader="dot" w:pos="9360"/>
      </w:tabs>
      <w:suppressAutoHyphens/>
      <w:ind w:left="720" w:hanging="720"/>
      <w:jc w:val="both"/>
    </w:pPr>
  </w:style>
  <w:style w:type="paragraph" w:styleId="TOC9">
    <w:name w:val="toc 9"/>
    <w:basedOn w:val="Normal"/>
    <w:next w:val="Normal"/>
    <w:semiHidden/>
    <w:pPr>
      <w:tabs>
        <w:tab w:val="left" w:leader="dot" w:pos="9360"/>
      </w:tabs>
      <w:ind w:left="720" w:hanging="720"/>
      <w:jc w:val="both"/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TOAHeading">
    <w:name w:val="toa heading"/>
    <w:basedOn w:val="Normal"/>
    <w:next w:val="Normal"/>
    <w:unhideWhenUsed/>
    <w:rsid w:val="00EF0359"/>
    <w:pPr>
      <w:widowControl w:val="0"/>
      <w:tabs>
        <w:tab w:val="right" w:pos="9360"/>
      </w:tabs>
      <w:suppressAutoHyphens/>
      <w:snapToGrid w:val="0"/>
    </w:pPr>
    <w:rPr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81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1049</Characters>
  <Application>Microsoft Office Word</Application>
  <DocSecurity>0</DocSecurity>
  <Lines>79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Manager/>
  <Company/>
  <LinksUpToDate>false</LinksUpToDate>
  <CharactersWithSpaces>1221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2001-03-29T12:47:00Z</cp:lastPrinted>
  <dcterms:created xsi:type="dcterms:W3CDTF">2013-11-04T19:11:00Z</dcterms:created>
  <dcterms:modified xsi:type="dcterms:W3CDTF">2013-11-04T19:11:00Z</dcterms:modified>
  <cp:category> </cp:category>
  <cp:contentStatus> </cp:contentStatus>
</cp:coreProperties>
</file>