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79" w:rsidRDefault="00521D79" w:rsidP="00521D79">
      <w:pPr>
        <w:pStyle w:val="Title"/>
        <w:rPr>
          <w:sz w:val="24"/>
        </w:rPr>
      </w:pPr>
      <w:bookmarkStart w:id="0" w:name="_GoBack"/>
      <w:bookmarkEnd w:id="0"/>
      <w:r>
        <w:rPr>
          <w:sz w:val="24"/>
        </w:rPr>
        <w:t>Before the</w:t>
      </w:r>
    </w:p>
    <w:p w:rsidR="00521D79" w:rsidRDefault="00521D79" w:rsidP="00521D79">
      <w:pPr>
        <w:pStyle w:val="Subtitle"/>
        <w:ind w:firstLine="0"/>
        <w:rPr>
          <w:sz w:val="24"/>
        </w:rPr>
      </w:pPr>
      <w:r>
        <w:rPr>
          <w:sz w:val="24"/>
        </w:rPr>
        <w:t>Federal Communications Commission</w:t>
      </w:r>
    </w:p>
    <w:p w:rsidR="00521D79" w:rsidRDefault="00521D79" w:rsidP="00521D79">
      <w:pPr>
        <w:jc w:val="center"/>
        <w:rPr>
          <w:b/>
          <w:sz w:val="24"/>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521D79" w:rsidRDefault="00521D79" w:rsidP="00521D79">
      <w:pPr>
        <w:tabs>
          <w:tab w:val="left" w:pos="-720"/>
        </w:tabs>
        <w:suppressAutoHyphens/>
        <w:spacing w:line="227" w:lineRule="auto"/>
        <w:rPr>
          <w:spacing w:val="-2"/>
          <w:sz w:val="24"/>
        </w:rPr>
      </w:pPr>
    </w:p>
    <w:p w:rsidR="00521D79" w:rsidRDefault="00521D79" w:rsidP="00521D79">
      <w:pPr>
        <w:tabs>
          <w:tab w:val="left" w:pos="-720"/>
        </w:tabs>
        <w:suppressAutoHyphens/>
        <w:spacing w:line="227" w:lineRule="auto"/>
        <w:rPr>
          <w:spacing w:val="-2"/>
          <w:sz w:val="24"/>
        </w:rPr>
      </w:pPr>
    </w:p>
    <w:tbl>
      <w:tblPr>
        <w:tblW w:w="0" w:type="auto"/>
        <w:tblLayout w:type="fixed"/>
        <w:tblLook w:val="0000" w:firstRow="0" w:lastRow="0" w:firstColumn="0" w:lastColumn="0" w:noHBand="0" w:noVBand="0"/>
      </w:tblPr>
      <w:tblGrid>
        <w:gridCol w:w="4698"/>
        <w:gridCol w:w="630"/>
        <w:gridCol w:w="4248"/>
      </w:tblGrid>
      <w:tr w:rsidR="00521D79" w:rsidTr="00C355BA">
        <w:tc>
          <w:tcPr>
            <w:tcW w:w="4698" w:type="dxa"/>
          </w:tcPr>
          <w:p w:rsidR="00521D79" w:rsidRDefault="00521D79" w:rsidP="00C355BA">
            <w:pPr>
              <w:pStyle w:val="TOAHeading"/>
              <w:tabs>
                <w:tab w:val="clear" w:pos="9360"/>
                <w:tab w:val="center" w:pos="4680"/>
              </w:tabs>
              <w:rPr>
                <w:spacing w:val="-2"/>
                <w:sz w:val="24"/>
              </w:rPr>
            </w:pPr>
            <w:r>
              <w:rPr>
                <w:spacing w:val="-2"/>
                <w:sz w:val="24"/>
              </w:rPr>
              <w:t>In the Matter of</w:t>
            </w:r>
          </w:p>
          <w:p w:rsidR="00521D79" w:rsidRDefault="00521D79" w:rsidP="00C355BA">
            <w:pPr>
              <w:tabs>
                <w:tab w:val="center" w:pos="4680"/>
              </w:tabs>
              <w:suppressAutoHyphens/>
              <w:rPr>
                <w:spacing w:val="-2"/>
                <w:sz w:val="24"/>
              </w:rPr>
            </w:pPr>
          </w:p>
          <w:p w:rsidR="00521D79" w:rsidRPr="009442B8" w:rsidRDefault="003C6412" w:rsidP="00C355BA">
            <w:pPr>
              <w:rPr>
                <w:sz w:val="24"/>
                <w:szCs w:val="24"/>
              </w:rPr>
            </w:pPr>
            <w:r>
              <w:rPr>
                <w:sz w:val="24"/>
                <w:szCs w:val="24"/>
              </w:rPr>
              <w:t>U.S. Telecom Long Distance, Inc.</w:t>
            </w:r>
          </w:p>
          <w:p w:rsidR="009442B8" w:rsidRPr="005919F9" w:rsidRDefault="009442B8" w:rsidP="00C355BA"/>
          <w:p w:rsidR="00521D79" w:rsidRDefault="00521D79" w:rsidP="00C355BA">
            <w:pPr>
              <w:pStyle w:val="TOAHeading"/>
              <w:tabs>
                <w:tab w:val="clear" w:pos="9360"/>
                <w:tab w:val="center" w:pos="4680"/>
              </w:tabs>
              <w:rPr>
                <w:sz w:val="24"/>
              </w:rPr>
            </w:pPr>
            <w:r>
              <w:rPr>
                <w:sz w:val="24"/>
              </w:rPr>
              <w:t xml:space="preserve">Complaint Regarding </w:t>
            </w:r>
          </w:p>
          <w:p w:rsidR="00521D79" w:rsidRDefault="00521D79" w:rsidP="00C355BA">
            <w:pPr>
              <w:pStyle w:val="TOAHeading"/>
              <w:tabs>
                <w:tab w:val="clear" w:pos="9360"/>
                <w:tab w:val="center" w:pos="4680"/>
              </w:tabs>
              <w:rPr>
                <w:sz w:val="24"/>
              </w:rPr>
            </w:pPr>
            <w:r>
              <w:rPr>
                <w:sz w:val="24"/>
              </w:rPr>
              <w:t>Unauthorized Change of</w:t>
            </w:r>
          </w:p>
          <w:p w:rsidR="00521D79" w:rsidRDefault="00521D79" w:rsidP="00C355BA">
            <w:pPr>
              <w:pStyle w:val="TOAHeading"/>
              <w:tabs>
                <w:tab w:val="clear" w:pos="9360"/>
                <w:tab w:val="center" w:pos="4680"/>
              </w:tabs>
              <w:rPr>
                <w:sz w:val="24"/>
              </w:rPr>
            </w:pPr>
            <w:r>
              <w:rPr>
                <w:sz w:val="24"/>
              </w:rPr>
              <w:t>Subscriber’s Telecommunications Carrier</w:t>
            </w:r>
          </w:p>
        </w:tc>
        <w:tc>
          <w:tcPr>
            <w:tcW w:w="630" w:type="dxa"/>
          </w:tcPr>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b/>
                <w:spacing w:val="-2"/>
                <w:sz w:val="24"/>
              </w:rPr>
            </w:pPr>
            <w:r>
              <w:rPr>
                <w:b/>
                <w:spacing w:val="-2"/>
                <w:sz w:val="24"/>
              </w:rPr>
              <w:t>)</w:t>
            </w:r>
          </w:p>
          <w:p w:rsidR="00521D79" w:rsidRDefault="00521D79" w:rsidP="00C355BA">
            <w:pPr>
              <w:tabs>
                <w:tab w:val="center" w:pos="4680"/>
              </w:tabs>
              <w:suppressAutoHyphens/>
              <w:rPr>
                <w:spacing w:val="-2"/>
                <w:sz w:val="24"/>
              </w:rPr>
            </w:pPr>
            <w:r>
              <w:rPr>
                <w:b/>
                <w:spacing w:val="-2"/>
                <w:sz w:val="24"/>
              </w:rPr>
              <w:t>)</w:t>
            </w:r>
          </w:p>
        </w:tc>
        <w:tc>
          <w:tcPr>
            <w:tcW w:w="4248" w:type="dxa"/>
          </w:tcPr>
          <w:p w:rsidR="00521D79" w:rsidRDefault="00521D79" w:rsidP="00C355BA">
            <w:pPr>
              <w:tabs>
                <w:tab w:val="center" w:pos="4680"/>
              </w:tabs>
              <w:suppressAutoHyphens/>
              <w:rPr>
                <w:spacing w:val="-2"/>
                <w:sz w:val="24"/>
              </w:rPr>
            </w:pPr>
          </w:p>
          <w:p w:rsidR="00521D79" w:rsidRDefault="00521D79" w:rsidP="00C355BA">
            <w:pPr>
              <w:tabs>
                <w:tab w:val="center" w:pos="4680"/>
              </w:tabs>
              <w:suppressAutoHyphens/>
              <w:rPr>
                <w:spacing w:val="-2"/>
                <w:sz w:val="24"/>
              </w:rPr>
            </w:pPr>
          </w:p>
          <w:p w:rsidR="00521D79" w:rsidRDefault="00521D79" w:rsidP="003C6412">
            <w:pPr>
              <w:pStyle w:val="TOAHeading"/>
              <w:tabs>
                <w:tab w:val="clear" w:pos="9360"/>
                <w:tab w:val="center" w:pos="4680"/>
              </w:tabs>
              <w:rPr>
                <w:spacing w:val="-2"/>
                <w:sz w:val="24"/>
              </w:rPr>
            </w:pPr>
            <w:r>
              <w:rPr>
                <w:spacing w:val="-2"/>
                <w:sz w:val="24"/>
              </w:rPr>
              <w:t xml:space="preserve">IC No. </w:t>
            </w:r>
            <w:r w:rsidR="006D03CC">
              <w:rPr>
                <w:spacing w:val="-2"/>
                <w:sz w:val="24"/>
              </w:rPr>
              <w:t xml:space="preserve"> </w:t>
            </w:r>
            <w:r w:rsidR="003C6412">
              <w:rPr>
                <w:spacing w:val="-2"/>
                <w:sz w:val="24"/>
              </w:rPr>
              <w:t>12</w:t>
            </w:r>
            <w:r w:rsidR="00151B44">
              <w:rPr>
                <w:spacing w:val="-2"/>
                <w:sz w:val="24"/>
              </w:rPr>
              <w:t>-S0</w:t>
            </w:r>
            <w:r w:rsidR="00CC6519">
              <w:rPr>
                <w:spacing w:val="-2"/>
                <w:sz w:val="24"/>
              </w:rPr>
              <w:t>0</w:t>
            </w:r>
            <w:r w:rsidR="003C6412">
              <w:rPr>
                <w:spacing w:val="-2"/>
                <w:sz w:val="24"/>
              </w:rPr>
              <w:t>3455</w:t>
            </w:r>
          </w:p>
        </w:tc>
      </w:tr>
    </w:tbl>
    <w:p w:rsidR="00521D79" w:rsidRDefault="00521D79" w:rsidP="00521D79">
      <w:pPr>
        <w:tabs>
          <w:tab w:val="left" w:pos="-720"/>
        </w:tabs>
        <w:suppressAutoHyphens/>
        <w:spacing w:line="227" w:lineRule="auto"/>
        <w:rPr>
          <w:spacing w:val="-2"/>
          <w:sz w:val="24"/>
        </w:rPr>
      </w:pPr>
    </w:p>
    <w:p w:rsidR="00521D79" w:rsidRDefault="0048241E" w:rsidP="00521D79">
      <w:pPr>
        <w:jc w:val="center"/>
        <w:rPr>
          <w:b/>
          <w:sz w:val="24"/>
        </w:rPr>
      </w:pPr>
      <w:r>
        <w:rPr>
          <w:b/>
          <w:sz w:val="24"/>
        </w:rPr>
        <w:t>ERRATUM</w:t>
      </w:r>
    </w:p>
    <w:p w:rsidR="00521D79" w:rsidRDefault="00521D79" w:rsidP="00521D79">
      <w:pPr>
        <w:tabs>
          <w:tab w:val="left" w:pos="-720"/>
        </w:tabs>
        <w:suppressAutoHyphens/>
        <w:spacing w:line="227" w:lineRule="auto"/>
        <w:ind w:left="720"/>
        <w:rPr>
          <w:spacing w:val="-2"/>
          <w:sz w:val="24"/>
        </w:rPr>
      </w:pPr>
    </w:p>
    <w:p w:rsidR="00521D79" w:rsidRDefault="00A740F1" w:rsidP="00FE2016">
      <w:pPr>
        <w:tabs>
          <w:tab w:val="right" w:pos="9360"/>
        </w:tabs>
        <w:suppressAutoHyphens/>
        <w:spacing w:line="227" w:lineRule="auto"/>
        <w:jc w:val="left"/>
        <w:rPr>
          <w:spacing w:val="-2"/>
          <w:sz w:val="24"/>
        </w:rPr>
      </w:pPr>
      <w:r>
        <w:rPr>
          <w:b/>
          <w:spacing w:val="-2"/>
          <w:sz w:val="24"/>
        </w:rPr>
        <w:tab/>
      </w:r>
      <w:r w:rsidR="00521D79">
        <w:rPr>
          <w:b/>
          <w:spacing w:val="-2"/>
          <w:sz w:val="24"/>
        </w:rPr>
        <w:t xml:space="preserve">Released: </w:t>
      </w:r>
      <w:r w:rsidR="003C6412">
        <w:rPr>
          <w:b/>
          <w:spacing w:val="-2"/>
          <w:sz w:val="24"/>
        </w:rPr>
        <w:t xml:space="preserve"> </w:t>
      </w:r>
      <w:r w:rsidR="00FE2016">
        <w:rPr>
          <w:b/>
          <w:spacing w:val="-2"/>
          <w:sz w:val="24"/>
        </w:rPr>
        <w:t>December 20</w:t>
      </w:r>
      <w:r w:rsidR="009442B8">
        <w:rPr>
          <w:b/>
          <w:spacing w:val="-2"/>
          <w:sz w:val="24"/>
        </w:rPr>
        <w:t>, 201</w:t>
      </w:r>
      <w:r w:rsidR="003C6412">
        <w:rPr>
          <w:b/>
          <w:spacing w:val="-2"/>
          <w:sz w:val="24"/>
        </w:rPr>
        <w:t>3</w:t>
      </w:r>
    </w:p>
    <w:p w:rsidR="00521D79" w:rsidRDefault="00521D79" w:rsidP="00521D79">
      <w:pPr>
        <w:rPr>
          <w:sz w:val="24"/>
        </w:rPr>
      </w:pPr>
    </w:p>
    <w:p w:rsidR="00521D79" w:rsidRDefault="00521D79" w:rsidP="00521D79">
      <w:pPr>
        <w:rPr>
          <w:sz w:val="24"/>
        </w:rPr>
      </w:pPr>
      <w:r>
        <w:rPr>
          <w:sz w:val="24"/>
        </w:rPr>
        <w:t xml:space="preserve">By the Deputy Chief, </w:t>
      </w:r>
      <w:r w:rsidR="004A5FD4">
        <w:rPr>
          <w:sz w:val="24"/>
        </w:rPr>
        <w:t xml:space="preserve">Consumer Policy Division, </w:t>
      </w:r>
      <w:r>
        <w:rPr>
          <w:sz w:val="24"/>
        </w:rPr>
        <w:t>Consumer &amp; Governmental Affairs Bureau:</w:t>
      </w:r>
    </w:p>
    <w:p w:rsidR="00866F1D" w:rsidRDefault="00866F1D" w:rsidP="00521D79">
      <w:pPr>
        <w:rPr>
          <w:sz w:val="24"/>
        </w:rPr>
      </w:pPr>
    </w:p>
    <w:p w:rsidR="0094052D" w:rsidRPr="008B3880" w:rsidRDefault="00A740F1" w:rsidP="00FE2016">
      <w:pPr>
        <w:jc w:val="left"/>
        <w:rPr>
          <w:kern w:val="0"/>
          <w:sz w:val="24"/>
          <w:szCs w:val="24"/>
        </w:rPr>
      </w:pPr>
      <w:r>
        <w:rPr>
          <w:sz w:val="24"/>
        </w:rPr>
        <w:t xml:space="preserve"> </w:t>
      </w:r>
      <w:r>
        <w:rPr>
          <w:sz w:val="24"/>
        </w:rPr>
        <w:tab/>
      </w:r>
      <w:r w:rsidR="00866F1D">
        <w:rPr>
          <w:sz w:val="24"/>
        </w:rPr>
        <w:t xml:space="preserve">On </w:t>
      </w:r>
      <w:r w:rsidR="003C6412">
        <w:rPr>
          <w:sz w:val="24"/>
        </w:rPr>
        <w:t>December 13, 2013</w:t>
      </w:r>
      <w:r w:rsidR="00866F1D">
        <w:rPr>
          <w:sz w:val="24"/>
        </w:rPr>
        <w:t xml:space="preserve">, the Consumer &amp; Governmental Affairs Bureau released an </w:t>
      </w:r>
      <w:r w:rsidR="00866F1D" w:rsidRPr="00FE2016">
        <w:rPr>
          <w:i/>
          <w:sz w:val="24"/>
        </w:rPr>
        <w:t>Order</w:t>
      </w:r>
      <w:r w:rsidR="00866F1D">
        <w:rPr>
          <w:sz w:val="24"/>
        </w:rPr>
        <w:t xml:space="preserve">, DA </w:t>
      </w:r>
      <w:r w:rsidR="003C6412">
        <w:rPr>
          <w:sz w:val="24"/>
        </w:rPr>
        <w:t>13</w:t>
      </w:r>
      <w:r w:rsidR="00866F1D">
        <w:rPr>
          <w:sz w:val="24"/>
        </w:rPr>
        <w:t>-</w:t>
      </w:r>
      <w:r w:rsidR="003C6412">
        <w:rPr>
          <w:sz w:val="24"/>
        </w:rPr>
        <w:t>2380</w:t>
      </w:r>
      <w:r w:rsidR="00866F1D">
        <w:rPr>
          <w:sz w:val="24"/>
        </w:rPr>
        <w:t xml:space="preserve">, in the above captioned proceeding.  This Erratum corrects </w:t>
      </w:r>
      <w:r>
        <w:rPr>
          <w:sz w:val="24"/>
        </w:rPr>
        <w:t>p</w:t>
      </w:r>
      <w:r w:rsidR="0094052D">
        <w:rPr>
          <w:sz w:val="24"/>
        </w:rPr>
        <w:t xml:space="preserve">aragraph </w:t>
      </w:r>
      <w:r w:rsidR="003C6412">
        <w:rPr>
          <w:sz w:val="24"/>
        </w:rPr>
        <w:t>4</w:t>
      </w:r>
      <w:r w:rsidR="0094052D">
        <w:rPr>
          <w:sz w:val="24"/>
        </w:rPr>
        <w:t xml:space="preserve"> </w:t>
      </w:r>
      <w:r w:rsidR="004C37C1">
        <w:rPr>
          <w:sz w:val="24"/>
        </w:rPr>
        <w:t xml:space="preserve">of the </w:t>
      </w:r>
      <w:r w:rsidR="004C37C1" w:rsidRPr="00FE2016">
        <w:rPr>
          <w:i/>
          <w:sz w:val="24"/>
        </w:rPr>
        <w:t>Order</w:t>
      </w:r>
      <w:r w:rsidR="004C37C1">
        <w:rPr>
          <w:sz w:val="24"/>
        </w:rPr>
        <w:t xml:space="preserve"> </w:t>
      </w:r>
      <w:r>
        <w:rPr>
          <w:sz w:val="24"/>
        </w:rPr>
        <w:t xml:space="preserve">to </w:t>
      </w:r>
      <w:r w:rsidR="0094052D">
        <w:rPr>
          <w:sz w:val="24"/>
        </w:rPr>
        <w:t>read as follows:</w:t>
      </w:r>
    </w:p>
    <w:p w:rsidR="008B3880" w:rsidRPr="0094052D" w:rsidRDefault="008B3880" w:rsidP="008B3880">
      <w:pPr>
        <w:jc w:val="left"/>
        <w:rPr>
          <w:kern w:val="0"/>
          <w:sz w:val="24"/>
          <w:szCs w:val="24"/>
        </w:rPr>
      </w:pPr>
    </w:p>
    <w:p w:rsidR="003A64F7" w:rsidRDefault="004C37C1" w:rsidP="00FE2016">
      <w:pPr>
        <w:ind w:left="720"/>
        <w:jc w:val="left"/>
        <w:rPr>
          <w:sz w:val="24"/>
        </w:rPr>
      </w:pPr>
      <w:r>
        <w:rPr>
          <w:sz w:val="24"/>
        </w:rPr>
        <w:tab/>
      </w:r>
      <w:r w:rsidR="00A740F1">
        <w:rPr>
          <w:sz w:val="24"/>
        </w:rPr>
        <w:t>“</w:t>
      </w:r>
      <w:r w:rsidR="003A64F7">
        <w:rPr>
          <w:sz w:val="24"/>
        </w:rPr>
        <w:t xml:space="preserve">We received Complainant’s complaint on July 16, 2012, alleging that Complainant’s telecommunications service provider had been changed to U.S. Telecom without Complainant’s authorization.  Pursuant to Sections 1.719 and 64.1150 of the Commission’s rules we notified U.S. Telecom of the complaint and U.S. Telecom responded on August 17, 2012.  U.S. Telecom states that authorization was received and confirmed through third party verification (TPV).  The Commission’s rules require that the verification elicit, amongst other things, confirmation that the person on the call is “authorized to make the carrier change.”  In the TPV at issue in this case, the verifier instead asks the person on the call, “Do you have the authority to make changes to your long distance service?”  A switch from one carrier to another carrier differs from merely making changes to the customer’s phone services.  As we emphasized in the </w:t>
      </w:r>
      <w:r w:rsidR="003A64F7">
        <w:rPr>
          <w:i/>
          <w:sz w:val="24"/>
        </w:rPr>
        <w:t>Fourth Report and Order,</w:t>
      </w:r>
      <w:r w:rsidR="003A64F7">
        <w:rPr>
          <w:sz w:val="24"/>
        </w:rPr>
        <w:t xml:space="preserve"> “any description of the carrier change transaction…shall not be misleading” and verifiers should convey explicitly that “the consumers will have authorized a </w:t>
      </w:r>
      <w:r w:rsidR="003A64F7">
        <w:rPr>
          <w:i/>
          <w:sz w:val="24"/>
        </w:rPr>
        <w:t>carrier</w:t>
      </w:r>
      <w:r w:rsidR="003A64F7">
        <w:rPr>
          <w:sz w:val="24"/>
        </w:rPr>
        <w:t xml:space="preserve"> change, and not, for instance, an upgrade in existing service.”  We find that U.S. Telecom’s actions were in violation of our carrier change rules, and we discuss U.S. Telecom’s liability below.</w:t>
      </w:r>
      <w:r>
        <w:rPr>
          <w:sz w:val="24"/>
        </w:rPr>
        <w:t>”</w:t>
      </w:r>
    </w:p>
    <w:p w:rsidR="003A64F7" w:rsidRDefault="003A64F7" w:rsidP="003A64F7">
      <w:pPr>
        <w:ind w:left="720"/>
        <w:jc w:val="left"/>
        <w:rPr>
          <w:sz w:val="24"/>
        </w:rPr>
      </w:pPr>
    </w:p>
    <w:p w:rsidR="00521D79" w:rsidRDefault="004C37C1" w:rsidP="00FE2016">
      <w:pPr>
        <w:ind w:right="270"/>
        <w:rPr>
          <w:sz w:val="24"/>
        </w:rPr>
      </w:pPr>
      <w:r>
        <w:rPr>
          <w:sz w:val="24"/>
        </w:rPr>
        <w:t xml:space="preserve"> </w:t>
      </w:r>
      <w:r>
        <w:rPr>
          <w:sz w:val="24"/>
        </w:rPr>
        <w:tab/>
      </w:r>
      <w:r>
        <w:rPr>
          <w:sz w:val="24"/>
        </w:rPr>
        <w:tab/>
      </w:r>
      <w:r>
        <w:rPr>
          <w:sz w:val="24"/>
        </w:rPr>
        <w:tab/>
      </w:r>
      <w:r>
        <w:rPr>
          <w:sz w:val="24"/>
        </w:rPr>
        <w:tab/>
      </w:r>
      <w:r>
        <w:rPr>
          <w:sz w:val="24"/>
        </w:rPr>
        <w:tab/>
      </w:r>
      <w:r w:rsidR="00521D79">
        <w:rPr>
          <w:sz w:val="24"/>
        </w:rPr>
        <w:t>FEDERAL COMMUNICATIONS COMMISSION</w:t>
      </w:r>
    </w:p>
    <w:p w:rsidR="00521D79" w:rsidRDefault="00521D79" w:rsidP="00521D79">
      <w:pPr>
        <w:ind w:right="270"/>
        <w:rPr>
          <w:sz w:val="24"/>
        </w:rPr>
      </w:pPr>
    </w:p>
    <w:p w:rsidR="00521D79" w:rsidRDefault="00521D79" w:rsidP="00521D79">
      <w:pPr>
        <w:ind w:right="270"/>
        <w:rPr>
          <w:sz w:val="24"/>
        </w:rPr>
      </w:pPr>
    </w:p>
    <w:p w:rsidR="00521D79" w:rsidRDefault="00521D79" w:rsidP="00521D79">
      <w:pPr>
        <w:ind w:right="270"/>
        <w:rPr>
          <w:sz w:val="24"/>
        </w:rPr>
      </w:pPr>
    </w:p>
    <w:p w:rsidR="00521D79" w:rsidRDefault="00521D79" w:rsidP="00521D79">
      <w:pPr>
        <w:ind w:right="270"/>
        <w:rPr>
          <w:sz w:val="24"/>
        </w:rPr>
      </w:pPr>
    </w:p>
    <w:p w:rsidR="00521D79" w:rsidRPr="00DF339B" w:rsidRDefault="00521D79" w:rsidP="00521D79">
      <w:pPr>
        <w:ind w:right="270"/>
        <w:rPr>
          <w:sz w:val="24"/>
          <w:szCs w:val="24"/>
        </w:rPr>
      </w:pPr>
      <w:r>
        <w:rPr>
          <w:sz w:val="24"/>
        </w:rPr>
        <w:tab/>
      </w:r>
      <w:r>
        <w:rPr>
          <w:sz w:val="24"/>
        </w:rPr>
        <w:tab/>
      </w:r>
      <w:r>
        <w:rPr>
          <w:sz w:val="24"/>
        </w:rPr>
        <w:tab/>
      </w:r>
      <w:r>
        <w:rPr>
          <w:sz w:val="24"/>
        </w:rPr>
        <w:tab/>
      </w:r>
      <w:r>
        <w:rPr>
          <w:sz w:val="24"/>
        </w:rPr>
        <w:tab/>
      </w:r>
      <w:r w:rsidR="00E33994">
        <w:rPr>
          <w:sz w:val="24"/>
        </w:rPr>
        <w:t xml:space="preserve">Nancy </w:t>
      </w:r>
      <w:r w:rsidR="00D63A66">
        <w:rPr>
          <w:sz w:val="24"/>
        </w:rPr>
        <w:t xml:space="preserve">A. </w:t>
      </w:r>
      <w:r w:rsidR="00E33994">
        <w:rPr>
          <w:sz w:val="24"/>
        </w:rPr>
        <w:t>Stevenson</w:t>
      </w:r>
      <w:r w:rsidR="00D23EC8">
        <w:rPr>
          <w:sz w:val="24"/>
          <w:szCs w:val="24"/>
        </w:rPr>
        <w:t xml:space="preserve">, </w:t>
      </w:r>
      <w:r w:rsidRPr="00DF339B">
        <w:rPr>
          <w:sz w:val="24"/>
          <w:szCs w:val="24"/>
        </w:rPr>
        <w:t>Deputy Chief</w:t>
      </w:r>
    </w:p>
    <w:p w:rsidR="00521D79" w:rsidRDefault="004C37C1" w:rsidP="00FE2016">
      <w:pPr>
        <w:ind w:right="27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21D79">
        <w:rPr>
          <w:sz w:val="24"/>
          <w:szCs w:val="24"/>
        </w:rPr>
        <w:t xml:space="preserve">Consumer </w:t>
      </w:r>
      <w:r w:rsidR="00521D79" w:rsidRPr="00DF339B">
        <w:rPr>
          <w:sz w:val="24"/>
          <w:szCs w:val="24"/>
        </w:rPr>
        <w:t>Policy Division</w:t>
      </w:r>
    </w:p>
    <w:p w:rsidR="00521D79" w:rsidRDefault="004C37C1">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21D79" w:rsidRPr="00DF339B">
        <w:rPr>
          <w:sz w:val="24"/>
          <w:szCs w:val="24"/>
        </w:rPr>
        <w:t>Consumer &amp; Governmental Affairs Bureau</w:t>
      </w:r>
    </w:p>
    <w:sectPr w:rsidR="00521D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E7" w:rsidRDefault="00FD02E7">
      <w:r>
        <w:separator/>
      </w:r>
    </w:p>
  </w:endnote>
  <w:endnote w:type="continuationSeparator" w:id="0">
    <w:p w:rsidR="00FD02E7" w:rsidRDefault="00FD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D" w:rsidRDefault="0094052D">
    <w:pPr>
      <w:pStyle w:val="Footer"/>
      <w:framePr w:wrap="around" w:vAnchor="text" w:hAnchor="margin" w:xAlign="center" w:y="1"/>
    </w:pPr>
    <w:r>
      <w:fldChar w:fldCharType="begin"/>
    </w:r>
    <w:r>
      <w:instrText xml:space="preserve">PAGE  </w:instrText>
    </w:r>
    <w:r>
      <w:fldChar w:fldCharType="end"/>
    </w:r>
  </w:p>
  <w:p w:rsidR="0094052D" w:rsidRDefault="00940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D" w:rsidRDefault="0094052D">
    <w:pPr>
      <w:pStyle w:val="Footer"/>
      <w:framePr w:wrap="around" w:vAnchor="text" w:hAnchor="margin" w:xAlign="center" w:y="1"/>
    </w:pPr>
    <w:r>
      <w:fldChar w:fldCharType="begin"/>
    </w:r>
    <w:r>
      <w:instrText xml:space="preserve">PAGE  </w:instrText>
    </w:r>
    <w:r>
      <w:fldChar w:fldCharType="separate"/>
    </w:r>
    <w:r w:rsidR="00FE2016">
      <w:rPr>
        <w:noProof/>
      </w:rPr>
      <w:t>2</w:t>
    </w:r>
    <w:r>
      <w:fldChar w:fldCharType="end"/>
    </w:r>
  </w:p>
  <w:p w:rsidR="0094052D" w:rsidRDefault="0094052D">
    <w:pPr>
      <w:spacing w:before="140" w:line="100" w:lineRule="exact"/>
      <w:rPr>
        <w:sz w:val="10"/>
      </w:rPr>
    </w:pPr>
  </w:p>
  <w:p w:rsidR="0094052D" w:rsidRDefault="009405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65" w:rsidRDefault="007F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E7" w:rsidRDefault="00FD02E7">
      <w:r>
        <w:separator/>
      </w:r>
    </w:p>
  </w:footnote>
  <w:footnote w:type="continuationSeparator" w:id="0">
    <w:p w:rsidR="00FD02E7" w:rsidRDefault="00FD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65" w:rsidRDefault="007F3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D" w:rsidRDefault="0094052D" w:rsidP="00C355BA">
    <w:pPr>
      <w:pStyle w:val="Header"/>
      <w:pBdr>
        <w:bottom w:val="single" w:sz="12" w:space="1" w:color="auto"/>
      </w:pBdr>
      <w:rPr>
        <w:b w:val="0"/>
      </w:rPr>
    </w:pPr>
    <w:r>
      <w:tab/>
      <w:t xml:space="preserve">Federal </w:t>
    </w:r>
    <w:r w:rsidR="003C6412">
      <w:t>Communications Commission</w:t>
    </w:r>
    <w:r w:rsidR="003C6412">
      <w:tab/>
      <w:t>DA 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D" w:rsidRDefault="0094052D">
    <w:pPr>
      <w:pStyle w:val="Header"/>
      <w:pBdr>
        <w:bottom w:val="single" w:sz="12" w:space="1" w:color="auto"/>
      </w:pBdr>
      <w:rPr>
        <w:b w:val="0"/>
      </w:rPr>
    </w:pP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79"/>
    <w:rsid w:val="00081741"/>
    <w:rsid w:val="000B4BD5"/>
    <w:rsid w:val="000C2D4D"/>
    <w:rsid w:val="000F5378"/>
    <w:rsid w:val="000F5ED9"/>
    <w:rsid w:val="00151B44"/>
    <w:rsid w:val="001D5E2E"/>
    <w:rsid w:val="002970B0"/>
    <w:rsid w:val="002B11AD"/>
    <w:rsid w:val="002E6349"/>
    <w:rsid w:val="00376EAE"/>
    <w:rsid w:val="003869EA"/>
    <w:rsid w:val="003A64F7"/>
    <w:rsid w:val="003C57A2"/>
    <w:rsid w:val="003C6412"/>
    <w:rsid w:val="003E7B7B"/>
    <w:rsid w:val="003F2989"/>
    <w:rsid w:val="004273A0"/>
    <w:rsid w:val="0048241E"/>
    <w:rsid w:val="00484442"/>
    <w:rsid w:val="004A37A6"/>
    <w:rsid w:val="004A5FD4"/>
    <w:rsid w:val="004B5614"/>
    <w:rsid w:val="004C37C1"/>
    <w:rsid w:val="004C7283"/>
    <w:rsid w:val="00521D79"/>
    <w:rsid w:val="00523AE2"/>
    <w:rsid w:val="00560D0D"/>
    <w:rsid w:val="00585F0E"/>
    <w:rsid w:val="0059754C"/>
    <w:rsid w:val="005B724F"/>
    <w:rsid w:val="005C2FC7"/>
    <w:rsid w:val="0065025B"/>
    <w:rsid w:val="006B4AFC"/>
    <w:rsid w:val="006D03CC"/>
    <w:rsid w:val="006E4178"/>
    <w:rsid w:val="007677BA"/>
    <w:rsid w:val="00770510"/>
    <w:rsid w:val="007923A6"/>
    <w:rsid w:val="007E45F7"/>
    <w:rsid w:val="007F3565"/>
    <w:rsid w:val="00866F1D"/>
    <w:rsid w:val="00877604"/>
    <w:rsid w:val="008B3880"/>
    <w:rsid w:val="008B48E2"/>
    <w:rsid w:val="008B6C46"/>
    <w:rsid w:val="008C0D34"/>
    <w:rsid w:val="0094052D"/>
    <w:rsid w:val="009442B8"/>
    <w:rsid w:val="0095474B"/>
    <w:rsid w:val="009E68D4"/>
    <w:rsid w:val="00A32C07"/>
    <w:rsid w:val="00A35A58"/>
    <w:rsid w:val="00A740F1"/>
    <w:rsid w:val="00AE7121"/>
    <w:rsid w:val="00B07C70"/>
    <w:rsid w:val="00B108CF"/>
    <w:rsid w:val="00B30C78"/>
    <w:rsid w:val="00B34E04"/>
    <w:rsid w:val="00B60F96"/>
    <w:rsid w:val="00C355BA"/>
    <w:rsid w:val="00C37EFA"/>
    <w:rsid w:val="00C65A1E"/>
    <w:rsid w:val="00C745E4"/>
    <w:rsid w:val="00C7482C"/>
    <w:rsid w:val="00CC2D4A"/>
    <w:rsid w:val="00CC6519"/>
    <w:rsid w:val="00CE6CBB"/>
    <w:rsid w:val="00D05652"/>
    <w:rsid w:val="00D07906"/>
    <w:rsid w:val="00D23EC8"/>
    <w:rsid w:val="00D44C77"/>
    <w:rsid w:val="00D45F95"/>
    <w:rsid w:val="00D63A66"/>
    <w:rsid w:val="00DD1D34"/>
    <w:rsid w:val="00E33994"/>
    <w:rsid w:val="00E44DBA"/>
    <w:rsid w:val="00F27B91"/>
    <w:rsid w:val="00F833D5"/>
    <w:rsid w:val="00FC7FE6"/>
    <w:rsid w:val="00FD02E7"/>
    <w:rsid w:val="00FE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D79"/>
    <w:pPr>
      <w:widowControl w:val="0"/>
      <w:jc w:val="both"/>
    </w:pPr>
    <w:rPr>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rsid w:val="00521D79"/>
    <w:pPr>
      <w:tabs>
        <w:tab w:val="left" w:pos="720"/>
        <w:tab w:val="left" w:pos="1440"/>
      </w:tabs>
      <w:spacing w:after="200"/>
      <w:ind w:right="144"/>
    </w:pPr>
  </w:style>
  <w:style w:type="character" w:styleId="FootnoteReference">
    <w:name w:val="footnote reference"/>
    <w:semiHidden/>
    <w:rsid w:val="00521D79"/>
    <w:rPr>
      <w:rFonts w:ascii="Times New Roman" w:hAnsi="Times New Roman"/>
      <w:dstrike w:val="0"/>
      <w:color w:val="auto"/>
      <w:sz w:val="22"/>
      <w:vertAlign w:val="superscript"/>
    </w:rPr>
  </w:style>
  <w:style w:type="paragraph" w:styleId="TOAHeading">
    <w:name w:val="toa heading"/>
    <w:basedOn w:val="Normal"/>
    <w:next w:val="Normal"/>
    <w:semiHidden/>
    <w:rsid w:val="00521D79"/>
    <w:pPr>
      <w:tabs>
        <w:tab w:val="right" w:pos="9360"/>
      </w:tabs>
      <w:suppressAutoHyphens/>
    </w:pPr>
  </w:style>
  <w:style w:type="paragraph" w:styleId="Header">
    <w:name w:val="header"/>
    <w:basedOn w:val="Normal"/>
    <w:autoRedefine/>
    <w:rsid w:val="00521D79"/>
    <w:pPr>
      <w:tabs>
        <w:tab w:val="center" w:pos="4680"/>
        <w:tab w:val="right" w:pos="9360"/>
      </w:tabs>
    </w:pPr>
    <w:rPr>
      <w:b/>
    </w:rPr>
  </w:style>
  <w:style w:type="paragraph" w:styleId="Footer">
    <w:name w:val="footer"/>
    <w:basedOn w:val="Normal"/>
    <w:rsid w:val="00521D79"/>
    <w:pPr>
      <w:tabs>
        <w:tab w:val="center" w:pos="4320"/>
        <w:tab w:val="right" w:pos="8640"/>
      </w:tabs>
    </w:pPr>
  </w:style>
  <w:style w:type="paragraph" w:styleId="Title">
    <w:name w:val="Title"/>
    <w:basedOn w:val="Normal"/>
    <w:qFormat/>
    <w:rsid w:val="00521D79"/>
    <w:pPr>
      <w:jc w:val="center"/>
    </w:pPr>
    <w:rPr>
      <w:b/>
    </w:rPr>
  </w:style>
  <w:style w:type="paragraph" w:styleId="Subtitle">
    <w:name w:val="Subtitle"/>
    <w:basedOn w:val="Normal"/>
    <w:qFormat/>
    <w:rsid w:val="00521D79"/>
    <w:pPr>
      <w:ind w:firstLine="720"/>
      <w:jc w:val="center"/>
    </w:pPr>
    <w:rPr>
      <w:b/>
    </w:rPr>
  </w:style>
  <w:style w:type="character" w:customStyle="1" w:styleId="FootnoteTextChar">
    <w:name w:val="Footnote Text Char"/>
    <w:link w:val="FootnoteText"/>
    <w:semiHidden/>
    <w:rsid w:val="003A64F7"/>
  </w:style>
  <w:style w:type="paragraph" w:styleId="BalloonText">
    <w:name w:val="Balloon Text"/>
    <w:basedOn w:val="Normal"/>
    <w:link w:val="BalloonTextChar"/>
    <w:rsid w:val="00A740F1"/>
    <w:rPr>
      <w:rFonts w:ascii="Tahoma" w:hAnsi="Tahoma" w:cs="Tahoma"/>
      <w:sz w:val="16"/>
      <w:szCs w:val="16"/>
    </w:rPr>
  </w:style>
  <w:style w:type="character" w:customStyle="1" w:styleId="BalloonTextChar">
    <w:name w:val="Balloon Text Char"/>
    <w:basedOn w:val="DefaultParagraphFont"/>
    <w:link w:val="BalloonText"/>
    <w:rsid w:val="00A740F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D79"/>
    <w:pPr>
      <w:widowControl w:val="0"/>
      <w:jc w:val="both"/>
    </w:pPr>
    <w:rPr>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rsid w:val="00521D79"/>
    <w:pPr>
      <w:tabs>
        <w:tab w:val="left" w:pos="720"/>
        <w:tab w:val="left" w:pos="1440"/>
      </w:tabs>
      <w:spacing w:after="200"/>
      <w:ind w:right="144"/>
    </w:pPr>
  </w:style>
  <w:style w:type="character" w:styleId="FootnoteReference">
    <w:name w:val="footnote reference"/>
    <w:semiHidden/>
    <w:rsid w:val="00521D79"/>
    <w:rPr>
      <w:rFonts w:ascii="Times New Roman" w:hAnsi="Times New Roman"/>
      <w:dstrike w:val="0"/>
      <w:color w:val="auto"/>
      <w:sz w:val="22"/>
      <w:vertAlign w:val="superscript"/>
    </w:rPr>
  </w:style>
  <w:style w:type="paragraph" w:styleId="TOAHeading">
    <w:name w:val="toa heading"/>
    <w:basedOn w:val="Normal"/>
    <w:next w:val="Normal"/>
    <w:semiHidden/>
    <w:rsid w:val="00521D79"/>
    <w:pPr>
      <w:tabs>
        <w:tab w:val="right" w:pos="9360"/>
      </w:tabs>
      <w:suppressAutoHyphens/>
    </w:pPr>
  </w:style>
  <w:style w:type="paragraph" w:styleId="Header">
    <w:name w:val="header"/>
    <w:basedOn w:val="Normal"/>
    <w:autoRedefine/>
    <w:rsid w:val="00521D79"/>
    <w:pPr>
      <w:tabs>
        <w:tab w:val="center" w:pos="4680"/>
        <w:tab w:val="right" w:pos="9360"/>
      </w:tabs>
    </w:pPr>
    <w:rPr>
      <w:b/>
    </w:rPr>
  </w:style>
  <w:style w:type="paragraph" w:styleId="Footer">
    <w:name w:val="footer"/>
    <w:basedOn w:val="Normal"/>
    <w:rsid w:val="00521D79"/>
    <w:pPr>
      <w:tabs>
        <w:tab w:val="center" w:pos="4320"/>
        <w:tab w:val="right" w:pos="8640"/>
      </w:tabs>
    </w:pPr>
  </w:style>
  <w:style w:type="paragraph" w:styleId="Title">
    <w:name w:val="Title"/>
    <w:basedOn w:val="Normal"/>
    <w:qFormat/>
    <w:rsid w:val="00521D79"/>
    <w:pPr>
      <w:jc w:val="center"/>
    </w:pPr>
    <w:rPr>
      <w:b/>
    </w:rPr>
  </w:style>
  <w:style w:type="paragraph" w:styleId="Subtitle">
    <w:name w:val="Subtitle"/>
    <w:basedOn w:val="Normal"/>
    <w:qFormat/>
    <w:rsid w:val="00521D79"/>
    <w:pPr>
      <w:ind w:firstLine="720"/>
      <w:jc w:val="center"/>
    </w:pPr>
    <w:rPr>
      <w:b/>
    </w:rPr>
  </w:style>
  <w:style w:type="character" w:customStyle="1" w:styleId="FootnoteTextChar">
    <w:name w:val="Footnote Text Char"/>
    <w:link w:val="FootnoteText"/>
    <w:semiHidden/>
    <w:rsid w:val="003A64F7"/>
  </w:style>
  <w:style w:type="paragraph" w:styleId="BalloonText">
    <w:name w:val="Balloon Text"/>
    <w:basedOn w:val="Normal"/>
    <w:link w:val="BalloonTextChar"/>
    <w:rsid w:val="00A740F1"/>
    <w:rPr>
      <w:rFonts w:ascii="Tahoma" w:hAnsi="Tahoma" w:cs="Tahoma"/>
      <w:sz w:val="16"/>
      <w:szCs w:val="16"/>
    </w:rPr>
  </w:style>
  <w:style w:type="character" w:customStyle="1" w:styleId="BalloonTextChar">
    <w:name w:val="Balloon Text Char"/>
    <w:basedOn w:val="DefaultParagraphFont"/>
    <w:link w:val="BalloonText"/>
    <w:rsid w:val="00A740F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1687</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2013-12-19T21:21:00Z</cp:lastPrinted>
  <dcterms:created xsi:type="dcterms:W3CDTF">2013-12-20T14:35:00Z</dcterms:created>
  <dcterms:modified xsi:type="dcterms:W3CDTF">2013-12-20T14:35:00Z</dcterms:modified>
  <cp:category> </cp:category>
  <cp:contentStatus> </cp:contentStatus>
</cp:coreProperties>
</file>