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B8" w:rsidRPr="00B86E51" w:rsidRDefault="00923BBE" w:rsidP="0076708E">
      <w:pPr>
        <w:pStyle w:val="Body"/>
        <w:keepLines/>
        <w:spacing w:after="0"/>
        <w:jc w:val="center"/>
        <w:rPr>
          <w:rFonts w:ascii="Times New Roman" w:hAnsi="Times New Roman" w:cs="Times New Roman"/>
          <w:b/>
        </w:rPr>
      </w:pPr>
      <w:bookmarkStart w:id="0" w:name="_GoBack"/>
      <w:bookmarkEnd w:id="0"/>
      <w:r w:rsidRPr="00B86E51">
        <w:rPr>
          <w:rFonts w:ascii="Times New Roman" w:hAnsi="Times New Roman" w:cs="Times New Roman"/>
          <w:b/>
        </w:rPr>
        <w:t>PREPARED REMARKS OF JON SALLET</w:t>
      </w:r>
    </w:p>
    <w:p w:rsidR="00801AB8" w:rsidRPr="00B86E51" w:rsidRDefault="00923BBE" w:rsidP="0076708E">
      <w:pPr>
        <w:pStyle w:val="Body"/>
        <w:keepLines/>
        <w:spacing w:after="0"/>
        <w:jc w:val="center"/>
        <w:rPr>
          <w:rFonts w:ascii="Times New Roman" w:hAnsi="Times New Roman" w:cs="Times New Roman"/>
          <w:b/>
        </w:rPr>
      </w:pPr>
      <w:r w:rsidRPr="00B86E51">
        <w:rPr>
          <w:rFonts w:ascii="Times New Roman" w:hAnsi="Times New Roman" w:cs="Times New Roman"/>
          <w:b/>
        </w:rPr>
        <w:t>ACTING GENERAL COUNSEL, FEDERAL COMMUNICATIONS COMMISSION</w:t>
      </w:r>
    </w:p>
    <w:p w:rsidR="00B86E51" w:rsidRPr="00B86E51" w:rsidRDefault="00B86E51" w:rsidP="0076708E">
      <w:pPr>
        <w:pStyle w:val="Body"/>
        <w:keepLines/>
        <w:spacing w:after="0"/>
        <w:jc w:val="center"/>
        <w:rPr>
          <w:rFonts w:ascii="Times New Roman" w:hAnsi="Times New Roman" w:cs="Times New Roman"/>
        </w:rPr>
      </w:pPr>
    </w:p>
    <w:p w:rsidR="00801AB8" w:rsidRPr="00B86E51" w:rsidRDefault="00923BBE" w:rsidP="0076708E">
      <w:pPr>
        <w:pStyle w:val="Body"/>
        <w:keepLines/>
        <w:spacing w:after="0"/>
        <w:jc w:val="center"/>
        <w:rPr>
          <w:rFonts w:ascii="Times New Roman" w:hAnsi="Times New Roman" w:cs="Times New Roman"/>
        </w:rPr>
      </w:pPr>
      <w:r w:rsidRPr="00B86E51">
        <w:rPr>
          <w:rFonts w:ascii="Times New Roman" w:hAnsi="Times New Roman" w:cs="Times New Roman"/>
        </w:rPr>
        <w:t xml:space="preserve">"The Evolution of Communications Policy: </w:t>
      </w:r>
      <w:r w:rsidR="00BF4C17" w:rsidRPr="00B86E51">
        <w:rPr>
          <w:rFonts w:ascii="Times New Roman" w:hAnsi="Times New Roman" w:cs="Times New Roman"/>
        </w:rPr>
        <w:br/>
      </w:r>
      <w:r w:rsidRPr="00B86E51">
        <w:rPr>
          <w:rFonts w:ascii="Times New Roman" w:hAnsi="Times New Roman" w:cs="Times New Roman"/>
        </w:rPr>
        <w:t>Fresh Thinking for 2014 and Beyond"</w:t>
      </w:r>
    </w:p>
    <w:p w:rsidR="00801AB8" w:rsidRDefault="00923BBE" w:rsidP="0076708E">
      <w:pPr>
        <w:pStyle w:val="Body"/>
        <w:keepLines/>
        <w:spacing w:after="0"/>
        <w:jc w:val="center"/>
        <w:rPr>
          <w:rFonts w:ascii="Times New Roman" w:hAnsi="Times New Roman" w:cs="Times New Roman"/>
        </w:rPr>
      </w:pPr>
      <w:r w:rsidRPr="00B86E51">
        <w:rPr>
          <w:rFonts w:ascii="Times New Roman" w:hAnsi="Times New Roman" w:cs="Times New Roman"/>
        </w:rPr>
        <w:t>Georgetown Center for Business and Public Policy</w:t>
      </w:r>
      <w:r w:rsidR="00BF4C17" w:rsidRPr="00B86E51">
        <w:rPr>
          <w:rFonts w:ascii="Times New Roman" w:hAnsi="Times New Roman" w:cs="Times New Roman"/>
        </w:rPr>
        <w:br/>
      </w:r>
      <w:r w:rsidRPr="00B86E51">
        <w:rPr>
          <w:rFonts w:ascii="Times New Roman" w:hAnsi="Times New Roman" w:cs="Times New Roman"/>
        </w:rPr>
        <w:t>McDonough School of Business</w:t>
      </w:r>
    </w:p>
    <w:p w:rsidR="005D039A" w:rsidRPr="00B86E51" w:rsidRDefault="005D039A" w:rsidP="005D039A">
      <w:pPr>
        <w:pStyle w:val="Body"/>
        <w:keepLines/>
        <w:spacing w:after="0"/>
        <w:jc w:val="center"/>
        <w:rPr>
          <w:rFonts w:ascii="Times New Roman" w:hAnsi="Times New Roman" w:cs="Times New Roman"/>
        </w:rPr>
      </w:pPr>
      <w:r>
        <w:rPr>
          <w:rFonts w:ascii="Times New Roman" w:hAnsi="Times New Roman" w:cs="Times New Roman"/>
        </w:rPr>
        <w:t>National Press Club, Washington, D.C.</w:t>
      </w:r>
    </w:p>
    <w:p w:rsidR="00801AB8" w:rsidRPr="00B86E51" w:rsidRDefault="002504D0" w:rsidP="0076708E">
      <w:pPr>
        <w:pStyle w:val="Body"/>
        <w:keepLines/>
        <w:spacing w:after="0"/>
        <w:jc w:val="center"/>
        <w:rPr>
          <w:rFonts w:ascii="Times New Roman" w:hAnsi="Times New Roman" w:cs="Times New Roman"/>
        </w:rPr>
      </w:pPr>
      <w:r w:rsidRPr="00B86E51">
        <w:rPr>
          <w:rFonts w:ascii="Times New Roman" w:hAnsi="Times New Roman" w:cs="Times New Roman"/>
        </w:rPr>
        <w:t xml:space="preserve">March </w:t>
      </w:r>
      <w:r w:rsidR="00A055CD" w:rsidRPr="00B86E51">
        <w:rPr>
          <w:rFonts w:ascii="Times New Roman" w:hAnsi="Times New Roman" w:cs="Times New Roman"/>
        </w:rPr>
        <w:t>12</w:t>
      </w:r>
      <w:r w:rsidR="00923BBE" w:rsidRPr="00B86E51">
        <w:rPr>
          <w:rFonts w:ascii="Times New Roman" w:hAnsi="Times New Roman" w:cs="Times New Roman"/>
        </w:rPr>
        <w:t>, 2014</w:t>
      </w:r>
    </w:p>
    <w:p w:rsidR="00801AB8" w:rsidRPr="00B86E51" w:rsidRDefault="00801AB8" w:rsidP="0076708E">
      <w:pPr>
        <w:pStyle w:val="Body"/>
        <w:keepLines/>
        <w:rPr>
          <w:rFonts w:ascii="Times New Roman" w:hAnsi="Times New Roman" w:cs="Times New Roman"/>
        </w:rPr>
      </w:pP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Thank you for that introduction, and thank you to John Mayo for inviting me to be here </w:t>
      </w:r>
      <w:r w:rsidR="005A66FC" w:rsidRPr="00B86E51">
        <w:rPr>
          <w:rFonts w:ascii="Times New Roman" w:hAnsi="Times New Roman" w:cs="Times New Roman"/>
        </w:rPr>
        <w:t>back in February</w:t>
      </w:r>
      <w:r w:rsidR="002712FF" w:rsidRPr="00B86E51">
        <w:rPr>
          <w:rFonts w:ascii="Times New Roman" w:hAnsi="Times New Roman" w:cs="Times New Roman"/>
        </w:rPr>
        <w:t>, when it snowed,</w:t>
      </w:r>
      <w:r w:rsidR="005A66FC" w:rsidRPr="00B86E51">
        <w:rPr>
          <w:rFonts w:ascii="Times New Roman" w:hAnsi="Times New Roman" w:cs="Times New Roman"/>
        </w:rPr>
        <w:t xml:space="preserve"> and again </w:t>
      </w:r>
      <w:r w:rsidR="002712FF" w:rsidRPr="00B86E51">
        <w:rPr>
          <w:rFonts w:ascii="Times New Roman" w:hAnsi="Times New Roman" w:cs="Times New Roman"/>
        </w:rPr>
        <w:t>today, when we’re all hoping that it won’t.</w:t>
      </w:r>
    </w:p>
    <w:p w:rsidR="002712FF" w:rsidRPr="00B86E51" w:rsidRDefault="002712FF"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My younger colleagues are wont to tell</w:t>
      </w:r>
      <w:r w:rsidR="00923BBE" w:rsidRPr="00B86E51">
        <w:rPr>
          <w:rFonts w:ascii="Times New Roman" w:hAnsi="Times New Roman" w:cs="Times New Roman"/>
        </w:rPr>
        <w:t xml:space="preserve"> me that I don't look old enough to remember the </w:t>
      </w:r>
      <w:r w:rsidRPr="00B86E51">
        <w:rPr>
          <w:rFonts w:ascii="Times New Roman" w:hAnsi="Times New Roman" w:cs="Times New Roman"/>
        </w:rPr>
        <w:t>19</w:t>
      </w:r>
      <w:r w:rsidR="00923BBE" w:rsidRPr="00B86E51">
        <w:rPr>
          <w:rFonts w:ascii="Times New Roman" w:hAnsi="Times New Roman" w:cs="Times New Roman"/>
        </w:rPr>
        <w:t>60s</w:t>
      </w:r>
      <w:r w:rsidRPr="00B86E51">
        <w:rPr>
          <w:rFonts w:ascii="Times New Roman" w:hAnsi="Times New Roman" w:cs="Times New Roman"/>
        </w:rPr>
        <w:t xml:space="preserve"> (which is exceedingly kind)</w:t>
      </w:r>
      <w:r w:rsidR="00216ECD" w:rsidRPr="00B86E51">
        <w:rPr>
          <w:rFonts w:ascii="Times New Roman" w:hAnsi="Times New Roman" w:cs="Times New Roman"/>
        </w:rPr>
        <w:t xml:space="preserve">.  </w:t>
      </w:r>
    </w:p>
    <w:p w:rsidR="00801AB8" w:rsidRPr="00B86E51" w:rsidRDefault="00460D02"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I do remember that i</w:t>
      </w:r>
      <w:r w:rsidR="00923BBE" w:rsidRPr="00B86E51">
        <w:rPr>
          <w:rFonts w:ascii="Times New Roman" w:hAnsi="Times New Roman" w:cs="Times New Roman"/>
        </w:rPr>
        <w:t xml:space="preserve">n the 60s, </w:t>
      </w:r>
      <w:r w:rsidR="005A66FC" w:rsidRPr="00B86E51">
        <w:rPr>
          <w:rFonts w:ascii="Times New Roman" w:hAnsi="Times New Roman" w:cs="Times New Roman"/>
        </w:rPr>
        <w:t xml:space="preserve">however, </w:t>
      </w:r>
      <w:r w:rsidR="00923BBE" w:rsidRPr="00B86E51">
        <w:rPr>
          <w:rFonts w:ascii="Times New Roman" w:hAnsi="Times New Roman" w:cs="Times New Roman"/>
        </w:rPr>
        <w:t xml:space="preserve">among other interesting pastimes, it was popular among students to ask the question, what is the relevance of what older people are telling us?  In other words, what is the relevance of a course of instruction, of received wisdom, of tradition? </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That turned out to be the wrong question and it led to some bad answers.  Luckily the mists of memory obscure some of them.</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But the right questions, what we should have been asking at that time, were these: of the wisdom, tradition and instructions that were communicated to us, what was and should be transient? </w:t>
      </w:r>
      <w:r w:rsidR="00460D02" w:rsidRPr="00B86E51">
        <w:rPr>
          <w:rFonts w:ascii="Times New Roman" w:hAnsi="Times New Roman" w:cs="Times New Roman"/>
        </w:rPr>
        <w:t xml:space="preserve"> </w:t>
      </w:r>
      <w:r w:rsidRPr="00B86E51">
        <w:rPr>
          <w:rFonts w:ascii="Times New Roman" w:hAnsi="Times New Roman" w:cs="Times New Roman"/>
        </w:rPr>
        <w:t>What was and must be enduring?</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We saw both in the social debates of the 60s.  The campaign for civil rights was a campaign to change what needed to be changed. </w:t>
      </w:r>
      <w:r w:rsidR="00C12463" w:rsidRPr="00B86E51">
        <w:rPr>
          <w:rFonts w:ascii="Times New Roman" w:hAnsi="Times New Roman" w:cs="Times New Roman"/>
        </w:rPr>
        <w:t xml:space="preserve"> </w:t>
      </w:r>
      <w:r w:rsidRPr="00B86E51">
        <w:rPr>
          <w:rFonts w:ascii="Times New Roman" w:hAnsi="Times New Roman" w:cs="Times New Roman"/>
        </w:rPr>
        <w:t>Think of the Supreme Court decision</w:t>
      </w:r>
      <w:r w:rsidR="008D242B" w:rsidRPr="00B86E51">
        <w:rPr>
          <w:rFonts w:ascii="Times New Roman" w:hAnsi="Times New Roman" w:cs="Times New Roman"/>
        </w:rPr>
        <w:t xml:space="preserve"> </w:t>
      </w:r>
      <w:r w:rsidRPr="00B86E51">
        <w:rPr>
          <w:rFonts w:ascii="Times New Roman" w:hAnsi="Times New Roman" w:cs="Times New Roman"/>
        </w:rPr>
        <w:t xml:space="preserve">– in perhaps the most aptly-captioned case in history – </w:t>
      </w:r>
      <w:r w:rsidRPr="00B86E51">
        <w:rPr>
          <w:rFonts w:ascii="Times New Roman" w:hAnsi="Times New Roman" w:cs="Times New Roman"/>
          <w:i/>
          <w:iCs/>
          <w:lang w:val="nl-NL"/>
        </w:rPr>
        <w:t>Loving v. Virginia</w:t>
      </w:r>
      <w:r w:rsidRPr="00B86E51">
        <w:rPr>
          <w:rFonts w:ascii="Times New Roman" w:hAnsi="Times New Roman" w:cs="Times New Roman"/>
          <w:iCs/>
          <w:lang w:val="nl-NL"/>
        </w:rPr>
        <w:t>.</w:t>
      </w:r>
      <w:r w:rsidR="00E15C74" w:rsidRPr="00B86E51">
        <w:rPr>
          <w:rStyle w:val="FootnoteReference"/>
          <w:rFonts w:ascii="Times New Roman" w:hAnsi="Times New Roman" w:cs="Times New Roman"/>
          <w:iCs/>
          <w:lang w:val="nl-NL"/>
        </w:rPr>
        <w:footnoteReference w:id="2"/>
      </w:r>
      <w:r w:rsidRPr="00B86E51">
        <w:rPr>
          <w:rFonts w:ascii="Times New Roman" w:hAnsi="Times New Roman" w:cs="Times New Roman"/>
        </w:rPr>
        <w:t xml:space="preserve">  That case had to do with marriage, and it was a part of the societal decision that discrimination needed to be not just transient, but terminated.</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At the same time, the institution of marriage was called into question in the late 60s, early 70s, by some to whom it seemed like a dusty tradition.  But it was, and it rem</w:t>
      </w:r>
      <w:r w:rsidR="000C1709" w:rsidRPr="00B86E51">
        <w:rPr>
          <w:rFonts w:ascii="Times New Roman" w:hAnsi="Times New Roman" w:cs="Times New Roman"/>
        </w:rPr>
        <w:t>ains, fundamental and enduring.</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Those same two questions can inform our thought process as we consider the evolution of communications law and policy.  To be sure, </w:t>
      </w:r>
      <w:r w:rsidR="009F3104" w:rsidRPr="00B86E51">
        <w:rPr>
          <w:rFonts w:ascii="Times New Roman" w:hAnsi="Times New Roman" w:cs="Times New Roman"/>
        </w:rPr>
        <w:t xml:space="preserve">the FCC is </w:t>
      </w:r>
      <w:r w:rsidRPr="00B86E51">
        <w:rPr>
          <w:rFonts w:ascii="Times New Roman" w:hAnsi="Times New Roman" w:cs="Times New Roman"/>
        </w:rPr>
        <w:t xml:space="preserve">not asked to assess or implement social judgment like the nature of marriage.  But the taxonomy of these two questions strikes me as apt in considering our mission. </w:t>
      </w:r>
      <w:r w:rsidR="00E15C74" w:rsidRPr="00B86E51">
        <w:rPr>
          <w:rFonts w:ascii="Times New Roman" w:hAnsi="Times New Roman" w:cs="Times New Roman"/>
        </w:rPr>
        <w:t xml:space="preserve"> </w:t>
      </w:r>
      <w:r w:rsidRPr="00B86E51">
        <w:rPr>
          <w:rFonts w:ascii="Times New Roman" w:hAnsi="Times New Roman" w:cs="Times New Roman"/>
        </w:rPr>
        <w:t>I speak today as a lawyer, not a policy maker, and these are my personal views, not the views of the FCC, but I would like to take a few minutes to apply this framework.</w:t>
      </w:r>
    </w:p>
    <w:p w:rsidR="00801AB8" w:rsidRPr="00B86E51" w:rsidRDefault="004533D6"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A</w:t>
      </w:r>
      <w:r w:rsidR="00923BBE" w:rsidRPr="00B86E51">
        <w:rPr>
          <w:rFonts w:ascii="Times New Roman" w:hAnsi="Times New Roman" w:cs="Times New Roman"/>
        </w:rPr>
        <w:t xml:space="preserve">s we look forward in 2014 and beyond, what is transient, and should change, and what is fundamental and must endure? </w:t>
      </w:r>
    </w:p>
    <w:p w:rsidR="002712FF" w:rsidRPr="00B86E51" w:rsidRDefault="002712FF"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What is transient is technology. </w:t>
      </w:r>
      <w:r w:rsidR="00D670C7" w:rsidRPr="00B86E51">
        <w:rPr>
          <w:rFonts w:ascii="Times New Roman" w:hAnsi="Times New Roman" w:cs="Times New Roman"/>
        </w:rPr>
        <w:t xml:space="preserve"> </w:t>
      </w:r>
      <w:r w:rsidRPr="00B86E51">
        <w:rPr>
          <w:rFonts w:ascii="Times New Roman" w:hAnsi="Times New Roman" w:cs="Times New Roman"/>
        </w:rPr>
        <w:t>Chairman Wheeler has emphasized this in his ebook entitled “Net Effects.</w:t>
      </w:r>
      <w:r w:rsidR="00C27799" w:rsidRPr="00B86E51">
        <w:rPr>
          <w:rFonts w:ascii="Times New Roman" w:hAnsi="Times New Roman" w:cs="Times New Roman"/>
        </w:rPr>
        <w:t>”</w:t>
      </w:r>
      <w:r w:rsidRPr="00B86E51">
        <w:rPr>
          <w:rFonts w:ascii="Times New Roman" w:hAnsi="Times New Roman" w:cs="Times New Roman"/>
        </w:rPr>
        <w:t xml:space="preserve"> </w:t>
      </w:r>
      <w:r w:rsidR="00D670C7" w:rsidRPr="00B86E51">
        <w:rPr>
          <w:rFonts w:ascii="Times New Roman" w:hAnsi="Times New Roman" w:cs="Times New Roman"/>
        </w:rPr>
        <w:t xml:space="preserve"> </w:t>
      </w:r>
      <w:r w:rsidRPr="00B86E51">
        <w:rPr>
          <w:rFonts w:ascii="Times New Roman" w:hAnsi="Times New Roman" w:cs="Times New Roman"/>
        </w:rPr>
        <w:t>There he identifies four great Network Revolutions.</w:t>
      </w:r>
      <w:r w:rsidR="00D670C7" w:rsidRPr="00B86E51">
        <w:rPr>
          <w:rFonts w:ascii="Times New Roman" w:hAnsi="Times New Roman" w:cs="Times New Roman"/>
        </w:rPr>
        <w:t xml:space="preserve"> </w:t>
      </w:r>
      <w:r w:rsidRPr="00B86E51">
        <w:rPr>
          <w:rFonts w:ascii="Times New Roman" w:hAnsi="Times New Roman" w:cs="Times New Roman"/>
        </w:rPr>
        <w:t xml:space="preserve"> First, the printing press; then the railroad; then the telegraph and the forms of electronic communication that it spawned, like telephony and even broadcasting (does anyone recall that Alexander Graham Bell predicted that the telephone would be used as a mean to transmit live music from a concert hall to listeners at home?). </w:t>
      </w:r>
    </w:p>
    <w:p w:rsidR="002712FF" w:rsidRPr="00B86E51" w:rsidRDefault="002712FF" w:rsidP="0076708E">
      <w:pPr>
        <w:pStyle w:val="Body"/>
        <w:keepLines/>
        <w:spacing w:after="120" w:line="240" w:lineRule="auto"/>
        <w:rPr>
          <w:rFonts w:ascii="Times New Roman" w:hAnsi="Times New Roman" w:cs="Times New Roman"/>
        </w:rPr>
      </w:pPr>
      <w:r w:rsidRPr="00B86E51">
        <w:rPr>
          <w:rFonts w:ascii="Times New Roman" w:hAnsi="Times New Roman" w:cs="Times New Roman"/>
        </w:rPr>
        <w:lastRenderedPageBreak/>
        <w:t>We are in the middle of the Fourth Network Revolution</w:t>
      </w:r>
      <w:r w:rsidR="00D670C7" w:rsidRPr="00B86E51">
        <w:rPr>
          <w:rFonts w:ascii="Times New Roman" w:hAnsi="Times New Roman" w:cs="Times New Roman"/>
        </w:rPr>
        <w:t>,</w:t>
      </w:r>
      <w:r w:rsidRPr="00B86E51">
        <w:rPr>
          <w:rFonts w:ascii="Times New Roman" w:hAnsi="Times New Roman" w:cs="Times New Roman"/>
        </w:rPr>
        <w:t xml:space="preserve"> and it is the dramatic, dynamic shift to IP-based communication – to an era in which the Internet is the most fundamental platform of social, commercial, political, sometimes it seems, even personal communication.</w:t>
      </w:r>
      <w:r w:rsidR="00E62434" w:rsidRPr="00B86E51">
        <w:rPr>
          <w:rFonts w:ascii="Times New Roman" w:hAnsi="Times New Roman" w:cs="Times New Roman"/>
        </w:rPr>
        <w:t xml:space="preserve"> </w:t>
      </w:r>
      <w:r w:rsidR="00D670C7" w:rsidRPr="00B86E51">
        <w:rPr>
          <w:rFonts w:ascii="Times New Roman" w:hAnsi="Times New Roman" w:cs="Times New Roman"/>
        </w:rPr>
        <w:t xml:space="preserve"> </w:t>
      </w:r>
      <w:r w:rsidR="00BD5607" w:rsidRPr="00B86E51">
        <w:rPr>
          <w:rFonts w:ascii="Times New Roman" w:hAnsi="Times New Roman" w:cs="Times New Roman"/>
        </w:rPr>
        <w:t xml:space="preserve">Change is the only constant – especially </w:t>
      </w:r>
      <w:r w:rsidR="00E62434" w:rsidRPr="00B86E51">
        <w:rPr>
          <w:rFonts w:ascii="Times New Roman" w:hAnsi="Times New Roman" w:cs="Times New Roman"/>
        </w:rPr>
        <w:t>when you</w:t>
      </w:r>
      <w:r w:rsidR="00E62434" w:rsidRPr="00B86E51">
        <w:rPr>
          <w:rFonts w:ascii="Times New Roman" w:hAnsi="Times New Roman" w:cs="Times New Roman"/>
          <w:lang w:val="fr-FR"/>
        </w:rPr>
        <w:t>’</w:t>
      </w:r>
      <w:r w:rsidR="00E62434" w:rsidRPr="00B86E51">
        <w:rPr>
          <w:rFonts w:ascii="Times New Roman" w:hAnsi="Times New Roman" w:cs="Times New Roman"/>
        </w:rPr>
        <w:t>re talking about an industry that has progressed from the telegraph, to the telephone, to the dial-up modem, and then to broadband faster than Spinal Tap changed drummers.</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We must be - and of course we are - in favor of technological improvement and innovation; it is the lifeblo</w:t>
      </w:r>
      <w:r w:rsidR="00D65A95" w:rsidRPr="00B86E51">
        <w:rPr>
          <w:rFonts w:ascii="Times New Roman" w:hAnsi="Times New Roman" w:cs="Times New Roman"/>
        </w:rPr>
        <w:t>od of American economic growth.</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The Commission is tackling the challenges of change.</w:t>
      </w:r>
      <w:r w:rsidR="00521720" w:rsidRPr="00B86E51">
        <w:rPr>
          <w:rFonts w:ascii="Times New Roman" w:hAnsi="Times New Roman" w:cs="Times New Roman"/>
        </w:rPr>
        <w:t xml:space="preserve"> </w:t>
      </w:r>
      <w:r w:rsidRPr="00B86E51">
        <w:rPr>
          <w:rFonts w:ascii="Times New Roman" w:hAnsi="Times New Roman" w:cs="Times New Roman"/>
        </w:rPr>
        <w:t xml:space="preserve"> In January, the Commission adopted its IP Transitions Order.</w:t>
      </w:r>
      <w:r w:rsidR="00521720" w:rsidRPr="00B86E51">
        <w:rPr>
          <w:rStyle w:val="FootnoteReference"/>
          <w:rFonts w:ascii="Times New Roman" w:hAnsi="Times New Roman" w:cs="Times New Roman"/>
        </w:rPr>
        <w:footnoteReference w:id="3"/>
      </w:r>
      <w:r w:rsidRPr="00B86E51">
        <w:rPr>
          <w:rFonts w:ascii="Times New Roman" w:hAnsi="Times New Roman" w:cs="Times New Roman"/>
        </w:rPr>
        <w:t xml:space="preserve"> </w:t>
      </w:r>
      <w:r w:rsidR="001021F7" w:rsidRPr="00B86E51">
        <w:rPr>
          <w:rFonts w:ascii="Times New Roman" w:hAnsi="Times New Roman" w:cs="Times New Roman"/>
        </w:rPr>
        <w:t xml:space="preserve"> </w:t>
      </w:r>
      <w:r w:rsidRPr="00B86E51">
        <w:rPr>
          <w:rFonts w:ascii="Times New Roman" w:hAnsi="Times New Roman" w:cs="Times New Roman"/>
        </w:rPr>
        <w:t xml:space="preserve">Think plural -- transitions. </w:t>
      </w:r>
      <w:r w:rsidR="001021F7" w:rsidRPr="00B86E51">
        <w:rPr>
          <w:rFonts w:ascii="Times New Roman" w:hAnsi="Times New Roman" w:cs="Times New Roman"/>
        </w:rPr>
        <w:t xml:space="preserve"> </w:t>
      </w:r>
      <w:r w:rsidRPr="00B86E51">
        <w:rPr>
          <w:rFonts w:ascii="Times New Roman" w:hAnsi="Times New Roman" w:cs="Times New Roman"/>
        </w:rPr>
        <w:t>Because the technical chang</w:t>
      </w:r>
      <w:r w:rsidR="002504D0" w:rsidRPr="00B86E51">
        <w:rPr>
          <w:rFonts w:ascii="Times New Roman" w:hAnsi="Times New Roman" w:cs="Times New Roman"/>
        </w:rPr>
        <w:t>e from circuit-switching to IP-</w:t>
      </w:r>
      <w:r w:rsidRPr="00B86E51">
        <w:rPr>
          <w:rFonts w:ascii="Times New Roman" w:hAnsi="Times New Roman" w:cs="Times New Roman"/>
        </w:rPr>
        <w:t>based communication involves fiber and copper and coax and wireless.</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The IP transition operates on three dimensions. </w:t>
      </w:r>
      <w:r w:rsidR="00521720" w:rsidRPr="00B86E51">
        <w:rPr>
          <w:rFonts w:ascii="Times New Roman" w:hAnsi="Times New Roman" w:cs="Times New Roman"/>
        </w:rPr>
        <w:t xml:space="preserve"> </w:t>
      </w:r>
      <w:r w:rsidRPr="00B86E51">
        <w:rPr>
          <w:rFonts w:ascii="Times New Roman" w:hAnsi="Times New Roman" w:cs="Times New Roman"/>
        </w:rPr>
        <w:t xml:space="preserve">There is the change of protocol - TDM to IP. </w:t>
      </w:r>
      <w:r w:rsidR="00521720" w:rsidRPr="00B86E51">
        <w:rPr>
          <w:rFonts w:ascii="Times New Roman" w:hAnsi="Times New Roman" w:cs="Times New Roman"/>
        </w:rPr>
        <w:t xml:space="preserve"> </w:t>
      </w:r>
      <w:r w:rsidRPr="00B86E51">
        <w:rPr>
          <w:rFonts w:ascii="Times New Roman" w:hAnsi="Times New Roman" w:cs="Times New Roman"/>
        </w:rPr>
        <w:t>There is the change of network construction</w:t>
      </w:r>
      <w:r w:rsidR="00521720" w:rsidRPr="00B86E51">
        <w:rPr>
          <w:rFonts w:ascii="Times New Roman" w:hAnsi="Times New Roman" w:cs="Times New Roman"/>
        </w:rPr>
        <w:t xml:space="preserve"> - </w:t>
      </w:r>
      <w:r w:rsidRPr="00B86E51">
        <w:rPr>
          <w:rFonts w:ascii="Times New Roman" w:hAnsi="Times New Roman" w:cs="Times New Roman"/>
        </w:rPr>
        <w:t>fiber, bonded copper, fixed wireless</w:t>
      </w:r>
      <w:r w:rsidR="00521720" w:rsidRPr="00B86E51">
        <w:rPr>
          <w:rFonts w:ascii="Times New Roman" w:hAnsi="Times New Roman" w:cs="Times New Roman"/>
        </w:rPr>
        <w:t>,</w:t>
      </w:r>
      <w:r w:rsidRPr="00B86E51">
        <w:rPr>
          <w:rFonts w:ascii="Times New Roman" w:hAnsi="Times New Roman" w:cs="Times New Roman"/>
        </w:rPr>
        <w:t xml:space="preserve"> to give just some examples.</w:t>
      </w:r>
      <w:r w:rsidR="00C12463" w:rsidRPr="00B86E51">
        <w:rPr>
          <w:rFonts w:ascii="Times New Roman" w:hAnsi="Times New Roman" w:cs="Times New Roman"/>
        </w:rPr>
        <w:t xml:space="preserve">  </w:t>
      </w:r>
      <w:r w:rsidRPr="00B86E51">
        <w:rPr>
          <w:rFonts w:ascii="Times New Roman" w:hAnsi="Times New Roman" w:cs="Times New Roman"/>
        </w:rPr>
        <w:t>These changes are in the marketplace and many consumers are adopting them daily - and that is a good thing.</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But there is a third dimension. </w:t>
      </w:r>
      <w:r w:rsidR="00521720" w:rsidRPr="00B86E51">
        <w:rPr>
          <w:rFonts w:ascii="Times New Roman" w:hAnsi="Times New Roman" w:cs="Times New Roman"/>
        </w:rPr>
        <w:t xml:space="preserve"> </w:t>
      </w:r>
      <w:r w:rsidRPr="00B86E51">
        <w:rPr>
          <w:rFonts w:ascii="Times New Roman" w:hAnsi="Times New Roman" w:cs="Times New Roman"/>
        </w:rPr>
        <w:t xml:space="preserve">The large network carriers have made plain their desire to retire the copper networks that millions of Americans still use. </w:t>
      </w:r>
      <w:r w:rsidR="00521720" w:rsidRPr="00B86E51">
        <w:rPr>
          <w:rFonts w:ascii="Times New Roman" w:hAnsi="Times New Roman" w:cs="Times New Roman"/>
        </w:rPr>
        <w:t xml:space="preserve"> </w:t>
      </w:r>
      <w:r w:rsidRPr="00B86E51">
        <w:rPr>
          <w:rFonts w:ascii="Times New Roman" w:hAnsi="Times New Roman" w:cs="Times New Roman"/>
        </w:rPr>
        <w:t xml:space="preserve">That will not be the addition of choice to the marketplace, it will be the removal of one. </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Section 214 and other provisions </w:t>
      </w:r>
      <w:r w:rsidR="00521720" w:rsidRPr="00B86E51">
        <w:rPr>
          <w:rFonts w:ascii="Times New Roman" w:hAnsi="Times New Roman" w:cs="Times New Roman"/>
        </w:rPr>
        <w:t xml:space="preserve">of the Act </w:t>
      </w:r>
      <w:r w:rsidRPr="00B86E51">
        <w:rPr>
          <w:rFonts w:ascii="Times New Roman" w:hAnsi="Times New Roman" w:cs="Times New Roman"/>
        </w:rPr>
        <w:t xml:space="preserve">provide </w:t>
      </w:r>
      <w:r w:rsidR="00521720" w:rsidRPr="00B86E51">
        <w:rPr>
          <w:rFonts w:ascii="Times New Roman" w:hAnsi="Times New Roman" w:cs="Times New Roman"/>
        </w:rPr>
        <w:t xml:space="preserve">the </w:t>
      </w:r>
      <w:r w:rsidRPr="00B86E51">
        <w:rPr>
          <w:rFonts w:ascii="Times New Roman" w:hAnsi="Times New Roman" w:cs="Times New Roman"/>
        </w:rPr>
        <w:t>legal framework.</w:t>
      </w:r>
      <w:r w:rsidR="00521720" w:rsidRPr="00B86E51">
        <w:rPr>
          <w:rFonts w:ascii="Times New Roman" w:hAnsi="Times New Roman" w:cs="Times New Roman"/>
        </w:rPr>
        <w:t xml:space="preserve"> </w:t>
      </w:r>
      <w:r w:rsidRPr="00B86E51">
        <w:rPr>
          <w:rFonts w:ascii="Times New Roman" w:hAnsi="Times New Roman" w:cs="Times New Roman"/>
        </w:rPr>
        <w:t xml:space="preserve"> But how do we learn </w:t>
      </w:r>
      <w:r w:rsidRPr="00B86E51">
        <w:rPr>
          <w:rFonts w:ascii="Times New Roman" w:hAnsi="Times New Roman" w:cs="Times New Roman"/>
          <w:i/>
        </w:rPr>
        <w:t>before</w:t>
      </w:r>
      <w:r w:rsidRPr="00B86E51">
        <w:rPr>
          <w:rFonts w:ascii="Times New Roman" w:hAnsi="Times New Roman" w:cs="Times New Roman"/>
        </w:rPr>
        <w:t xml:space="preserve"> legal and policy decisions </w:t>
      </w:r>
      <w:r w:rsidR="00521720" w:rsidRPr="00B86E51">
        <w:rPr>
          <w:rFonts w:ascii="Times New Roman" w:hAnsi="Times New Roman" w:cs="Times New Roman"/>
        </w:rPr>
        <w:t xml:space="preserve">are </w:t>
      </w:r>
      <w:r w:rsidRPr="00B86E51">
        <w:rPr>
          <w:rFonts w:ascii="Times New Roman" w:hAnsi="Times New Roman" w:cs="Times New Roman"/>
        </w:rPr>
        <w:t xml:space="preserve">made? </w:t>
      </w:r>
      <w:r w:rsidR="00521720" w:rsidRPr="00B86E51">
        <w:rPr>
          <w:rFonts w:ascii="Times New Roman" w:hAnsi="Times New Roman" w:cs="Times New Roman"/>
        </w:rPr>
        <w:t xml:space="preserve"> </w:t>
      </w:r>
      <w:r w:rsidRPr="00B86E51">
        <w:rPr>
          <w:rFonts w:ascii="Times New Roman" w:hAnsi="Times New Roman" w:cs="Times New Roman"/>
        </w:rPr>
        <w:t>One way, not the only way but one way, will be through voluntary experiments of the kind proposed by AT&amp;T and authorized by the Commission in January.</w:t>
      </w:r>
      <w:r w:rsidR="00521720" w:rsidRPr="00B86E51">
        <w:rPr>
          <w:rFonts w:ascii="Times New Roman" w:hAnsi="Times New Roman" w:cs="Times New Roman"/>
        </w:rPr>
        <w:t xml:space="preserve"> </w:t>
      </w:r>
      <w:r w:rsidRPr="00B86E51">
        <w:rPr>
          <w:rFonts w:ascii="Times New Roman" w:hAnsi="Times New Roman" w:cs="Times New Roman"/>
        </w:rPr>
        <w:t xml:space="preserve"> </w:t>
      </w:r>
      <w:r w:rsidR="002712FF" w:rsidRPr="00B86E51">
        <w:rPr>
          <w:rFonts w:ascii="Times New Roman" w:hAnsi="Times New Roman" w:cs="Times New Roman"/>
        </w:rPr>
        <w:t xml:space="preserve">We have already received two service experiments and we have received </w:t>
      </w:r>
      <w:r w:rsidR="00626DCD" w:rsidRPr="00B86E51">
        <w:rPr>
          <w:rFonts w:ascii="Times New Roman" w:hAnsi="Times New Roman" w:cs="Times New Roman"/>
        </w:rPr>
        <w:t xml:space="preserve">nearly </w:t>
      </w:r>
      <w:r w:rsidR="00803BDA" w:rsidRPr="00B86E51">
        <w:rPr>
          <w:rFonts w:ascii="Times New Roman" w:hAnsi="Times New Roman" w:cs="Times New Roman"/>
        </w:rPr>
        <w:t>1000</w:t>
      </w:r>
      <w:r w:rsidR="002712FF" w:rsidRPr="00B86E51">
        <w:rPr>
          <w:rFonts w:ascii="Times New Roman" w:hAnsi="Times New Roman" w:cs="Times New Roman"/>
        </w:rPr>
        <w:t xml:space="preserve"> expressions of interest in </w:t>
      </w:r>
      <w:r w:rsidR="00521720" w:rsidRPr="00B86E51">
        <w:rPr>
          <w:rFonts w:ascii="Times New Roman" w:hAnsi="Times New Roman" w:cs="Times New Roman"/>
        </w:rPr>
        <w:t xml:space="preserve">the </w:t>
      </w:r>
      <w:r w:rsidRPr="00B86E51">
        <w:rPr>
          <w:rFonts w:ascii="Times New Roman" w:hAnsi="Times New Roman" w:cs="Times New Roman"/>
        </w:rPr>
        <w:t xml:space="preserve">more targeted experiments that </w:t>
      </w:r>
      <w:r w:rsidR="00521720" w:rsidRPr="00B86E51">
        <w:rPr>
          <w:rFonts w:ascii="Times New Roman" w:hAnsi="Times New Roman" w:cs="Times New Roman"/>
        </w:rPr>
        <w:t xml:space="preserve">will </w:t>
      </w:r>
      <w:r w:rsidRPr="00B86E51">
        <w:rPr>
          <w:rFonts w:ascii="Times New Roman" w:hAnsi="Times New Roman" w:cs="Times New Roman"/>
        </w:rPr>
        <w:t>accompany them</w:t>
      </w:r>
      <w:r w:rsidR="002712FF" w:rsidRPr="00B86E51">
        <w:rPr>
          <w:rFonts w:ascii="Times New Roman" w:hAnsi="Times New Roman" w:cs="Times New Roman"/>
        </w:rPr>
        <w:t xml:space="preserve">. </w:t>
      </w:r>
      <w:r w:rsidR="00D670C7" w:rsidRPr="00B86E51">
        <w:rPr>
          <w:rFonts w:ascii="Times New Roman" w:hAnsi="Times New Roman" w:cs="Times New Roman"/>
        </w:rPr>
        <w:t xml:space="preserve"> </w:t>
      </w:r>
      <w:r w:rsidR="002712FF" w:rsidRPr="00B86E51">
        <w:rPr>
          <w:rFonts w:ascii="Times New Roman" w:hAnsi="Times New Roman" w:cs="Times New Roman"/>
        </w:rPr>
        <w:t>Such experiments</w:t>
      </w:r>
      <w:r w:rsidRPr="00B86E51">
        <w:rPr>
          <w:rFonts w:ascii="Times New Roman" w:hAnsi="Times New Roman" w:cs="Times New Roman"/>
        </w:rPr>
        <w:t xml:space="preserve"> will enhance the ability of the Commission, network providers, consumers, competitors and the public to monitor and measure the impact of change.</w:t>
      </w:r>
    </w:p>
    <w:p w:rsidR="00AD67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Those experiments will not be about technology</w:t>
      </w:r>
      <w:r w:rsidR="001B40E3" w:rsidRPr="00B86E51">
        <w:rPr>
          <w:rFonts w:ascii="Times New Roman" w:hAnsi="Times New Roman" w:cs="Times New Roman"/>
        </w:rPr>
        <w:t xml:space="preserve"> </w:t>
      </w:r>
      <w:r w:rsidR="001B40E3" w:rsidRPr="00B86E51">
        <w:rPr>
          <w:rFonts w:ascii="Times New Roman" w:hAnsi="Times New Roman" w:cs="Times New Roman"/>
          <w:u w:val="single"/>
        </w:rPr>
        <w:t>per se</w:t>
      </w:r>
      <w:r w:rsidRPr="00B86E51">
        <w:rPr>
          <w:rFonts w:ascii="Times New Roman" w:hAnsi="Times New Roman" w:cs="Times New Roman"/>
        </w:rPr>
        <w:t xml:space="preserve">, they will be about the impact of technology on consumers and values. </w:t>
      </w:r>
      <w:r w:rsidR="00521720" w:rsidRPr="00B86E51">
        <w:rPr>
          <w:rFonts w:ascii="Times New Roman" w:hAnsi="Times New Roman" w:cs="Times New Roman"/>
        </w:rPr>
        <w:t xml:space="preserve"> </w:t>
      </w:r>
      <w:r w:rsidRPr="00B86E51">
        <w:rPr>
          <w:rFonts w:ascii="Times New Roman" w:hAnsi="Times New Roman" w:cs="Times New Roman"/>
        </w:rPr>
        <w:t>Indeed, what is less remarked upon</w:t>
      </w:r>
      <w:r w:rsidR="00521720" w:rsidRPr="00B86E51">
        <w:rPr>
          <w:rFonts w:ascii="Times New Roman" w:hAnsi="Times New Roman" w:cs="Times New Roman"/>
        </w:rPr>
        <w:t xml:space="preserve"> </w:t>
      </w:r>
      <w:r w:rsidR="001B40E3" w:rsidRPr="00B86E51">
        <w:rPr>
          <w:rFonts w:ascii="Times New Roman" w:hAnsi="Times New Roman" w:cs="Times New Roman"/>
        </w:rPr>
        <w:t xml:space="preserve">but perhaps more important </w:t>
      </w:r>
      <w:r w:rsidR="00521720" w:rsidRPr="00B86E51">
        <w:rPr>
          <w:rFonts w:ascii="Times New Roman" w:hAnsi="Times New Roman" w:cs="Times New Roman"/>
        </w:rPr>
        <w:t xml:space="preserve">in </w:t>
      </w:r>
      <w:r w:rsidR="001B40E3" w:rsidRPr="00B86E51">
        <w:rPr>
          <w:rFonts w:ascii="Times New Roman" w:hAnsi="Times New Roman" w:cs="Times New Roman"/>
        </w:rPr>
        <w:t xml:space="preserve">understanding the evolution of communications policy in light of technological advancement is the </w:t>
      </w:r>
      <w:r w:rsidRPr="00B86E51">
        <w:rPr>
          <w:rFonts w:ascii="Times New Roman" w:hAnsi="Times New Roman" w:cs="Times New Roman"/>
        </w:rPr>
        <w:t xml:space="preserve">enduring values that </w:t>
      </w:r>
      <w:r w:rsidR="001B40E3" w:rsidRPr="00B86E51">
        <w:rPr>
          <w:rFonts w:ascii="Times New Roman" w:hAnsi="Times New Roman" w:cs="Times New Roman"/>
        </w:rPr>
        <w:t xml:space="preserve">have and continue to </w:t>
      </w:r>
      <w:r w:rsidRPr="00B86E51">
        <w:rPr>
          <w:rFonts w:ascii="Times New Roman" w:hAnsi="Times New Roman" w:cs="Times New Roman"/>
        </w:rPr>
        <w:t xml:space="preserve">inform the business of communications networks.  This is what Chairman Wheeler has referred to as the Network Compact. </w:t>
      </w:r>
      <w:r w:rsidR="00521720" w:rsidRPr="00B86E51">
        <w:rPr>
          <w:rFonts w:ascii="Times New Roman" w:hAnsi="Times New Roman" w:cs="Times New Roman"/>
        </w:rPr>
        <w:t xml:space="preserve"> </w:t>
      </w:r>
      <w:r w:rsidR="002712FF" w:rsidRPr="00B86E51">
        <w:rPr>
          <w:rFonts w:ascii="Times New Roman" w:hAnsi="Times New Roman" w:cs="Times New Roman"/>
        </w:rPr>
        <w:t>And these values answer the question: What</w:t>
      </w:r>
      <w:r w:rsidR="004533D6" w:rsidRPr="00B86E51">
        <w:rPr>
          <w:rFonts w:ascii="Times New Roman" w:hAnsi="Times New Roman" w:cs="Times New Roman"/>
        </w:rPr>
        <w:t xml:space="preserve"> is fundamental and must endure?</w:t>
      </w:r>
      <w:r w:rsidR="002712FF" w:rsidRPr="00B86E51">
        <w:rPr>
          <w:rFonts w:ascii="Times New Roman" w:hAnsi="Times New Roman" w:cs="Times New Roman"/>
        </w:rPr>
        <w:t xml:space="preserve"> </w:t>
      </w:r>
    </w:p>
    <w:p w:rsidR="002712FF" w:rsidRPr="00B86E51" w:rsidRDefault="002712FF"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In other words, technology is transient. </w:t>
      </w:r>
      <w:r w:rsidR="00D670C7" w:rsidRPr="00B86E51">
        <w:rPr>
          <w:rFonts w:ascii="Times New Roman" w:hAnsi="Times New Roman" w:cs="Times New Roman"/>
        </w:rPr>
        <w:t xml:space="preserve"> </w:t>
      </w:r>
      <w:r w:rsidRPr="00B86E51">
        <w:rPr>
          <w:rFonts w:ascii="Times New Roman" w:hAnsi="Times New Roman" w:cs="Times New Roman"/>
        </w:rPr>
        <w:t xml:space="preserve">And should be. </w:t>
      </w:r>
      <w:r w:rsidR="00D670C7" w:rsidRPr="00B86E51">
        <w:rPr>
          <w:rFonts w:ascii="Times New Roman" w:hAnsi="Times New Roman" w:cs="Times New Roman"/>
        </w:rPr>
        <w:t xml:space="preserve"> </w:t>
      </w:r>
      <w:r w:rsidRPr="00B86E51">
        <w:rPr>
          <w:rFonts w:ascii="Times New Roman" w:hAnsi="Times New Roman" w:cs="Times New Roman"/>
        </w:rPr>
        <w:t xml:space="preserve">Values are enduring. </w:t>
      </w:r>
      <w:r w:rsidR="00D670C7" w:rsidRPr="00B86E51">
        <w:rPr>
          <w:rFonts w:ascii="Times New Roman" w:hAnsi="Times New Roman" w:cs="Times New Roman"/>
        </w:rPr>
        <w:t xml:space="preserve"> </w:t>
      </w:r>
      <w:r w:rsidRPr="00B86E51">
        <w:rPr>
          <w:rFonts w:ascii="Times New Roman" w:hAnsi="Times New Roman" w:cs="Times New Roman"/>
        </w:rPr>
        <w:t>And must be.</w:t>
      </w:r>
    </w:p>
    <w:p w:rsidR="00AD67B8" w:rsidRPr="00B86E51" w:rsidRDefault="008D242B"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Among the </w:t>
      </w:r>
      <w:r w:rsidR="002712FF" w:rsidRPr="00B86E51">
        <w:rPr>
          <w:rFonts w:ascii="Times New Roman" w:hAnsi="Times New Roman" w:cs="Times New Roman"/>
        </w:rPr>
        <w:t>value</w:t>
      </w:r>
      <w:r w:rsidR="00C356A9" w:rsidRPr="00B86E51">
        <w:rPr>
          <w:rFonts w:ascii="Times New Roman" w:hAnsi="Times New Roman" w:cs="Times New Roman"/>
        </w:rPr>
        <w:t>s</w:t>
      </w:r>
      <w:r w:rsidR="002712FF" w:rsidRPr="00B86E51">
        <w:rPr>
          <w:rFonts w:ascii="Times New Roman" w:hAnsi="Times New Roman" w:cs="Times New Roman"/>
        </w:rPr>
        <w:t xml:space="preserve"> first articulated by Commissioner Rosenworcel, and then embraced by the Comm</w:t>
      </w:r>
      <w:r w:rsidR="00C356A9" w:rsidRPr="00B86E51">
        <w:rPr>
          <w:rFonts w:ascii="Times New Roman" w:hAnsi="Times New Roman" w:cs="Times New Roman"/>
        </w:rPr>
        <w:t>i</w:t>
      </w:r>
      <w:r w:rsidR="002712FF" w:rsidRPr="00B86E51">
        <w:rPr>
          <w:rFonts w:ascii="Times New Roman" w:hAnsi="Times New Roman" w:cs="Times New Roman"/>
        </w:rPr>
        <w:t xml:space="preserve">ssion, are these:  </w:t>
      </w:r>
      <w:r w:rsidR="00AD67B8" w:rsidRPr="00B86E51">
        <w:rPr>
          <w:rFonts w:ascii="Times New Roman" w:hAnsi="Times New Roman" w:cs="Times New Roman"/>
        </w:rPr>
        <w:t xml:space="preserve">(1) public safety and security, (2) universal accessibility, (3) competition, and (4) consumer protection.  These are the enduring values that have always informed communications law, and should also be the enduring values that guide us as we apply the Act to </w:t>
      </w:r>
      <w:r w:rsidR="001B40E3" w:rsidRPr="00B86E51">
        <w:rPr>
          <w:rFonts w:ascii="Times New Roman" w:hAnsi="Times New Roman" w:cs="Times New Roman"/>
        </w:rPr>
        <w:t xml:space="preserve">modern </w:t>
      </w:r>
      <w:r w:rsidR="00AD67B8" w:rsidRPr="00B86E51">
        <w:rPr>
          <w:rFonts w:ascii="Times New Roman" w:hAnsi="Times New Roman" w:cs="Times New Roman"/>
        </w:rPr>
        <w:t>communications networks.</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These principles </w:t>
      </w:r>
      <w:r w:rsidR="002712FF" w:rsidRPr="00B86E51">
        <w:rPr>
          <w:rFonts w:ascii="Times New Roman" w:hAnsi="Times New Roman" w:cs="Times New Roman"/>
        </w:rPr>
        <w:t xml:space="preserve">are in the Communications Act -- </w:t>
      </w:r>
      <w:r w:rsidRPr="00B86E51">
        <w:rPr>
          <w:rFonts w:ascii="Times New Roman" w:hAnsi="Times New Roman" w:cs="Times New Roman"/>
        </w:rPr>
        <w:t xml:space="preserve">in plain sight. </w:t>
      </w:r>
      <w:r w:rsidR="00521720" w:rsidRPr="00B86E51">
        <w:rPr>
          <w:rFonts w:ascii="Times New Roman" w:hAnsi="Times New Roman" w:cs="Times New Roman"/>
        </w:rPr>
        <w:t xml:space="preserve"> </w:t>
      </w:r>
      <w:r w:rsidRPr="00B86E51">
        <w:rPr>
          <w:rFonts w:ascii="Times New Roman" w:hAnsi="Times New Roman" w:cs="Times New Roman"/>
        </w:rPr>
        <w:t>As a law clerk a long time ago, I was taught that the starting point of statutory construction is the language of the statute itself.</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lastRenderedPageBreak/>
        <w:t>So let</w:t>
      </w:r>
      <w:r w:rsidR="00521720" w:rsidRPr="00B86E51">
        <w:rPr>
          <w:rFonts w:ascii="Times New Roman" w:hAnsi="Times New Roman" w:cs="Times New Roman"/>
        </w:rPr>
        <w:t>’</w:t>
      </w:r>
      <w:r w:rsidRPr="00B86E51">
        <w:rPr>
          <w:rFonts w:ascii="Times New Roman" w:hAnsi="Times New Roman" w:cs="Times New Roman"/>
        </w:rPr>
        <w:t xml:space="preserve">s start with the language, beginning with </w:t>
      </w:r>
      <w:r w:rsidR="00B656DC" w:rsidRPr="00B86E51">
        <w:rPr>
          <w:rFonts w:ascii="Times New Roman" w:hAnsi="Times New Roman" w:cs="Times New Roman"/>
        </w:rPr>
        <w:t>T</w:t>
      </w:r>
      <w:r w:rsidRPr="00B86E51">
        <w:rPr>
          <w:rFonts w:ascii="Times New Roman" w:hAnsi="Times New Roman" w:cs="Times New Roman"/>
        </w:rPr>
        <w:t xml:space="preserve">itle 1 of the </w:t>
      </w:r>
      <w:r w:rsidR="00B656DC" w:rsidRPr="00B86E51">
        <w:rPr>
          <w:rFonts w:ascii="Times New Roman" w:hAnsi="Times New Roman" w:cs="Times New Roman"/>
        </w:rPr>
        <w:t>A</w:t>
      </w:r>
      <w:r w:rsidRPr="00B86E51">
        <w:rPr>
          <w:rFonts w:ascii="Times New Roman" w:hAnsi="Times New Roman" w:cs="Times New Roman"/>
        </w:rPr>
        <w:t>ct and the admoni</w:t>
      </w:r>
      <w:r w:rsidR="00431AD9" w:rsidRPr="00B86E51">
        <w:rPr>
          <w:rFonts w:ascii="Times New Roman" w:hAnsi="Times New Roman" w:cs="Times New Roman"/>
        </w:rPr>
        <w:t xml:space="preserve">tion </w:t>
      </w:r>
      <w:r w:rsidRPr="00B86E51">
        <w:rPr>
          <w:rFonts w:ascii="Times New Roman" w:hAnsi="Times New Roman" w:cs="Times New Roman"/>
        </w:rPr>
        <w:t>that the Commission should oversee all the wired and wireless communications in the U</w:t>
      </w:r>
      <w:r w:rsidR="005616DF" w:rsidRPr="00B86E51">
        <w:rPr>
          <w:rFonts w:ascii="Times New Roman" w:hAnsi="Times New Roman" w:cs="Times New Roman"/>
        </w:rPr>
        <w:t xml:space="preserve">nited </w:t>
      </w:r>
      <w:r w:rsidRPr="00B86E51">
        <w:rPr>
          <w:rFonts w:ascii="Times New Roman" w:hAnsi="Times New Roman" w:cs="Times New Roman"/>
        </w:rPr>
        <w:t>S</w:t>
      </w:r>
      <w:r w:rsidR="005616DF" w:rsidRPr="00B86E51">
        <w:rPr>
          <w:rFonts w:ascii="Times New Roman" w:hAnsi="Times New Roman" w:cs="Times New Roman"/>
        </w:rPr>
        <w:t>tates</w:t>
      </w:r>
      <w:r w:rsidRPr="00B86E51">
        <w:rPr>
          <w:rFonts w:ascii="Times New Roman" w:hAnsi="Times New Roman" w:cs="Times New Roman"/>
        </w:rPr>
        <w:t>.</w:t>
      </w:r>
      <w:r w:rsidR="00431AD9" w:rsidRPr="00B86E51">
        <w:rPr>
          <w:rStyle w:val="FootnoteReference"/>
          <w:rFonts w:ascii="Times New Roman" w:hAnsi="Times New Roman" w:cs="Times New Roman"/>
        </w:rPr>
        <w:footnoteReference w:id="4"/>
      </w:r>
      <w:r w:rsidR="0065080C" w:rsidRPr="00B86E51">
        <w:rPr>
          <w:rFonts w:ascii="Times New Roman" w:hAnsi="Times New Roman" w:cs="Times New Roman"/>
        </w:rPr>
        <w:t xml:space="preserve">  Let me quote just a portion: “For the purpose of regulating interstate and foreign commerce in communications by wire and radio so as to make available, so far as possible, to all the people of the United States, without discrimination…, a rapid, efficient, Nation-wide, and world-wide wire and radio communication service with adequate facilities at reasonable charges…</w:t>
      </w:r>
      <w:r w:rsidR="008F33C1" w:rsidRPr="00B86E51">
        <w:rPr>
          <w:rFonts w:ascii="Times New Roman" w:hAnsi="Times New Roman" w:cs="Times New Roman"/>
        </w:rPr>
        <w:t>.</w:t>
      </w:r>
      <w:r w:rsidR="0065080C" w:rsidRPr="00B86E51">
        <w:rPr>
          <w:rFonts w:ascii="Times New Roman" w:hAnsi="Times New Roman" w:cs="Times New Roman"/>
        </w:rPr>
        <w:t>”</w:t>
      </w:r>
    </w:p>
    <w:p w:rsidR="0065080C" w:rsidRPr="00B86E51" w:rsidRDefault="0065080C"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You can get a lot of the enduring values of our country’s communications policy from that very first section of the Act.</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Consider next the public interest standard, as it is found in sections that govern </w:t>
      </w:r>
      <w:r w:rsidR="006A6338" w:rsidRPr="00B86E51">
        <w:rPr>
          <w:rFonts w:ascii="Times New Roman" w:hAnsi="Times New Roman" w:cs="Times New Roman"/>
        </w:rPr>
        <w:t xml:space="preserve">everything from </w:t>
      </w:r>
      <w:r w:rsidRPr="00B86E51">
        <w:rPr>
          <w:rFonts w:ascii="Times New Roman" w:hAnsi="Times New Roman" w:cs="Times New Roman"/>
        </w:rPr>
        <w:t xml:space="preserve">how we </w:t>
      </w:r>
      <w:r w:rsidR="006A6338" w:rsidRPr="00B86E51">
        <w:rPr>
          <w:rFonts w:ascii="Times New Roman" w:hAnsi="Times New Roman" w:cs="Times New Roman"/>
        </w:rPr>
        <w:t>assess regulatory fees,</w:t>
      </w:r>
      <w:r w:rsidR="006A6338" w:rsidRPr="00B86E51">
        <w:rPr>
          <w:rStyle w:val="FootnoteReference"/>
          <w:rFonts w:ascii="Times New Roman" w:hAnsi="Times New Roman" w:cs="Times New Roman"/>
        </w:rPr>
        <w:footnoteReference w:id="5"/>
      </w:r>
      <w:r w:rsidR="006A6338" w:rsidRPr="00B86E51">
        <w:rPr>
          <w:rFonts w:ascii="Times New Roman" w:hAnsi="Times New Roman" w:cs="Times New Roman"/>
        </w:rPr>
        <w:t xml:space="preserve"> </w:t>
      </w:r>
      <w:r w:rsidRPr="00B86E51">
        <w:rPr>
          <w:rFonts w:ascii="Times New Roman" w:hAnsi="Times New Roman" w:cs="Times New Roman"/>
        </w:rPr>
        <w:t>to</w:t>
      </w:r>
      <w:r w:rsidR="006A6338" w:rsidRPr="00B86E51">
        <w:rPr>
          <w:rFonts w:ascii="Times New Roman" w:hAnsi="Times New Roman" w:cs="Times New Roman"/>
        </w:rPr>
        <w:t xml:space="preserve"> how we exercise our forebearance authority,</w:t>
      </w:r>
      <w:r w:rsidR="006A6338" w:rsidRPr="00B86E51">
        <w:rPr>
          <w:rStyle w:val="FootnoteReference"/>
          <w:rFonts w:ascii="Times New Roman" w:hAnsi="Times New Roman" w:cs="Times New Roman"/>
        </w:rPr>
        <w:footnoteReference w:id="6"/>
      </w:r>
      <w:r w:rsidR="006A6338" w:rsidRPr="00B86E51">
        <w:rPr>
          <w:rFonts w:ascii="Times New Roman" w:hAnsi="Times New Roman" w:cs="Times New Roman"/>
        </w:rPr>
        <w:t xml:space="preserve"> to how we </w:t>
      </w:r>
      <w:r w:rsidR="008F33C1" w:rsidRPr="00B86E51">
        <w:rPr>
          <w:rFonts w:ascii="Times New Roman" w:hAnsi="Times New Roman" w:cs="Times New Roman"/>
        </w:rPr>
        <w:t xml:space="preserve">assess </w:t>
      </w:r>
      <w:r w:rsidR="006A6338" w:rsidRPr="00B86E51">
        <w:rPr>
          <w:rFonts w:ascii="Times New Roman" w:hAnsi="Times New Roman" w:cs="Times New Roman"/>
        </w:rPr>
        <w:t>limit</w:t>
      </w:r>
      <w:r w:rsidR="008F33C1" w:rsidRPr="00B86E51">
        <w:rPr>
          <w:rFonts w:ascii="Times New Roman" w:hAnsi="Times New Roman" w:cs="Times New Roman"/>
        </w:rPr>
        <w:t>s</w:t>
      </w:r>
      <w:r w:rsidR="006A6338" w:rsidRPr="00B86E51">
        <w:rPr>
          <w:rFonts w:ascii="Times New Roman" w:hAnsi="Times New Roman" w:cs="Times New Roman"/>
        </w:rPr>
        <w:t xml:space="preserve"> </w:t>
      </w:r>
      <w:r w:rsidR="008F33C1" w:rsidRPr="00B86E51">
        <w:rPr>
          <w:rFonts w:ascii="Times New Roman" w:hAnsi="Times New Roman" w:cs="Times New Roman"/>
        </w:rPr>
        <w:t xml:space="preserve">on </w:t>
      </w:r>
      <w:r w:rsidR="006A6338" w:rsidRPr="00B86E51">
        <w:rPr>
          <w:rFonts w:ascii="Times New Roman" w:hAnsi="Times New Roman" w:cs="Times New Roman"/>
        </w:rPr>
        <w:t>commercial time in children’s television programming</w:t>
      </w:r>
      <w:r w:rsidR="00CD1263" w:rsidRPr="00B86E51">
        <w:rPr>
          <w:rFonts w:ascii="Times New Roman" w:hAnsi="Times New Roman" w:cs="Times New Roman"/>
        </w:rPr>
        <w:t>,</w:t>
      </w:r>
      <w:r w:rsidR="006A6338" w:rsidRPr="00B86E51">
        <w:rPr>
          <w:rStyle w:val="FootnoteReference"/>
          <w:rFonts w:ascii="Times New Roman" w:hAnsi="Times New Roman" w:cs="Times New Roman"/>
        </w:rPr>
        <w:footnoteReference w:id="7"/>
      </w:r>
      <w:r w:rsidR="00CD1263" w:rsidRPr="00B86E51">
        <w:rPr>
          <w:rFonts w:ascii="Times New Roman" w:hAnsi="Times New Roman" w:cs="Times New Roman"/>
        </w:rPr>
        <w:t xml:space="preserve"> to implementation of our universal service policies.</w:t>
      </w:r>
      <w:r w:rsidR="00CD1263" w:rsidRPr="00B86E51">
        <w:rPr>
          <w:rStyle w:val="FootnoteReference"/>
          <w:rFonts w:ascii="Times New Roman" w:hAnsi="Times New Roman" w:cs="Times New Roman"/>
        </w:rPr>
        <w:footnoteReference w:id="8"/>
      </w:r>
    </w:p>
    <w:p w:rsidR="00431AD9"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Congress has mandated that we encourage universal access to the wonders of telecommunications capabilities to individuals with disabilities, or promote broadband access in even the most remote, most rural portions of our country.</w:t>
      </w:r>
      <w:r w:rsidR="00CD1263" w:rsidRPr="00B86E51">
        <w:rPr>
          <w:rStyle w:val="FootnoteReference"/>
          <w:rFonts w:ascii="Times New Roman" w:hAnsi="Times New Roman" w:cs="Times New Roman"/>
        </w:rPr>
        <w:footnoteReference w:id="9"/>
      </w:r>
    </w:p>
    <w:p w:rsidR="00CC3270" w:rsidRPr="00B86E51" w:rsidRDefault="00FD35F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Then there’</w:t>
      </w:r>
      <w:r w:rsidR="00F32BF6" w:rsidRPr="00B86E51">
        <w:rPr>
          <w:rFonts w:ascii="Times New Roman" w:hAnsi="Times New Roman" w:cs="Times New Roman"/>
        </w:rPr>
        <w:t xml:space="preserve">s Section 706, which was at the center of </w:t>
      </w:r>
      <w:r w:rsidR="00923BBE" w:rsidRPr="00B86E51">
        <w:rPr>
          <w:rFonts w:ascii="Times New Roman" w:hAnsi="Times New Roman" w:cs="Times New Roman"/>
        </w:rPr>
        <w:t>the DC Circuit</w:t>
      </w:r>
      <w:r w:rsidR="00AD67B8" w:rsidRPr="00B86E51">
        <w:rPr>
          <w:rFonts w:ascii="Times New Roman" w:hAnsi="Times New Roman" w:cs="Times New Roman"/>
        </w:rPr>
        <w:t>’</w:t>
      </w:r>
      <w:r w:rsidR="00923BBE" w:rsidRPr="00B86E51">
        <w:rPr>
          <w:rFonts w:ascii="Times New Roman" w:hAnsi="Times New Roman" w:cs="Times New Roman"/>
        </w:rPr>
        <w:t xml:space="preserve">s recent decision in </w:t>
      </w:r>
      <w:r w:rsidR="00923BBE" w:rsidRPr="00B86E51">
        <w:rPr>
          <w:rFonts w:ascii="Times New Roman" w:hAnsi="Times New Roman" w:cs="Times New Roman"/>
          <w:i/>
        </w:rPr>
        <w:t>Verizon v. FCC</w:t>
      </w:r>
      <w:r w:rsidR="00B656DC" w:rsidRPr="00B86E51">
        <w:rPr>
          <w:rFonts w:ascii="Times New Roman" w:hAnsi="Times New Roman" w:cs="Times New Roman"/>
        </w:rPr>
        <w:t>.</w:t>
      </w:r>
      <w:r w:rsidR="00CD1263" w:rsidRPr="00B86E51">
        <w:rPr>
          <w:rStyle w:val="FootnoteReference"/>
          <w:rFonts w:ascii="Times New Roman" w:hAnsi="Times New Roman" w:cs="Times New Roman"/>
        </w:rPr>
        <w:footnoteReference w:id="10"/>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First, the court upheld the Commission</w:t>
      </w:r>
      <w:r w:rsidRPr="00B86E51">
        <w:rPr>
          <w:rFonts w:ascii="Times New Roman" w:hAnsi="Times New Roman" w:cs="Times New Roman"/>
          <w:lang w:val="fr-FR"/>
        </w:rPr>
        <w:t>’</w:t>
      </w:r>
      <w:r w:rsidRPr="00B86E51">
        <w:rPr>
          <w:rFonts w:ascii="Times New Roman" w:hAnsi="Times New Roman" w:cs="Times New Roman"/>
        </w:rPr>
        <w:t xml:space="preserve">s </w:t>
      </w:r>
      <w:r w:rsidR="00AD67B8" w:rsidRPr="00B86E51">
        <w:rPr>
          <w:rFonts w:ascii="Times New Roman" w:hAnsi="Times New Roman" w:cs="Times New Roman"/>
        </w:rPr>
        <w:t>interpretation</w:t>
      </w:r>
      <w:r w:rsidRPr="00B86E51">
        <w:rPr>
          <w:rFonts w:ascii="Times New Roman" w:hAnsi="Times New Roman" w:cs="Times New Roman"/>
        </w:rPr>
        <w:t xml:space="preserve"> that Section 706 of the Telecommunications Act gives the FCC substantive authority to encourage </w:t>
      </w:r>
      <w:r w:rsidR="006573CA" w:rsidRPr="00B86E51">
        <w:rPr>
          <w:rFonts w:ascii="Times New Roman" w:hAnsi="Times New Roman" w:cs="Times New Roman"/>
        </w:rPr>
        <w:t>broadband deployment by, among other things, removing barriers to infrastructure deployment, encouraging innovation, and promoting competition.</w:t>
      </w:r>
      <w:r w:rsidR="00B656DC" w:rsidRPr="00B86E51">
        <w:rPr>
          <w:rFonts w:ascii="Times New Roman" w:hAnsi="Times New Roman" w:cs="Times New Roman"/>
        </w:rPr>
        <w:t xml:space="preserve">  The D.C. Circuit ruled that the FCC has the legal authority to issue enforceable rules of the road to preserve Internet freedom and openness.</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Second, the court held that the Commission had rightly identified harms that are within the scope of its authority. </w:t>
      </w:r>
      <w:r w:rsidR="00AD67B8" w:rsidRPr="00B86E51">
        <w:rPr>
          <w:rFonts w:ascii="Times New Roman" w:hAnsi="Times New Roman" w:cs="Times New Roman"/>
        </w:rPr>
        <w:t xml:space="preserve"> </w:t>
      </w:r>
      <w:r w:rsidRPr="00B86E51">
        <w:rPr>
          <w:rFonts w:ascii="Times New Roman" w:hAnsi="Times New Roman" w:cs="Times New Roman"/>
        </w:rPr>
        <w:t>The court specifically upheld the Commission</w:t>
      </w:r>
      <w:r w:rsidRPr="00B86E51">
        <w:rPr>
          <w:rFonts w:ascii="Times New Roman" w:hAnsi="Times New Roman" w:cs="Times New Roman"/>
          <w:lang w:val="fr-FR"/>
        </w:rPr>
        <w:t>’</w:t>
      </w:r>
      <w:r w:rsidRPr="00B86E51">
        <w:rPr>
          <w:rFonts w:ascii="Times New Roman" w:hAnsi="Times New Roman" w:cs="Times New Roman"/>
        </w:rPr>
        <w:t xml:space="preserve">s conclusions that </w:t>
      </w:r>
      <w:r w:rsidR="001021F7" w:rsidRPr="00B86E51">
        <w:rPr>
          <w:rFonts w:ascii="Times New Roman" w:hAnsi="Times New Roman" w:cs="Times New Roman"/>
        </w:rPr>
        <w:t>“</w:t>
      </w:r>
      <w:r w:rsidRPr="00B86E51">
        <w:rPr>
          <w:rFonts w:ascii="Times New Roman" w:hAnsi="Times New Roman" w:cs="Times New Roman"/>
        </w:rPr>
        <w:t>edge-provider innovation leads to the expansion and improvement of broadband infrastructure</w:t>
      </w:r>
      <w:r w:rsidR="001021F7" w:rsidRPr="00B86E51">
        <w:rPr>
          <w:rFonts w:ascii="Times New Roman" w:hAnsi="Times New Roman" w:cs="Times New Roman"/>
        </w:rPr>
        <w:t>,”</w:t>
      </w:r>
      <w:r w:rsidRPr="00B86E51">
        <w:rPr>
          <w:rFonts w:ascii="Times New Roman" w:hAnsi="Times New Roman" w:cs="Times New Roman"/>
        </w:rPr>
        <w:t xml:space="preserve"> and that “Internet openness fosters the edge-provider innovation that drives” a virtuous cycle of innovation and growth between the Internet ecosystem and the broadband infrastructure.</w:t>
      </w:r>
      <w:r w:rsidR="008C2E51" w:rsidRPr="00B86E51">
        <w:rPr>
          <w:rStyle w:val="FootnoteReference"/>
          <w:rFonts w:ascii="Times New Roman" w:hAnsi="Times New Roman" w:cs="Times New Roman"/>
        </w:rPr>
        <w:footnoteReference w:id="11"/>
      </w:r>
    </w:p>
    <w:p w:rsidR="004533D6"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Third, the court concluded that the Commission had selected the wrong mechanism in order to carry out its legitimate goals under its congressionally-authorized authority.  The court vacated the Commission</w:t>
      </w:r>
      <w:r w:rsidRPr="00B86E51">
        <w:rPr>
          <w:rFonts w:ascii="Times New Roman" w:hAnsi="Times New Roman" w:cs="Times New Roman"/>
          <w:lang w:val="fr-FR"/>
        </w:rPr>
        <w:t>’</w:t>
      </w:r>
      <w:r w:rsidRPr="00B86E51">
        <w:rPr>
          <w:rFonts w:ascii="Times New Roman" w:hAnsi="Times New Roman" w:cs="Times New Roman"/>
        </w:rPr>
        <w:t>s “no blocking” and “</w:t>
      </w:r>
      <w:r w:rsidRPr="00B86E51">
        <w:rPr>
          <w:rFonts w:ascii="Times New Roman" w:hAnsi="Times New Roman" w:cs="Times New Roman"/>
          <w:lang w:val="de-DE"/>
        </w:rPr>
        <w:t>anti-discrimination</w:t>
      </w:r>
      <w:r w:rsidRPr="00B86E51">
        <w:rPr>
          <w:rFonts w:ascii="Times New Roman" w:hAnsi="Times New Roman" w:cs="Times New Roman"/>
        </w:rPr>
        <w:t xml:space="preserve">” rules (but not its requirement of transparency). </w:t>
      </w:r>
      <w:r w:rsidR="005860C9" w:rsidRPr="00B86E51">
        <w:rPr>
          <w:rFonts w:ascii="Times New Roman" w:hAnsi="Times New Roman" w:cs="Times New Roman"/>
        </w:rPr>
        <w:t xml:space="preserve"> </w:t>
      </w:r>
    </w:p>
    <w:p w:rsidR="00801AB8" w:rsidRPr="00B86E51" w:rsidRDefault="00886047"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At</w:t>
      </w:r>
      <w:r w:rsidR="00923BBE" w:rsidRPr="00B86E51">
        <w:rPr>
          <w:rFonts w:ascii="Times New Roman" w:hAnsi="Times New Roman" w:cs="Times New Roman"/>
        </w:rPr>
        <w:t xml:space="preserve"> the same time, the court was careful to explain the kind of approach that the Commission might take, emphasizing that it had previously upheld the Commission</w:t>
      </w:r>
      <w:r w:rsidR="00923BBE" w:rsidRPr="00B86E51">
        <w:rPr>
          <w:rFonts w:ascii="Times New Roman" w:hAnsi="Times New Roman" w:cs="Times New Roman"/>
          <w:lang w:val="fr-FR"/>
        </w:rPr>
        <w:t>’</w:t>
      </w:r>
      <w:r w:rsidR="00923BBE" w:rsidRPr="00B86E51">
        <w:rPr>
          <w:rFonts w:ascii="Times New Roman" w:hAnsi="Times New Roman" w:cs="Times New Roman"/>
        </w:rPr>
        <w:t>s wireless data roaming rules.  There the Commission had</w:t>
      </w:r>
      <w:r w:rsidR="002712FF" w:rsidRPr="00B86E51">
        <w:rPr>
          <w:rFonts w:ascii="Times New Roman" w:hAnsi="Times New Roman" w:cs="Times New Roman"/>
        </w:rPr>
        <w:t xml:space="preserve"> provided the marketplace with the certainty provided by an overarching legal principle – in that case </w:t>
      </w:r>
      <w:r w:rsidR="00923BBE" w:rsidRPr="00B86E51">
        <w:rPr>
          <w:rFonts w:ascii="Times New Roman" w:hAnsi="Times New Roman" w:cs="Times New Roman"/>
        </w:rPr>
        <w:t xml:space="preserve">“commercially reasonable” </w:t>
      </w:r>
      <w:r w:rsidR="002712FF" w:rsidRPr="00B86E51">
        <w:rPr>
          <w:rFonts w:ascii="Times New Roman" w:hAnsi="Times New Roman" w:cs="Times New Roman"/>
        </w:rPr>
        <w:t>terms and conditions;</w:t>
      </w:r>
      <w:r w:rsidR="00923BBE" w:rsidRPr="00B86E51">
        <w:rPr>
          <w:rFonts w:ascii="Times New Roman" w:hAnsi="Times New Roman" w:cs="Times New Roman"/>
        </w:rPr>
        <w:t xml:space="preserve"> provided extensive guidance on the factors to be considere</w:t>
      </w:r>
      <w:r w:rsidR="002712FF" w:rsidRPr="00B86E51">
        <w:rPr>
          <w:rFonts w:ascii="Times New Roman" w:hAnsi="Times New Roman" w:cs="Times New Roman"/>
        </w:rPr>
        <w:t>d in resolving disputes, and looking to individualized negotiation and, if necessary, case</w:t>
      </w:r>
      <w:r w:rsidR="0043453F" w:rsidRPr="00B86E51">
        <w:rPr>
          <w:rFonts w:ascii="Times New Roman" w:hAnsi="Times New Roman" w:cs="Times New Roman"/>
        </w:rPr>
        <w:t xml:space="preserve">-by-case adjudication to resolve disputes. </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So the third conclusion is that the Commission selected a mechanism that was not permitted, but </w:t>
      </w:r>
      <w:r w:rsidR="0043453F" w:rsidRPr="00B86E51">
        <w:rPr>
          <w:rFonts w:ascii="Times New Roman" w:hAnsi="Times New Roman" w:cs="Times New Roman"/>
        </w:rPr>
        <w:t>this very promising</w:t>
      </w:r>
      <w:r w:rsidR="009D77C8" w:rsidRPr="00B86E51">
        <w:rPr>
          <w:rFonts w:ascii="Times New Roman" w:hAnsi="Times New Roman" w:cs="Times New Roman"/>
        </w:rPr>
        <w:t xml:space="preserve"> alternative</w:t>
      </w:r>
      <w:r w:rsidR="0043453F" w:rsidRPr="00B86E51">
        <w:rPr>
          <w:rFonts w:ascii="Times New Roman" w:hAnsi="Times New Roman" w:cs="Times New Roman"/>
        </w:rPr>
        <w:t xml:space="preserve"> is </w:t>
      </w:r>
      <w:r w:rsidRPr="00B86E51">
        <w:rPr>
          <w:rFonts w:ascii="Times New Roman" w:hAnsi="Times New Roman" w:cs="Times New Roman"/>
        </w:rPr>
        <w:t>available for it to consider.</w:t>
      </w:r>
    </w:p>
    <w:p w:rsidR="0043453F" w:rsidRPr="00B86E51" w:rsidRDefault="00CC3270"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In light of this opinion,</w:t>
      </w:r>
      <w:r w:rsidR="0043453F" w:rsidRPr="00B86E51">
        <w:rPr>
          <w:rFonts w:ascii="Times New Roman" w:hAnsi="Times New Roman" w:cs="Times New Roman"/>
        </w:rPr>
        <w:t xml:space="preserve"> there’s little surprise that the Chairman has instructed the staff to bring to the full Commission a Notice of Proposed Rulemaking that would use the means articulated by the D.C. Circuit to fulfill the goals of the Open Internet Order, which the court found to be within the authority of the FCC.</w:t>
      </w:r>
    </w:p>
    <w:p w:rsidR="002504D0" w:rsidRPr="00B86E51" w:rsidRDefault="0043453F"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That means the Commission </w:t>
      </w:r>
      <w:r w:rsidR="00107586" w:rsidRPr="00B86E51">
        <w:rPr>
          <w:rFonts w:ascii="Times New Roman" w:hAnsi="Times New Roman" w:cs="Times New Roman"/>
        </w:rPr>
        <w:t>will look for opportunities to enforce and enhance the transparency rule</w:t>
      </w:r>
      <w:r w:rsidRPr="00B86E51">
        <w:rPr>
          <w:rFonts w:ascii="Times New Roman" w:hAnsi="Times New Roman" w:cs="Times New Roman"/>
        </w:rPr>
        <w:t xml:space="preserve"> that was upheld and to fulfill the goals of the </w:t>
      </w:r>
      <w:r w:rsidR="005163BA" w:rsidRPr="00B86E51">
        <w:rPr>
          <w:rFonts w:ascii="Times New Roman" w:hAnsi="Times New Roman" w:cs="Times New Roman"/>
        </w:rPr>
        <w:t>“</w:t>
      </w:r>
      <w:r w:rsidR="00107586" w:rsidRPr="00B86E51">
        <w:rPr>
          <w:rFonts w:ascii="Times New Roman" w:hAnsi="Times New Roman" w:cs="Times New Roman"/>
        </w:rPr>
        <w:t>no blocking</w:t>
      </w:r>
      <w:r w:rsidR="005163BA" w:rsidRPr="00B86E51">
        <w:rPr>
          <w:rFonts w:ascii="Times New Roman" w:hAnsi="Times New Roman" w:cs="Times New Roman"/>
        </w:rPr>
        <w:t>”</w:t>
      </w:r>
      <w:r w:rsidRPr="00B86E51">
        <w:rPr>
          <w:rFonts w:ascii="Times New Roman" w:hAnsi="Times New Roman" w:cs="Times New Roman"/>
        </w:rPr>
        <w:t xml:space="preserve"> and</w:t>
      </w:r>
      <w:r w:rsidR="00107586" w:rsidRPr="00B86E51">
        <w:rPr>
          <w:rFonts w:ascii="Times New Roman" w:hAnsi="Times New Roman" w:cs="Times New Roman"/>
        </w:rPr>
        <w:t xml:space="preserve"> non-discrimination rule</w:t>
      </w:r>
      <w:r w:rsidRPr="00B86E51">
        <w:rPr>
          <w:rFonts w:ascii="Times New Roman" w:hAnsi="Times New Roman" w:cs="Times New Roman"/>
        </w:rPr>
        <w:t>s</w:t>
      </w:r>
      <w:r w:rsidR="00107586" w:rsidRPr="00B86E51">
        <w:rPr>
          <w:rFonts w:ascii="Times New Roman" w:hAnsi="Times New Roman" w:cs="Times New Roman"/>
        </w:rPr>
        <w:t xml:space="preserve">.  </w:t>
      </w:r>
      <w:r w:rsidR="002504D0" w:rsidRPr="00B86E51">
        <w:rPr>
          <w:rFonts w:ascii="Times New Roman" w:hAnsi="Times New Roman" w:cs="Times New Roman"/>
        </w:rPr>
        <w:t>The Commission opened a new docket after the court decision entitled “Protecting and Promoting the Open Internet,”</w:t>
      </w:r>
      <w:r w:rsidR="009D77C8" w:rsidRPr="00B86E51">
        <w:rPr>
          <w:rFonts w:ascii="Times New Roman" w:hAnsi="Times New Roman" w:cs="Times New Roman"/>
        </w:rPr>
        <w:t xml:space="preserve"> and we’ve received almost 10,000 c</w:t>
      </w:r>
      <w:r w:rsidR="002504D0" w:rsidRPr="00B86E51">
        <w:rPr>
          <w:rFonts w:ascii="Times New Roman" w:hAnsi="Times New Roman" w:cs="Times New Roman"/>
        </w:rPr>
        <w:t>omments</w:t>
      </w:r>
      <w:r w:rsidRPr="00B86E51">
        <w:rPr>
          <w:rFonts w:ascii="Times New Roman" w:hAnsi="Times New Roman" w:cs="Times New Roman"/>
        </w:rPr>
        <w:t xml:space="preserve"> so far</w:t>
      </w:r>
      <w:r w:rsidR="002504D0" w:rsidRPr="00B86E51">
        <w:rPr>
          <w:rFonts w:ascii="Times New Roman" w:hAnsi="Times New Roman" w:cs="Times New Roman"/>
        </w:rPr>
        <w:t>.  We’re learning a lot and we hope to learn more.</w:t>
      </w:r>
      <w:r w:rsidR="00D670C7" w:rsidRPr="00B86E51">
        <w:rPr>
          <w:rFonts w:ascii="Times New Roman" w:hAnsi="Times New Roman" w:cs="Times New Roman"/>
        </w:rPr>
        <w:t xml:space="preserve"> </w:t>
      </w:r>
      <w:r w:rsidRPr="00B86E51">
        <w:rPr>
          <w:rFonts w:ascii="Times New Roman" w:hAnsi="Times New Roman" w:cs="Times New Roman"/>
        </w:rPr>
        <w:t xml:space="preserve"> Indeed, we said that comments filed in the first thirty days would be particularly helpful – which runs out on March </w:t>
      </w:r>
      <w:r w:rsidR="003D41D1" w:rsidRPr="00B86E51">
        <w:rPr>
          <w:rFonts w:ascii="Times New Roman" w:hAnsi="Times New Roman" w:cs="Times New Roman"/>
        </w:rPr>
        <w:t>21st</w:t>
      </w:r>
      <w:r w:rsidRPr="00B86E51">
        <w:rPr>
          <w:rFonts w:ascii="Times New Roman" w:hAnsi="Times New Roman" w:cs="Times New Roman"/>
        </w:rPr>
        <w:t xml:space="preserve">. </w:t>
      </w:r>
      <w:r w:rsidR="00DA7E13" w:rsidRPr="00B86E51">
        <w:rPr>
          <w:rFonts w:ascii="Times New Roman" w:hAnsi="Times New Roman" w:cs="Times New Roman"/>
        </w:rPr>
        <w:t xml:space="preserve"> </w:t>
      </w:r>
      <w:r w:rsidRPr="00B86E51">
        <w:rPr>
          <w:rFonts w:ascii="Times New Roman" w:hAnsi="Times New Roman" w:cs="Times New Roman"/>
        </w:rPr>
        <w:t>So we would very much appreciate more views, from diverse audiences, as the staff continues its work.</w:t>
      </w:r>
    </w:p>
    <w:p w:rsidR="00801AB8" w:rsidRPr="00B86E51" w:rsidRDefault="0043453F"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Looking at the Communications Act as a whole, </w:t>
      </w:r>
      <w:r w:rsidR="00923BBE" w:rsidRPr="00B86E51">
        <w:rPr>
          <w:rFonts w:ascii="Times New Roman" w:hAnsi="Times New Roman" w:cs="Times New Roman"/>
        </w:rPr>
        <w:t>the clear congressional intent is that communi</w:t>
      </w:r>
      <w:r w:rsidRPr="00B86E51">
        <w:rPr>
          <w:rFonts w:ascii="Times New Roman" w:hAnsi="Times New Roman" w:cs="Times New Roman"/>
        </w:rPr>
        <w:t>cations networks are</w:t>
      </w:r>
      <w:r w:rsidR="00923BBE" w:rsidRPr="00B86E51">
        <w:rPr>
          <w:rFonts w:ascii="Times New Roman" w:hAnsi="Times New Roman" w:cs="Times New Roman"/>
        </w:rPr>
        <w:t xml:space="preserve"> the crux of the FCC</w:t>
      </w:r>
      <w:r w:rsidR="00923BBE" w:rsidRPr="00B86E51">
        <w:rPr>
          <w:rFonts w:ascii="Times New Roman" w:hAnsi="Times New Roman" w:cs="Times New Roman"/>
          <w:lang w:val="fr-FR"/>
        </w:rPr>
        <w:t xml:space="preserve">’s business.  </w:t>
      </w:r>
      <w:r w:rsidR="00226FA4" w:rsidRPr="00B86E51">
        <w:rPr>
          <w:rFonts w:ascii="Times New Roman" w:hAnsi="Times New Roman" w:cs="Times New Roman"/>
          <w:lang w:val="fr-FR"/>
        </w:rPr>
        <w:t>We</w:t>
      </w:r>
      <w:r w:rsidRPr="00B86E51">
        <w:rPr>
          <w:rFonts w:ascii="Times New Roman" w:hAnsi="Times New Roman" w:cs="Times New Roman"/>
          <w:lang w:val="fr-FR"/>
        </w:rPr>
        <w:t xml:space="preserve"> </w:t>
      </w:r>
      <w:r w:rsidR="00923BBE" w:rsidRPr="00B86E51">
        <w:rPr>
          <w:rFonts w:ascii="Times New Roman" w:hAnsi="Times New Roman" w:cs="Times New Roman"/>
          <w:lang w:val="fr-FR"/>
        </w:rPr>
        <w:t>don’</w:t>
      </w:r>
      <w:r w:rsidR="00923BBE" w:rsidRPr="00B86E51">
        <w:rPr>
          <w:rFonts w:ascii="Times New Roman" w:hAnsi="Times New Roman" w:cs="Times New Roman"/>
        </w:rPr>
        <w:t>t build networks or dictate network architectures, but we do, within the direction given by Congress, establish the legal culture that governs networks.</w:t>
      </w:r>
    </w:p>
    <w:p w:rsidR="00CF6E19" w:rsidRPr="00B86E51" w:rsidRDefault="00CF6E19" w:rsidP="0076708E">
      <w:pPr>
        <w:pStyle w:val="Body"/>
        <w:keepLines/>
        <w:pBdr>
          <w:bottom w:val="dotted" w:sz="24" w:space="1" w:color="auto"/>
        </w:pBdr>
        <w:spacing w:after="120" w:line="240" w:lineRule="auto"/>
        <w:rPr>
          <w:rFonts w:ascii="Times New Roman" w:hAnsi="Times New Roman" w:cs="Times New Roman"/>
        </w:rPr>
      </w:pPr>
    </w:p>
    <w:p w:rsidR="00CF6E19" w:rsidRPr="00B86E51" w:rsidRDefault="00CF6E19" w:rsidP="0076708E">
      <w:pPr>
        <w:pStyle w:val="Body"/>
        <w:keepLines/>
        <w:pBdr>
          <w:top w:val="none" w:sz="0" w:space="0" w:color="auto"/>
        </w:pBdr>
        <w:spacing w:after="120" w:line="240" w:lineRule="auto"/>
        <w:rPr>
          <w:rFonts w:ascii="Times New Roman" w:hAnsi="Times New Roman" w:cs="Times New Roman"/>
        </w:rPr>
      </w:pPr>
    </w:p>
    <w:p w:rsidR="00801AB8" w:rsidRPr="00B86E51" w:rsidRDefault="00CF6E19" w:rsidP="0076708E">
      <w:pPr>
        <w:pStyle w:val="Body"/>
        <w:keepLines/>
        <w:pBdr>
          <w:top w:val="none" w:sz="0" w:space="0" w:color="auto"/>
        </w:pBdr>
        <w:spacing w:after="120" w:line="240" w:lineRule="auto"/>
        <w:rPr>
          <w:rFonts w:ascii="Times New Roman" w:hAnsi="Times New Roman" w:cs="Times New Roman"/>
        </w:rPr>
      </w:pPr>
      <w:r w:rsidRPr="00B86E51">
        <w:rPr>
          <w:rFonts w:ascii="Times New Roman" w:hAnsi="Times New Roman" w:cs="Times New Roman"/>
        </w:rPr>
        <w:t xml:space="preserve">Let me spend the next few minutes </w:t>
      </w:r>
      <w:r w:rsidR="00923BBE" w:rsidRPr="00B86E51">
        <w:rPr>
          <w:rFonts w:ascii="Times New Roman" w:hAnsi="Times New Roman" w:cs="Times New Roman"/>
        </w:rPr>
        <w:t>focus</w:t>
      </w:r>
      <w:r w:rsidR="00AD67B8" w:rsidRPr="00B86E51">
        <w:rPr>
          <w:rFonts w:ascii="Times New Roman" w:hAnsi="Times New Roman" w:cs="Times New Roman"/>
        </w:rPr>
        <w:t xml:space="preserve">ing on </w:t>
      </w:r>
      <w:r w:rsidR="0057640B" w:rsidRPr="00B86E51">
        <w:rPr>
          <w:rFonts w:ascii="Times New Roman" w:hAnsi="Times New Roman" w:cs="Times New Roman"/>
        </w:rPr>
        <w:t xml:space="preserve">one of </w:t>
      </w:r>
      <w:r w:rsidR="00AD67B8" w:rsidRPr="00B86E51">
        <w:rPr>
          <w:rFonts w:ascii="Times New Roman" w:hAnsi="Times New Roman" w:cs="Times New Roman"/>
        </w:rPr>
        <w:t xml:space="preserve">the enduring values </w:t>
      </w:r>
      <w:r w:rsidR="00923BBE" w:rsidRPr="00B86E51">
        <w:rPr>
          <w:rFonts w:ascii="Times New Roman" w:hAnsi="Times New Roman" w:cs="Times New Roman"/>
        </w:rPr>
        <w:t xml:space="preserve">the element of competition. </w:t>
      </w:r>
      <w:r w:rsidR="00AD67B8" w:rsidRPr="00B86E51">
        <w:rPr>
          <w:rFonts w:ascii="Times New Roman" w:hAnsi="Times New Roman" w:cs="Times New Roman"/>
        </w:rPr>
        <w:t xml:space="preserve"> </w:t>
      </w:r>
      <w:r w:rsidR="00923BBE" w:rsidRPr="00B86E51">
        <w:rPr>
          <w:rFonts w:ascii="Times New Roman" w:hAnsi="Times New Roman" w:cs="Times New Roman"/>
        </w:rPr>
        <w:t>You have heard, I am sure, Chairman Wheeler</w:t>
      </w:r>
      <w:r w:rsidR="00923BBE" w:rsidRPr="00B86E51">
        <w:rPr>
          <w:rFonts w:ascii="Times New Roman" w:hAnsi="Times New Roman" w:cs="Times New Roman"/>
          <w:lang w:val="fr-FR"/>
        </w:rPr>
        <w:t>’</w:t>
      </w:r>
      <w:r w:rsidR="00923BBE" w:rsidRPr="00B86E51">
        <w:rPr>
          <w:rFonts w:ascii="Times New Roman" w:hAnsi="Times New Roman" w:cs="Times New Roman"/>
        </w:rPr>
        <w:t xml:space="preserve">s mantra of competition, competition, competition.  But it </w:t>
      </w:r>
      <w:r w:rsidR="006573CA" w:rsidRPr="00B86E51">
        <w:rPr>
          <w:rFonts w:ascii="Times New Roman" w:hAnsi="Times New Roman" w:cs="Times New Roman"/>
        </w:rPr>
        <w:t>doesn’t</w:t>
      </w:r>
      <w:r w:rsidR="00923BBE" w:rsidRPr="00B86E51">
        <w:rPr>
          <w:rFonts w:ascii="Times New Roman" w:hAnsi="Times New Roman" w:cs="Times New Roman"/>
        </w:rPr>
        <w:t xml:space="preserve"> stop with the Chairman, competition is recognized as an important and endurin</w:t>
      </w:r>
      <w:r w:rsidR="00C12463" w:rsidRPr="00B86E51">
        <w:rPr>
          <w:rFonts w:ascii="Times New Roman" w:hAnsi="Times New Roman" w:cs="Times New Roman"/>
        </w:rPr>
        <w:t>g value across the Commission.</w:t>
      </w:r>
      <w:r w:rsidR="00D670C7" w:rsidRPr="00B86E51">
        <w:rPr>
          <w:rFonts w:ascii="Times New Roman" w:hAnsi="Times New Roman" w:cs="Times New Roman"/>
        </w:rPr>
        <w:t xml:space="preserve"> </w:t>
      </w:r>
      <w:r w:rsidR="00C12463" w:rsidRPr="00B86E51">
        <w:rPr>
          <w:rFonts w:ascii="Times New Roman" w:hAnsi="Times New Roman" w:cs="Times New Roman"/>
        </w:rPr>
        <w:t xml:space="preserve"> </w:t>
      </w:r>
      <w:r w:rsidRPr="00B86E51">
        <w:rPr>
          <w:rFonts w:ascii="Times New Roman" w:hAnsi="Times New Roman" w:cs="Times New Roman"/>
        </w:rPr>
        <w:t>Commissioner Pai, for example, gave an important speech on this topic in December on the 100</w:t>
      </w:r>
      <w:r w:rsidRPr="00B86E51">
        <w:rPr>
          <w:rFonts w:ascii="Times New Roman" w:hAnsi="Times New Roman" w:cs="Times New Roman"/>
          <w:vertAlign w:val="superscript"/>
        </w:rPr>
        <w:t>th</w:t>
      </w:r>
      <w:r w:rsidRPr="00B86E51">
        <w:rPr>
          <w:rFonts w:ascii="Times New Roman" w:hAnsi="Times New Roman" w:cs="Times New Roman"/>
        </w:rPr>
        <w:t xml:space="preserve"> anniversary of the Kingsbury Commitment.</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lang w:val="nl-NL"/>
        </w:rPr>
        <w:t>Here is Chairman Wheeler</w:t>
      </w:r>
      <w:r w:rsidRPr="00B86E51">
        <w:rPr>
          <w:rFonts w:ascii="Times New Roman" w:hAnsi="Times New Roman" w:cs="Times New Roman"/>
          <w:lang w:val="fr-FR"/>
        </w:rPr>
        <w:t>’</w:t>
      </w:r>
      <w:r w:rsidRPr="00B86E51">
        <w:rPr>
          <w:rFonts w:ascii="Times New Roman" w:hAnsi="Times New Roman" w:cs="Times New Roman"/>
        </w:rPr>
        <w:t>s approach: “Where competition does exist, we will protect it. Where competition can exist, we will incent it. And where private markets cannot be expected to deliver what the public needs, then we will proceed in a transparent manner to fill that void.”</w:t>
      </w:r>
      <w:r w:rsidR="00CD1263" w:rsidRPr="00B86E51">
        <w:rPr>
          <w:rStyle w:val="FootnoteReference"/>
          <w:rFonts w:ascii="Times New Roman" w:hAnsi="Times New Roman" w:cs="Times New Roman"/>
        </w:rPr>
        <w:footnoteReference w:id="12"/>
      </w:r>
    </w:p>
    <w:p w:rsidR="00CD05EA" w:rsidRPr="00B86E51" w:rsidRDefault="00CD05E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The first principle is that where competition does exist, we will protect it.</w:t>
      </w:r>
    </w:p>
    <w:p w:rsidR="00CD05EA" w:rsidRPr="00B86E51" w:rsidRDefault="00CD05E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Not competitors, but competition.  Think of this as preventing competitive markets from being transformed artificially into non-competitive markets</w:t>
      </w:r>
      <w:r w:rsidR="004533D6" w:rsidRPr="00B86E51">
        <w:rPr>
          <w:rFonts w:ascii="Times New Roman" w:hAnsi="Times New Roman" w:cs="Times New Roman"/>
        </w:rPr>
        <w:t>.</w:t>
      </w:r>
      <w:r w:rsidRPr="00B86E51">
        <w:rPr>
          <w:rFonts w:ascii="Times New Roman" w:hAnsi="Times New Roman" w:cs="Times New Roman"/>
        </w:rPr>
        <w:t xml:space="preserve"> </w:t>
      </w:r>
    </w:p>
    <w:p w:rsidR="00CF6E19" w:rsidRPr="00B86E51" w:rsidRDefault="00CF6E19"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Such allegations arise, for example, in the context of transactions that involve the transfer of FCC licenses. </w:t>
      </w:r>
      <w:r w:rsidR="00D670C7" w:rsidRPr="00B86E51">
        <w:rPr>
          <w:rFonts w:ascii="Times New Roman" w:hAnsi="Times New Roman" w:cs="Times New Roman"/>
        </w:rPr>
        <w:t xml:space="preserve"> </w:t>
      </w:r>
      <w:r w:rsidR="00CD05EA" w:rsidRPr="00B86E51">
        <w:rPr>
          <w:rFonts w:ascii="Times New Roman" w:hAnsi="Times New Roman" w:cs="Times New Roman"/>
        </w:rPr>
        <w:t xml:space="preserve">In judging transactions, we should be careful to move along both efficiently and in harmony with antitrust agencies.  </w:t>
      </w:r>
    </w:p>
    <w:p w:rsidR="00CD05EA" w:rsidRPr="00B86E51" w:rsidRDefault="00CD05E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But a comparison of the Communications Act with the Sherman and Clayton Acts clearly demonstrates that our authority and the authority of the antitrust agencies are not coterminous.  </w:t>
      </w:r>
    </w:p>
    <w:p w:rsidR="00CF6E19" w:rsidRPr="00B86E51" w:rsidRDefault="00107586"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The DOJ review is limited solely to an examination of the competitive effects of the acquisition, without reference to diversity, localism, or other public interest considerations.  The FCC’s competitive analysis under the public interest standard is somewhat broader, for example, considering whether a transaction will enhance, rather than merely preserve, existing competition, and takes a more extensive view of potential and future competition and its impact on the relevant markets.  </w:t>
      </w:r>
      <w:r w:rsidR="00D670C7" w:rsidRPr="00B86E51">
        <w:rPr>
          <w:rFonts w:ascii="Times New Roman" w:hAnsi="Times New Roman" w:cs="Times New Roman"/>
        </w:rPr>
        <w:t>Simply put</w:t>
      </w:r>
      <w:r w:rsidR="00CF6E19" w:rsidRPr="00B86E51">
        <w:rPr>
          <w:rFonts w:ascii="Times New Roman" w:hAnsi="Times New Roman" w:cs="Times New Roman"/>
        </w:rPr>
        <w:t xml:space="preserve">, we take a </w:t>
      </w:r>
      <w:r w:rsidR="00866C53" w:rsidRPr="00B86E51">
        <w:rPr>
          <w:rFonts w:ascii="Times New Roman" w:hAnsi="Times New Roman" w:cs="Times New Roman"/>
        </w:rPr>
        <w:t>more expansive</w:t>
      </w:r>
      <w:r w:rsidR="00CF6E19" w:rsidRPr="00B86E51">
        <w:rPr>
          <w:rFonts w:ascii="Times New Roman" w:hAnsi="Times New Roman" w:cs="Times New Roman"/>
        </w:rPr>
        <w:t xml:space="preserve"> look.</w:t>
      </w:r>
    </w:p>
    <w:p w:rsidR="00CF6E19" w:rsidRPr="00B86E51" w:rsidRDefault="00CF6E19"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Congress has also enacted a different process </w:t>
      </w:r>
      <w:r w:rsidR="00D670C7" w:rsidRPr="00B86E51">
        <w:rPr>
          <w:rFonts w:ascii="Times New Roman" w:hAnsi="Times New Roman" w:cs="Times New Roman"/>
        </w:rPr>
        <w:t xml:space="preserve">for the FCC </w:t>
      </w:r>
      <w:r w:rsidRPr="00B86E51">
        <w:rPr>
          <w:rFonts w:ascii="Times New Roman" w:hAnsi="Times New Roman" w:cs="Times New Roman"/>
        </w:rPr>
        <w:t xml:space="preserve">than </w:t>
      </w:r>
      <w:r w:rsidR="00D670C7" w:rsidRPr="00B86E51">
        <w:rPr>
          <w:rFonts w:ascii="Times New Roman" w:hAnsi="Times New Roman" w:cs="Times New Roman"/>
        </w:rPr>
        <w:t xml:space="preserve">that </w:t>
      </w:r>
      <w:r w:rsidRPr="00B86E51">
        <w:rPr>
          <w:rFonts w:ascii="Times New Roman" w:hAnsi="Times New Roman" w:cs="Times New Roman"/>
        </w:rPr>
        <w:t xml:space="preserve">used by the antitrust agencies. </w:t>
      </w:r>
      <w:r w:rsidR="00D670C7" w:rsidRPr="00B86E51">
        <w:rPr>
          <w:rFonts w:ascii="Times New Roman" w:hAnsi="Times New Roman" w:cs="Times New Roman"/>
        </w:rPr>
        <w:t xml:space="preserve"> </w:t>
      </w:r>
      <w:r w:rsidRPr="00B86E51">
        <w:rPr>
          <w:rFonts w:ascii="Times New Roman" w:hAnsi="Times New Roman" w:cs="Times New Roman"/>
        </w:rPr>
        <w:t>Under the Clayton Act, the Department of Justice must decide whether it will file a civil action in U.S. district court where it bears the burden of proof.</w:t>
      </w:r>
    </w:p>
    <w:p w:rsidR="00107586" w:rsidRPr="00B86E51" w:rsidRDefault="00CF6E19"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By contrast, if </w:t>
      </w:r>
      <w:r w:rsidR="00D670C7" w:rsidRPr="00B86E51">
        <w:rPr>
          <w:rFonts w:ascii="Times New Roman" w:hAnsi="Times New Roman" w:cs="Times New Roman"/>
        </w:rPr>
        <w:t xml:space="preserve">after a thorough review </w:t>
      </w:r>
      <w:r w:rsidRPr="00B86E51">
        <w:rPr>
          <w:rFonts w:ascii="Times New Roman" w:hAnsi="Times New Roman" w:cs="Times New Roman"/>
        </w:rPr>
        <w:t>the FCC</w:t>
      </w:r>
      <w:r w:rsidR="00D670C7" w:rsidRPr="00B86E51">
        <w:rPr>
          <w:rFonts w:ascii="Times New Roman" w:hAnsi="Times New Roman" w:cs="Times New Roman"/>
        </w:rPr>
        <w:t xml:space="preserve"> is</w:t>
      </w:r>
      <w:r w:rsidRPr="00B86E51">
        <w:rPr>
          <w:rFonts w:ascii="Times New Roman" w:hAnsi="Times New Roman" w:cs="Times New Roman"/>
        </w:rPr>
        <w:t xml:space="preserve"> </w:t>
      </w:r>
      <w:r w:rsidR="00107586" w:rsidRPr="00B86E51">
        <w:rPr>
          <w:rFonts w:ascii="Times New Roman" w:hAnsi="Times New Roman" w:cs="Times New Roman"/>
        </w:rPr>
        <w:t>unable to find that the proposed transaction serves the public interest for any reason</w:t>
      </w:r>
      <w:r w:rsidR="005B6DA2" w:rsidRPr="00B86E51">
        <w:rPr>
          <w:rFonts w:ascii="Times New Roman" w:hAnsi="Times New Roman" w:cs="Times New Roman"/>
        </w:rPr>
        <w:t>,</w:t>
      </w:r>
      <w:r w:rsidR="00107586" w:rsidRPr="00B86E51">
        <w:rPr>
          <w:rFonts w:ascii="Times New Roman" w:hAnsi="Times New Roman" w:cs="Times New Roman"/>
        </w:rPr>
        <w:t xml:space="preserve"> or if the record presents a substantial and material question of fact, we are obligated to designate the application for </w:t>
      </w:r>
      <w:r w:rsidRPr="00B86E51">
        <w:rPr>
          <w:rFonts w:ascii="Times New Roman" w:hAnsi="Times New Roman" w:cs="Times New Roman"/>
        </w:rPr>
        <w:t xml:space="preserve">an administrative </w:t>
      </w:r>
      <w:r w:rsidR="00107586" w:rsidRPr="00B86E51">
        <w:rPr>
          <w:rFonts w:ascii="Times New Roman" w:hAnsi="Times New Roman" w:cs="Times New Roman"/>
        </w:rPr>
        <w:t>hearing</w:t>
      </w:r>
      <w:r w:rsidR="00DA5193" w:rsidRPr="00B86E51">
        <w:rPr>
          <w:rFonts w:ascii="Times New Roman" w:hAnsi="Times New Roman" w:cs="Times New Roman"/>
        </w:rPr>
        <w:t>,</w:t>
      </w:r>
      <w:r w:rsidRPr="00B86E51">
        <w:rPr>
          <w:rFonts w:ascii="Times New Roman" w:hAnsi="Times New Roman" w:cs="Times New Roman"/>
        </w:rPr>
        <w:t xml:space="preserve"> at which the facts of the transaction can be examined in the traditional adversary process that is the hallmark of our Anglo-American jurisprudence</w:t>
      </w:r>
      <w:r w:rsidR="00107586" w:rsidRPr="00B86E51">
        <w:rPr>
          <w:rFonts w:ascii="Times New Roman" w:hAnsi="Times New Roman" w:cs="Times New Roman"/>
        </w:rPr>
        <w:t>.</w:t>
      </w:r>
      <w:r w:rsidR="005B6DA2" w:rsidRPr="00B86E51">
        <w:rPr>
          <w:rStyle w:val="FootnoteReference"/>
          <w:rFonts w:ascii="Times New Roman" w:hAnsi="Times New Roman" w:cs="Times New Roman"/>
        </w:rPr>
        <w:footnoteReference w:id="13"/>
      </w:r>
      <w:r w:rsidRPr="00B86E51">
        <w:rPr>
          <w:rFonts w:ascii="Times New Roman" w:hAnsi="Times New Roman" w:cs="Times New Roman"/>
        </w:rPr>
        <w:t xml:space="preserve"> </w:t>
      </w:r>
      <w:r w:rsidR="005B6DA2" w:rsidRPr="00B86E51">
        <w:rPr>
          <w:rFonts w:ascii="Times New Roman" w:hAnsi="Times New Roman" w:cs="Times New Roman"/>
        </w:rPr>
        <w:t xml:space="preserve"> </w:t>
      </w:r>
      <w:r w:rsidRPr="00B86E51">
        <w:rPr>
          <w:rFonts w:ascii="Times New Roman" w:hAnsi="Times New Roman" w:cs="Times New Roman"/>
        </w:rPr>
        <w:t>Following that hearing, the Commission would render a decision on the merits after which, of course, judicial review is available.</w:t>
      </w:r>
      <w:r w:rsidR="005B6DA2" w:rsidRPr="00B86E51">
        <w:rPr>
          <w:rFonts w:ascii="Times New Roman" w:hAnsi="Times New Roman" w:cs="Times New Roman"/>
        </w:rPr>
        <w:t xml:space="preserve">  </w:t>
      </w:r>
    </w:p>
    <w:p w:rsidR="00CF6E19" w:rsidRPr="00B86E51" w:rsidRDefault="008B2776"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I am aware of the reputation that some attribute to the FCC – that the answer is always “yes,” and the path to “yes” is by bargaining with the agency.  </w:t>
      </w:r>
      <w:r w:rsidR="00CF6E19" w:rsidRPr="00B86E51">
        <w:rPr>
          <w:rFonts w:ascii="Times New Roman" w:hAnsi="Times New Roman" w:cs="Times New Roman"/>
        </w:rPr>
        <w:t xml:space="preserve">It is hard to imagine that such a view can be squared with the manner in which the Commission assiduously applied the law </w:t>
      </w:r>
      <w:r w:rsidR="00866C53" w:rsidRPr="00B86E51">
        <w:rPr>
          <w:rFonts w:ascii="Times New Roman" w:hAnsi="Times New Roman" w:cs="Times New Roman"/>
        </w:rPr>
        <w:t xml:space="preserve">to the facts of </w:t>
      </w:r>
      <w:r w:rsidR="00CF6E19" w:rsidRPr="00B86E51">
        <w:rPr>
          <w:rFonts w:ascii="Times New Roman" w:hAnsi="Times New Roman" w:cs="Times New Roman"/>
        </w:rPr>
        <w:t>the proposed AT&amp;T/T-Mobile transaction</w:t>
      </w:r>
      <w:r w:rsidR="00B1414F" w:rsidRPr="00B86E51">
        <w:rPr>
          <w:rFonts w:ascii="Times New Roman" w:hAnsi="Times New Roman" w:cs="Times New Roman"/>
        </w:rPr>
        <w:t>, among others</w:t>
      </w:r>
      <w:r w:rsidR="00CF6E19" w:rsidRPr="00B86E51">
        <w:rPr>
          <w:rFonts w:ascii="Times New Roman" w:hAnsi="Times New Roman" w:cs="Times New Roman"/>
        </w:rPr>
        <w:t>.</w:t>
      </w:r>
      <w:r w:rsidR="00866C53" w:rsidRPr="00B86E51">
        <w:rPr>
          <w:rFonts w:ascii="Times New Roman" w:hAnsi="Times New Roman" w:cs="Times New Roman"/>
        </w:rPr>
        <w:t xml:space="preserve">  </w:t>
      </w:r>
      <w:r w:rsidR="00CF6E19" w:rsidRPr="00B86E51">
        <w:rPr>
          <w:rFonts w:ascii="Times New Roman" w:hAnsi="Times New Roman" w:cs="Times New Roman"/>
        </w:rPr>
        <w:t xml:space="preserve">But in case there </w:t>
      </w:r>
      <w:r w:rsidR="00866C53" w:rsidRPr="00B86E51">
        <w:rPr>
          <w:rFonts w:ascii="Times New Roman" w:hAnsi="Times New Roman" w:cs="Times New Roman"/>
        </w:rPr>
        <w:t xml:space="preserve">remains </w:t>
      </w:r>
      <w:r w:rsidR="00CF6E19" w:rsidRPr="00B86E51">
        <w:rPr>
          <w:rFonts w:ascii="Times New Roman" w:hAnsi="Times New Roman" w:cs="Times New Roman"/>
        </w:rPr>
        <w:t>any doubt, Chairman Wheeler is very clear that transaction reviews under his tenure will be rigorous, will be fact-based, will be thorough, will follow Congress’s statutory mandate, both as to the applicable standard and the appropriate process, and will serve the public interest.</w:t>
      </w:r>
      <w:r w:rsidR="0023444F" w:rsidRPr="00B86E51">
        <w:rPr>
          <w:rFonts w:ascii="Times New Roman" w:hAnsi="Times New Roman" w:cs="Times New Roman"/>
        </w:rPr>
        <w:t xml:space="preserve"> </w:t>
      </w:r>
      <w:r w:rsidRPr="00B86E51">
        <w:rPr>
          <w:rFonts w:ascii="Times New Roman" w:hAnsi="Times New Roman" w:cs="Times New Roman"/>
        </w:rPr>
        <w:t xml:space="preserve"> </w:t>
      </w:r>
    </w:p>
    <w:p w:rsidR="00DA5193" w:rsidRPr="00B86E51" w:rsidRDefault="00CF6E19"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That is important because the FCC has</w:t>
      </w:r>
      <w:r w:rsidR="00364546" w:rsidRPr="00B86E51">
        <w:rPr>
          <w:rFonts w:ascii="Times New Roman" w:hAnsi="Times New Roman" w:cs="Times New Roman"/>
        </w:rPr>
        <w:t xml:space="preserve"> particular expertise that we bring to the table that adds value and that can have – I believe </w:t>
      </w:r>
      <w:r w:rsidR="00364546" w:rsidRPr="00B86E51">
        <w:rPr>
          <w:rFonts w:ascii="Times New Roman" w:hAnsi="Times New Roman" w:cs="Times New Roman"/>
          <w:i/>
          <w:iCs/>
        </w:rPr>
        <w:t>has</w:t>
      </w:r>
      <w:r w:rsidR="00364546" w:rsidRPr="00B86E51">
        <w:rPr>
          <w:rFonts w:ascii="Times New Roman" w:hAnsi="Times New Roman" w:cs="Times New Roman"/>
        </w:rPr>
        <w:t xml:space="preserve"> had – concrete impact on transaction reviews.  As Jonathan Baker has explained, our conditions and divestitures on mergers like Comcast/NBCU allow us to remedy potential anticompetitive harms that DOJ would have difficulty addressing.</w:t>
      </w:r>
      <w:r w:rsidR="00364546" w:rsidRPr="00B86E51">
        <w:rPr>
          <w:rStyle w:val="FootnoteReference"/>
          <w:rFonts w:ascii="Times New Roman" w:hAnsi="Times New Roman" w:cs="Times New Roman"/>
        </w:rPr>
        <w:footnoteReference w:id="14"/>
      </w:r>
      <w:r w:rsidR="00DA5193" w:rsidRPr="00B86E51">
        <w:rPr>
          <w:rFonts w:ascii="Times New Roman" w:hAnsi="Times New Roman" w:cs="Times New Roman"/>
        </w:rPr>
        <w:t xml:space="preserve">  </w:t>
      </w:r>
      <w:r w:rsidR="00364546" w:rsidRPr="00B86E51">
        <w:rPr>
          <w:rFonts w:ascii="Times New Roman" w:hAnsi="Times New Roman" w:cs="Times New Roman"/>
        </w:rPr>
        <w:t>Similarly, my friend Phil Weiser has described “successful cases of FCC merger review [where] the agency</w:t>
      </w:r>
      <w:r w:rsidR="00364546" w:rsidRPr="00B86E51">
        <w:rPr>
          <w:rFonts w:ascii="Times New Roman" w:hAnsi="Times New Roman" w:cs="Times New Roman"/>
          <w:lang w:val="fr-FR"/>
        </w:rPr>
        <w:t>’</w:t>
      </w:r>
      <w:r w:rsidR="00364546" w:rsidRPr="00B86E51">
        <w:rPr>
          <w:rFonts w:ascii="Times New Roman" w:hAnsi="Times New Roman" w:cs="Times New Roman"/>
        </w:rPr>
        <w:t>s oversight of mergers can be a productive part of the policymaking process.”</w:t>
      </w:r>
      <w:r w:rsidR="00364546" w:rsidRPr="00B86E51">
        <w:rPr>
          <w:rStyle w:val="FootnoteReference"/>
          <w:rFonts w:ascii="Times New Roman" w:hAnsi="Times New Roman" w:cs="Times New Roman"/>
        </w:rPr>
        <w:footnoteReference w:id="15"/>
      </w:r>
      <w:r w:rsidR="00DA5193" w:rsidRPr="00B86E51">
        <w:rPr>
          <w:rFonts w:ascii="Times New Roman" w:hAnsi="Times New Roman" w:cs="Times New Roman"/>
        </w:rPr>
        <w:t xml:space="preserve">  </w:t>
      </w:r>
    </w:p>
    <w:p w:rsidR="008B2776" w:rsidRPr="00B86E51" w:rsidRDefault="00776CDD"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Another example of the application of the principle that we will protect competition where it already exists is the Chairman’s recent statements on joint negotiation of retransmission consent agreements and attribution of certain joint sales agreements between broadcasters.  </w:t>
      </w:r>
      <w:r w:rsidR="008B2776" w:rsidRPr="00B86E51">
        <w:rPr>
          <w:rFonts w:ascii="Times New Roman" w:hAnsi="Times New Roman" w:cs="Times New Roman"/>
        </w:rPr>
        <w:t xml:space="preserve">Consider, for example, the ban on joint negotiations among the top four broadcast stations in a television market. </w:t>
      </w:r>
      <w:r w:rsidR="000C42FF" w:rsidRPr="00B86E51">
        <w:rPr>
          <w:rFonts w:ascii="Times New Roman" w:hAnsi="Times New Roman" w:cs="Times New Roman"/>
        </w:rPr>
        <w:t xml:space="preserve"> </w:t>
      </w:r>
      <w:r w:rsidR="008B2776" w:rsidRPr="00B86E51">
        <w:rPr>
          <w:rFonts w:ascii="Times New Roman" w:hAnsi="Times New Roman" w:cs="Times New Roman"/>
        </w:rPr>
        <w:t>This arises when</w:t>
      </w:r>
      <w:r w:rsidR="000C42FF" w:rsidRPr="00B86E51">
        <w:rPr>
          <w:rFonts w:ascii="Times New Roman" w:hAnsi="Times New Roman" w:cs="Times New Roman"/>
        </w:rPr>
        <w:t>,</w:t>
      </w:r>
      <w:r w:rsidR="008B2776" w:rsidRPr="00B86E51">
        <w:rPr>
          <w:rFonts w:ascii="Times New Roman" w:hAnsi="Times New Roman" w:cs="Times New Roman"/>
        </w:rPr>
        <w:t xml:space="preserve"> for example, two of the big local stations begin negotiations with a cable or satellite system by declaring that one will not be available without the other. </w:t>
      </w:r>
      <w:r w:rsidR="00DA7E13" w:rsidRPr="00B86E51">
        <w:rPr>
          <w:rFonts w:ascii="Times New Roman" w:hAnsi="Times New Roman" w:cs="Times New Roman"/>
        </w:rPr>
        <w:t xml:space="preserve"> </w:t>
      </w:r>
      <w:r w:rsidR="008B2776" w:rsidRPr="00B86E51">
        <w:rPr>
          <w:rFonts w:ascii="Times New Roman" w:hAnsi="Times New Roman" w:cs="Times New Roman"/>
        </w:rPr>
        <w:t xml:space="preserve">These two stations are competitors – in the supply of local news, for example, and in the market for local advertising. </w:t>
      </w:r>
      <w:r w:rsidR="00DA7E13" w:rsidRPr="00B86E51">
        <w:rPr>
          <w:rFonts w:ascii="Times New Roman" w:hAnsi="Times New Roman" w:cs="Times New Roman"/>
        </w:rPr>
        <w:t xml:space="preserve"> </w:t>
      </w:r>
      <w:r w:rsidR="008B2776" w:rsidRPr="00B86E51">
        <w:rPr>
          <w:rFonts w:ascii="Times New Roman" w:hAnsi="Times New Roman" w:cs="Times New Roman"/>
        </w:rPr>
        <w:t xml:space="preserve">So joint negotiations can only be expected to artificially drive up prices to their customers, without supplying significant, if any, pro-competitive efficiencies. </w:t>
      </w:r>
      <w:r w:rsidR="00DA7E13" w:rsidRPr="00B86E51">
        <w:rPr>
          <w:rFonts w:ascii="Times New Roman" w:hAnsi="Times New Roman" w:cs="Times New Roman"/>
        </w:rPr>
        <w:t xml:space="preserve"> </w:t>
      </w:r>
      <w:r w:rsidR="008B2776" w:rsidRPr="00B86E51">
        <w:rPr>
          <w:rFonts w:ascii="Times New Roman" w:hAnsi="Times New Roman" w:cs="Times New Roman"/>
        </w:rPr>
        <w:t>It is precisely to protect competition that the Chairman is asking the Commission to ban this practice.</w:t>
      </w:r>
    </w:p>
    <w:p w:rsidR="00801AB8" w:rsidRPr="00B86E51" w:rsidRDefault="00CD05E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The next principle is that w</w:t>
      </w:r>
      <w:r w:rsidR="00923BBE" w:rsidRPr="00B86E51">
        <w:rPr>
          <w:rFonts w:ascii="Times New Roman" w:hAnsi="Times New Roman" w:cs="Times New Roman"/>
        </w:rPr>
        <w:t xml:space="preserve">here competition can exist, we will do what we can to make it more robust. </w:t>
      </w:r>
      <w:r w:rsidR="005138AE" w:rsidRPr="00B86E51">
        <w:rPr>
          <w:rFonts w:ascii="Times New Roman" w:hAnsi="Times New Roman" w:cs="Times New Roman"/>
        </w:rPr>
        <w:t xml:space="preserve"> </w:t>
      </w:r>
      <w:r w:rsidR="00923BBE" w:rsidRPr="00B86E51">
        <w:rPr>
          <w:rFonts w:ascii="Times New Roman" w:hAnsi="Times New Roman" w:cs="Times New Roman"/>
        </w:rPr>
        <w:t>Think of this as opening the door to the creation of new markets.</w:t>
      </w:r>
    </w:p>
    <w:p w:rsidR="00D96A0A" w:rsidRPr="00B86E51" w:rsidRDefault="00D96A0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Of course, the federal government </w:t>
      </w:r>
      <w:r w:rsidR="00B168A7" w:rsidRPr="00B86E51">
        <w:rPr>
          <w:rFonts w:ascii="Times New Roman" w:hAnsi="Times New Roman" w:cs="Times New Roman"/>
        </w:rPr>
        <w:t>oversees</w:t>
      </w:r>
      <w:r w:rsidRPr="00B86E51">
        <w:rPr>
          <w:rFonts w:ascii="Times New Roman" w:hAnsi="Times New Roman" w:cs="Times New Roman"/>
        </w:rPr>
        <w:t xml:space="preserve"> the key input and lifeblood of wireless communications – spectrum.  The FCC is constantly working to improve access to and efficient use of spectrum.  This work includes both market and technological cutting-edge mechanisms.  The incentive auction proceeding has drawn the most attention to the FCC’s work in this area because of its first-of-its kind approach of letting the market determine both </w:t>
      </w:r>
      <w:r w:rsidR="004533D6" w:rsidRPr="00B86E51">
        <w:rPr>
          <w:rFonts w:ascii="Times New Roman" w:hAnsi="Times New Roman" w:cs="Times New Roman"/>
        </w:rPr>
        <w:t xml:space="preserve">have a one-time </w:t>
      </w:r>
      <w:r w:rsidRPr="00B86E51">
        <w:rPr>
          <w:rFonts w:ascii="Times New Roman" w:hAnsi="Times New Roman" w:cs="Times New Roman"/>
        </w:rPr>
        <w:t xml:space="preserve">supply of and the demand for spectrum.  Television broadcasters will have the opportunity to bid in a reverse auction to relinquish some or all of their spectrum rights, and wireless providers will bid in a forward auction on nationwide, “repacked” spectrum suitable for two-way wireless broadband services. </w:t>
      </w:r>
    </w:p>
    <w:p w:rsidR="00D96A0A" w:rsidRPr="00B86E51" w:rsidRDefault="006614F5"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But</w:t>
      </w:r>
      <w:r w:rsidR="00D96A0A" w:rsidRPr="00B86E51">
        <w:rPr>
          <w:rFonts w:ascii="Times New Roman" w:hAnsi="Times New Roman" w:cs="Times New Roman"/>
        </w:rPr>
        <w:t xml:space="preserve"> there is more.  In late February, the Commission completed its first major spectrum auction since 2008, raising more than $1.5 </w:t>
      </w:r>
      <w:r w:rsidR="00DA7E13" w:rsidRPr="00B86E51">
        <w:rPr>
          <w:rFonts w:ascii="Times New Roman" w:hAnsi="Times New Roman" w:cs="Times New Roman"/>
        </w:rPr>
        <w:t>b</w:t>
      </w:r>
      <w:r w:rsidR="00D96A0A" w:rsidRPr="00B86E51">
        <w:rPr>
          <w:rFonts w:ascii="Times New Roman" w:hAnsi="Times New Roman" w:cs="Times New Roman"/>
        </w:rPr>
        <w:t xml:space="preserve">illion for licenses to use 10 megahertz of spectrum that, until fairly recently, was considered nearly valueless because of interference concerns that the Commission was able to resolve after much hard work and cooperation with industry.  </w:t>
      </w:r>
    </w:p>
    <w:p w:rsidR="00D96A0A" w:rsidRPr="00B86E51" w:rsidRDefault="00D96A0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On Monday, Chairman Wheeler circulated a proposal to the Commission that would set up an auction of an additional 65 megahertz of broadband-suitable spectrum this Fall.  This auction was made possible following several years of hard work among numerous current federal agency spectrum users, industry, and the FCC.</w:t>
      </w:r>
    </w:p>
    <w:p w:rsidR="00D96A0A" w:rsidRPr="00B86E51" w:rsidRDefault="00D96A0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The Commission is also looking for ways to increase the amount of unlicensed spectrum available – think WiFi.</w:t>
      </w:r>
    </w:p>
    <w:p w:rsidR="00D96A0A" w:rsidRPr="00B86E51" w:rsidRDefault="00D96A0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For example, Commissioner Rosenworcel gave an important speech in early March in which she said, in part:</w:t>
      </w:r>
    </w:p>
    <w:p w:rsidR="00D96A0A" w:rsidRPr="00B86E51" w:rsidRDefault="00D96A0A" w:rsidP="0076708E">
      <w:pPr>
        <w:pStyle w:val="Body"/>
        <w:keepLines/>
        <w:spacing w:after="120" w:line="240" w:lineRule="auto"/>
        <w:ind w:left="720"/>
        <w:rPr>
          <w:rFonts w:ascii="Times New Roman" w:hAnsi="Times New Roman" w:cs="Times New Roman"/>
        </w:rPr>
      </w:pPr>
      <w:r w:rsidRPr="00B86E51">
        <w:rPr>
          <w:rFonts w:ascii="Times New Roman" w:hAnsi="Times New Roman" w:cs="Times New Roman"/>
        </w:rPr>
        <w:t xml:space="preserve">We can take the flexible Wi-Fi rules that have already been the script for an unlicensed success story in the 5.725-5.825 GHz band and expand them to the 5.15-5.25 GHz band. </w:t>
      </w:r>
      <w:r w:rsidR="001C6A0E" w:rsidRPr="00B86E51">
        <w:rPr>
          <w:rFonts w:ascii="Times New Roman" w:hAnsi="Times New Roman" w:cs="Times New Roman"/>
        </w:rPr>
        <w:t xml:space="preserve"> </w:t>
      </w:r>
      <w:r w:rsidRPr="00B86E51">
        <w:rPr>
          <w:rFonts w:ascii="Times New Roman" w:hAnsi="Times New Roman" w:cs="Times New Roman"/>
        </w:rPr>
        <w:t xml:space="preserve">If we do, we could effectively double unlicensed bandwidth in the 5 GHz band overnight. </w:t>
      </w:r>
      <w:r w:rsidR="001C6A0E" w:rsidRPr="00B86E51">
        <w:rPr>
          <w:rFonts w:ascii="Times New Roman" w:hAnsi="Times New Roman" w:cs="Times New Roman"/>
        </w:rPr>
        <w:t xml:space="preserve"> </w:t>
      </w:r>
      <w:r w:rsidRPr="00B86E51">
        <w:rPr>
          <w:rFonts w:ascii="Times New Roman" w:hAnsi="Times New Roman" w:cs="Times New Roman"/>
        </w:rPr>
        <w:t>That will mean more unlicensed service</w:t>
      </w:r>
      <w:r w:rsidR="001C6A0E" w:rsidRPr="00B86E51">
        <w:rPr>
          <w:rFonts w:ascii="Times New Roman" w:hAnsi="Times New Roman" w:cs="Times New Roman"/>
        </w:rPr>
        <w:t>-</w:t>
      </w:r>
      <w:r w:rsidRPr="00B86E51">
        <w:rPr>
          <w:rFonts w:ascii="Times New Roman" w:hAnsi="Times New Roman" w:cs="Times New Roman"/>
        </w:rPr>
        <w:t xml:space="preserve">and less congestion on licensed wireless networks. </w:t>
      </w:r>
      <w:r w:rsidR="001C6A0E" w:rsidRPr="00B86E51">
        <w:rPr>
          <w:rFonts w:ascii="Times New Roman" w:hAnsi="Times New Roman" w:cs="Times New Roman"/>
        </w:rPr>
        <w:t xml:space="preserve"> </w:t>
      </w:r>
      <w:r w:rsidRPr="00B86E51">
        <w:rPr>
          <w:rFonts w:ascii="Times New Roman" w:hAnsi="Times New Roman" w:cs="Times New Roman"/>
        </w:rPr>
        <w:t xml:space="preserve">That’s win-win. </w:t>
      </w:r>
    </w:p>
    <w:p w:rsidR="00D96A0A" w:rsidRPr="00B86E51" w:rsidRDefault="00D96A0A" w:rsidP="0076708E">
      <w:pPr>
        <w:pStyle w:val="Body"/>
        <w:keepLines/>
        <w:spacing w:after="120" w:line="240" w:lineRule="auto"/>
        <w:ind w:left="720"/>
        <w:rPr>
          <w:rFonts w:ascii="Times New Roman" w:hAnsi="Times New Roman" w:cs="Times New Roman"/>
        </w:rPr>
      </w:pPr>
      <w:r w:rsidRPr="00B86E51">
        <w:rPr>
          <w:rFonts w:ascii="Times New Roman" w:hAnsi="Times New Roman" w:cs="Times New Roman"/>
        </w:rPr>
        <w:t xml:space="preserve">But expanding unlicensed service in this band should not be the end of the story. </w:t>
      </w:r>
      <w:r w:rsidR="001C6A0E" w:rsidRPr="00B86E51">
        <w:rPr>
          <w:rFonts w:ascii="Times New Roman" w:hAnsi="Times New Roman" w:cs="Times New Roman"/>
        </w:rPr>
        <w:t xml:space="preserve"> </w:t>
      </w:r>
      <w:r w:rsidRPr="00B86E51">
        <w:rPr>
          <w:rFonts w:ascii="Times New Roman" w:hAnsi="Times New Roman" w:cs="Times New Roman"/>
        </w:rPr>
        <w:t xml:space="preserve">Because we can seize unlicensed opportunities across other spectrum bands, too. </w:t>
      </w:r>
      <w:r w:rsidR="00DA7E13" w:rsidRPr="00B86E51">
        <w:rPr>
          <w:rFonts w:ascii="Times New Roman" w:hAnsi="Times New Roman" w:cs="Times New Roman"/>
        </w:rPr>
        <w:t xml:space="preserve"> </w:t>
      </w:r>
      <w:r w:rsidRPr="00B86E51">
        <w:rPr>
          <w:rFonts w:ascii="Times New Roman" w:hAnsi="Times New Roman" w:cs="Times New Roman"/>
        </w:rPr>
        <w:t>For instance, we can explore the possibilities of using unlicensed bandwidth in the 3.5 GHz band.</w:t>
      </w:r>
    </w:p>
    <w:p w:rsidR="00D96A0A" w:rsidRPr="00B86E51" w:rsidRDefault="00D96A0A"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Commissioner Rosenworcel is exactly right.  Also on Monday, Chairman Wheeler circulated to his fellow Commissioners a proposal in the 5 GHz band that would do exactly what Commissioner Rosenworcel outlined.  And FCC staff are working hard on developing next-generation technological and licensing spectrum management techniques to permit both licensed and unlicensed commercial use of 100 megahertz of spectrum in the 3.5 GHz that today is available only to federal users.  The incentive auction also </w:t>
      </w:r>
      <w:r w:rsidR="00E937F9" w:rsidRPr="00B86E51">
        <w:rPr>
          <w:rFonts w:ascii="Times New Roman" w:hAnsi="Times New Roman" w:cs="Times New Roman"/>
        </w:rPr>
        <w:t>will</w:t>
      </w:r>
      <w:r w:rsidRPr="00B86E51">
        <w:rPr>
          <w:rFonts w:ascii="Times New Roman" w:hAnsi="Times New Roman" w:cs="Times New Roman"/>
        </w:rPr>
        <w:t xml:space="preserve"> provide new opportunities for unlicensed use of low-band spectrum in the new 600 MHz band.</w:t>
      </w:r>
    </w:p>
    <w:p w:rsidR="006614F5" w:rsidRPr="00B86E51" w:rsidRDefault="00C356A9"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Also </w:t>
      </w:r>
      <w:r w:rsidR="00D96A0A" w:rsidRPr="00B86E51">
        <w:rPr>
          <w:rFonts w:ascii="Times New Roman" w:hAnsi="Times New Roman" w:cs="Times New Roman"/>
        </w:rPr>
        <w:t>i</w:t>
      </w:r>
      <w:r w:rsidR="00923BBE" w:rsidRPr="00B86E51">
        <w:rPr>
          <w:rFonts w:ascii="Times New Roman" w:hAnsi="Times New Roman" w:cs="Times New Roman"/>
        </w:rPr>
        <w:t>n the context of incenting competition, th</w:t>
      </w:r>
      <w:r w:rsidR="001021F7" w:rsidRPr="00B86E51">
        <w:rPr>
          <w:rFonts w:ascii="Times New Roman" w:hAnsi="Times New Roman" w:cs="Times New Roman"/>
        </w:rPr>
        <w:t>e</w:t>
      </w:r>
      <w:r w:rsidR="00923BBE" w:rsidRPr="00B86E51">
        <w:rPr>
          <w:rFonts w:ascii="Times New Roman" w:hAnsi="Times New Roman" w:cs="Times New Roman"/>
        </w:rPr>
        <w:t xml:space="preserve"> Chairman has said that interconnection is a core value.  After all, the Internet is not a thing, it is a collection.  A collection of</w:t>
      </w:r>
      <w:r w:rsidRPr="00B86E51">
        <w:rPr>
          <w:rFonts w:ascii="Times New Roman" w:hAnsi="Times New Roman" w:cs="Times New Roman"/>
        </w:rPr>
        <w:t xml:space="preserve"> networks that connect together through various means of traffic exchange</w:t>
      </w:r>
      <w:r w:rsidR="006614F5" w:rsidRPr="00B86E51">
        <w:rPr>
          <w:rFonts w:ascii="Times New Roman" w:hAnsi="Times New Roman" w:cs="Times New Roman"/>
        </w:rPr>
        <w:t>.</w:t>
      </w:r>
      <w:r w:rsidRPr="00B86E51">
        <w:rPr>
          <w:rFonts w:ascii="Times New Roman" w:hAnsi="Times New Roman" w:cs="Times New Roman"/>
        </w:rPr>
        <w:t xml:space="preserve"> </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The Chairman</w:t>
      </w:r>
      <w:r w:rsidRPr="00B86E51">
        <w:rPr>
          <w:rFonts w:ascii="Times New Roman" w:hAnsi="Times New Roman" w:cs="Times New Roman"/>
          <w:lang w:val="fr-FR"/>
        </w:rPr>
        <w:t>’</w:t>
      </w:r>
      <w:r w:rsidRPr="00B86E51">
        <w:rPr>
          <w:rFonts w:ascii="Times New Roman" w:hAnsi="Times New Roman" w:cs="Times New Roman"/>
        </w:rPr>
        <w:t xml:space="preserve">s third principle is that where private markets cannot be expected to deliver what the public needs, then we will proceed in a transparent manner to fill that void. </w:t>
      </w:r>
      <w:r w:rsidR="001021F7" w:rsidRPr="00B86E51">
        <w:rPr>
          <w:rFonts w:ascii="Times New Roman" w:hAnsi="Times New Roman" w:cs="Times New Roman"/>
        </w:rPr>
        <w:t xml:space="preserve"> </w:t>
      </w:r>
      <w:r w:rsidRPr="00B86E51">
        <w:rPr>
          <w:rFonts w:ascii="Times New Roman" w:hAnsi="Times New Roman" w:cs="Times New Roman"/>
        </w:rPr>
        <w:t>That</w:t>
      </w:r>
      <w:r w:rsidRPr="00B86E51">
        <w:rPr>
          <w:rFonts w:ascii="Times New Roman" w:hAnsi="Times New Roman" w:cs="Times New Roman"/>
          <w:lang w:val="fr-FR"/>
        </w:rPr>
        <w:t>’</w:t>
      </w:r>
      <w:r w:rsidR="00326643" w:rsidRPr="00B86E51">
        <w:rPr>
          <w:rFonts w:ascii="Times New Roman" w:hAnsi="Times New Roman" w:cs="Times New Roman"/>
          <w:lang w:val="nl-NL"/>
        </w:rPr>
        <w:t>s a societal good.</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A good example is the concept of universal service – that, as a nation, we have a common interest in extending networks of opportunity, including broad</w:t>
      </w:r>
      <w:r w:rsidR="00326643" w:rsidRPr="00B86E51">
        <w:rPr>
          <w:rFonts w:ascii="Times New Roman" w:hAnsi="Times New Roman" w:cs="Times New Roman"/>
        </w:rPr>
        <w:t>band networks to all Americans.</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There are many areas, even most, of the country where broadband deployment has been and will continue to be fueled by private capital, as it should. </w:t>
      </w:r>
      <w:r w:rsidR="001021F7" w:rsidRPr="00B86E51">
        <w:rPr>
          <w:rFonts w:ascii="Times New Roman" w:hAnsi="Times New Roman" w:cs="Times New Roman"/>
        </w:rPr>
        <w:t xml:space="preserve"> </w:t>
      </w:r>
      <w:r w:rsidRPr="00B86E51">
        <w:rPr>
          <w:rFonts w:ascii="Times New Roman" w:hAnsi="Times New Roman" w:cs="Times New Roman"/>
        </w:rPr>
        <w:t xml:space="preserve">But simple economics tell us that markets do not own the responsibility to serve every possible customer. </w:t>
      </w:r>
      <w:r w:rsidR="001021F7" w:rsidRPr="00B86E51">
        <w:rPr>
          <w:rFonts w:ascii="Times New Roman" w:hAnsi="Times New Roman" w:cs="Times New Roman"/>
        </w:rPr>
        <w:t xml:space="preserve"> </w:t>
      </w:r>
      <w:r w:rsidRPr="00B86E51">
        <w:rPr>
          <w:rFonts w:ascii="Times New Roman" w:hAnsi="Times New Roman" w:cs="Times New Roman"/>
        </w:rPr>
        <w:t xml:space="preserve">Profit maximization goes only as far </w:t>
      </w:r>
      <w:r w:rsidR="00326643" w:rsidRPr="00B86E51">
        <w:rPr>
          <w:rFonts w:ascii="Times New Roman" w:hAnsi="Times New Roman" w:cs="Times New Roman"/>
        </w:rPr>
        <w:t>as the ability to earn profits.</w:t>
      </w:r>
    </w:p>
    <w:p w:rsidR="008D242B" w:rsidRPr="00B86E51" w:rsidRDefault="008D242B"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Metcalfe</w:t>
      </w:r>
      <w:r w:rsidRPr="00B86E51">
        <w:rPr>
          <w:rFonts w:ascii="Times New Roman" w:hAnsi="Times New Roman" w:cs="Times New Roman"/>
          <w:lang w:val="fr-FR"/>
        </w:rPr>
        <w:t>’</w:t>
      </w:r>
      <w:r w:rsidRPr="00B86E51">
        <w:rPr>
          <w:rFonts w:ascii="Times New Roman" w:hAnsi="Times New Roman" w:cs="Times New Roman"/>
        </w:rPr>
        <w:t>s law tells us that the addition of each single additional user to a network creates more than one unit of additional value to the network as a whole.  Not just to new users, but to everyone that uses the network.</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So there is a special responsibility to consider the reach of broadband across the nation.  Rural America is a prime example.  Rural America has a lower density population, of course, and that traditionally has increased the cost of network deployment.  But a rural American is also to be more likely to be old</w:t>
      </w:r>
      <w:r w:rsidR="00326643" w:rsidRPr="00B86E51">
        <w:rPr>
          <w:rFonts w:ascii="Times New Roman" w:hAnsi="Times New Roman" w:cs="Times New Roman"/>
        </w:rPr>
        <w:t>er, and more likely to be poor.</w:t>
      </w:r>
    </w:p>
    <w:p w:rsidR="00801AB8" w:rsidRPr="00B86E51" w:rsidRDefault="00923BBE"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I believe that we cannot be a nation of opportunity without networks of opportunity. </w:t>
      </w:r>
      <w:r w:rsidR="00161E5E" w:rsidRPr="00B86E51">
        <w:rPr>
          <w:rFonts w:ascii="Times New Roman" w:hAnsi="Times New Roman" w:cs="Times New Roman"/>
        </w:rPr>
        <w:t xml:space="preserve"> </w:t>
      </w:r>
      <w:r w:rsidRPr="00B86E51">
        <w:rPr>
          <w:rFonts w:ascii="Times New Roman" w:hAnsi="Times New Roman" w:cs="Times New Roman"/>
        </w:rPr>
        <w:t>And that, simply stated, is the case for rural broadband.</w:t>
      </w:r>
      <w:r w:rsidR="00C356A9" w:rsidRPr="00B86E51">
        <w:rPr>
          <w:rFonts w:ascii="Times New Roman" w:hAnsi="Times New Roman" w:cs="Times New Roman"/>
        </w:rPr>
        <w:t xml:space="preserve"> </w:t>
      </w:r>
      <w:r w:rsidR="00417020" w:rsidRPr="00B86E51">
        <w:rPr>
          <w:rFonts w:ascii="Times New Roman" w:hAnsi="Times New Roman" w:cs="Times New Roman"/>
        </w:rPr>
        <w:t xml:space="preserve"> </w:t>
      </w:r>
      <w:r w:rsidR="00156B04" w:rsidRPr="00B86E51">
        <w:rPr>
          <w:rFonts w:ascii="Times New Roman" w:hAnsi="Times New Roman" w:cs="Times New Roman"/>
        </w:rPr>
        <w:t>T</w:t>
      </w:r>
      <w:r w:rsidR="00C356A9" w:rsidRPr="00B86E51">
        <w:rPr>
          <w:rFonts w:ascii="Times New Roman" w:hAnsi="Times New Roman" w:cs="Times New Roman"/>
        </w:rPr>
        <w:t xml:space="preserve">he Commission has received </w:t>
      </w:r>
      <w:r w:rsidR="00626DCD" w:rsidRPr="00B86E51">
        <w:rPr>
          <w:rFonts w:ascii="Times New Roman" w:hAnsi="Times New Roman" w:cs="Times New Roman"/>
        </w:rPr>
        <w:t>nearly</w:t>
      </w:r>
      <w:r w:rsidR="00C356A9" w:rsidRPr="00B86E51">
        <w:rPr>
          <w:rFonts w:ascii="Times New Roman" w:hAnsi="Times New Roman" w:cs="Times New Roman"/>
        </w:rPr>
        <w:t xml:space="preserve"> </w:t>
      </w:r>
      <w:r w:rsidR="00626DCD" w:rsidRPr="00B86E51">
        <w:rPr>
          <w:rFonts w:ascii="Times New Roman" w:hAnsi="Times New Roman" w:cs="Times New Roman"/>
        </w:rPr>
        <w:t xml:space="preserve">a </w:t>
      </w:r>
      <w:r w:rsidR="00803BDA" w:rsidRPr="00B86E51">
        <w:rPr>
          <w:rFonts w:ascii="Times New Roman" w:hAnsi="Times New Roman" w:cs="Times New Roman"/>
        </w:rPr>
        <w:t>1000</w:t>
      </w:r>
      <w:r w:rsidR="00C356A9" w:rsidRPr="00B86E51">
        <w:rPr>
          <w:rFonts w:ascii="Times New Roman" w:hAnsi="Times New Roman" w:cs="Times New Roman"/>
        </w:rPr>
        <w:t xml:space="preserve"> expressions of interest by entities that wish to engage in targeted trials to demonstrate “best practices” in the construction and deployment of rural broadband networks. </w:t>
      </w:r>
      <w:r w:rsidR="00417020" w:rsidRPr="00B86E51">
        <w:rPr>
          <w:rFonts w:ascii="Times New Roman" w:hAnsi="Times New Roman" w:cs="Times New Roman"/>
        </w:rPr>
        <w:t xml:space="preserve"> </w:t>
      </w:r>
      <w:r w:rsidR="00A065C3" w:rsidRPr="00B86E51">
        <w:rPr>
          <w:rFonts w:ascii="Times New Roman" w:hAnsi="Times New Roman" w:cs="Times New Roman"/>
        </w:rPr>
        <w:t>These proposals have come from diverse entities, including rural telephone companies, rural electric coops, cable and wireless service providers, schools and libraries, research and education networks, and communities.</w:t>
      </w:r>
    </w:p>
    <w:p w:rsidR="00C356A9" w:rsidRPr="00B86E51" w:rsidRDefault="00C356A9"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What is transient and should be? </w:t>
      </w:r>
      <w:r w:rsidR="00DA7E13" w:rsidRPr="00B86E51">
        <w:rPr>
          <w:rFonts w:ascii="Times New Roman" w:hAnsi="Times New Roman" w:cs="Times New Roman"/>
        </w:rPr>
        <w:t xml:space="preserve"> </w:t>
      </w:r>
      <w:r w:rsidRPr="00B86E51">
        <w:rPr>
          <w:rFonts w:ascii="Times New Roman" w:hAnsi="Times New Roman" w:cs="Times New Roman"/>
        </w:rPr>
        <w:t>Technological solutions.</w:t>
      </w:r>
    </w:p>
    <w:p w:rsidR="00801AB8" w:rsidRPr="00B86E51" w:rsidRDefault="00C356A9"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 xml:space="preserve">What is enduring and must be? </w:t>
      </w:r>
      <w:r w:rsidR="00417020" w:rsidRPr="00B86E51">
        <w:rPr>
          <w:rFonts w:ascii="Times New Roman" w:hAnsi="Times New Roman" w:cs="Times New Roman"/>
        </w:rPr>
        <w:t xml:space="preserve"> </w:t>
      </w:r>
      <w:r w:rsidRPr="00B86E51">
        <w:rPr>
          <w:rFonts w:ascii="Times New Roman" w:hAnsi="Times New Roman" w:cs="Times New Roman"/>
        </w:rPr>
        <w:t>The values of</w:t>
      </w:r>
      <w:r w:rsidR="00923BBE" w:rsidRPr="00B86E51">
        <w:rPr>
          <w:rFonts w:ascii="Times New Roman" w:hAnsi="Times New Roman" w:cs="Times New Roman"/>
        </w:rPr>
        <w:t xml:space="preserve"> public safety, universal access, competition, and consumer protection</w:t>
      </w:r>
      <w:r w:rsidRPr="00B86E51">
        <w:rPr>
          <w:rFonts w:ascii="Times New Roman" w:hAnsi="Times New Roman" w:cs="Times New Roman"/>
        </w:rPr>
        <w:t xml:space="preserve">. </w:t>
      </w:r>
      <w:r w:rsidR="00417020" w:rsidRPr="00B86E51">
        <w:rPr>
          <w:rFonts w:ascii="Times New Roman" w:hAnsi="Times New Roman" w:cs="Times New Roman"/>
        </w:rPr>
        <w:t xml:space="preserve"> </w:t>
      </w:r>
      <w:r w:rsidRPr="00B86E51">
        <w:rPr>
          <w:rFonts w:ascii="Times New Roman" w:hAnsi="Times New Roman" w:cs="Times New Roman"/>
        </w:rPr>
        <w:t xml:space="preserve">Those </w:t>
      </w:r>
      <w:r w:rsidR="00923BBE" w:rsidRPr="00B86E51">
        <w:rPr>
          <w:rFonts w:ascii="Times New Roman" w:hAnsi="Times New Roman" w:cs="Times New Roman"/>
        </w:rPr>
        <w:t>are the values that have informed the FCC</w:t>
      </w:r>
      <w:r w:rsidR="00923BBE" w:rsidRPr="00B86E51">
        <w:rPr>
          <w:rFonts w:ascii="Times New Roman" w:hAnsi="Times New Roman" w:cs="Times New Roman"/>
          <w:lang w:val="fr-FR"/>
        </w:rPr>
        <w:t>’</w:t>
      </w:r>
      <w:r w:rsidR="00923BBE" w:rsidRPr="00B86E51">
        <w:rPr>
          <w:rFonts w:ascii="Times New Roman" w:hAnsi="Times New Roman" w:cs="Times New Roman"/>
        </w:rPr>
        <w:t xml:space="preserve">s interpretation of the </w:t>
      </w:r>
      <w:r w:rsidR="002C42C3" w:rsidRPr="00B86E51">
        <w:rPr>
          <w:rFonts w:ascii="Times New Roman" w:hAnsi="Times New Roman" w:cs="Times New Roman"/>
        </w:rPr>
        <w:t xml:space="preserve">Communications </w:t>
      </w:r>
      <w:r w:rsidR="00923BBE" w:rsidRPr="00B86E51">
        <w:rPr>
          <w:rFonts w:ascii="Times New Roman" w:hAnsi="Times New Roman" w:cs="Times New Roman"/>
        </w:rPr>
        <w:t>Act since 1934 and will continue to inform us going</w:t>
      </w:r>
      <w:r w:rsidR="002C42C3" w:rsidRPr="00B86E51">
        <w:rPr>
          <w:rFonts w:ascii="Times New Roman" w:hAnsi="Times New Roman" w:cs="Times New Roman"/>
        </w:rPr>
        <w:t xml:space="preserve"> forward</w:t>
      </w:r>
      <w:r w:rsidR="00CD7F75" w:rsidRPr="00B86E51">
        <w:rPr>
          <w:rFonts w:ascii="Times New Roman" w:hAnsi="Times New Roman" w:cs="Times New Roman"/>
        </w:rPr>
        <w:t>.  A</w:t>
      </w:r>
      <w:r w:rsidR="00923BBE" w:rsidRPr="00B86E51">
        <w:rPr>
          <w:rFonts w:ascii="Times New Roman" w:hAnsi="Times New Roman" w:cs="Times New Roman"/>
        </w:rPr>
        <w:t>s my younger colleagues tell me we said in the 60s, the beat goes on.</w:t>
      </w:r>
    </w:p>
    <w:p w:rsidR="00801AB8" w:rsidRPr="00B86E51" w:rsidRDefault="00C356A9" w:rsidP="0076708E">
      <w:pPr>
        <w:pStyle w:val="Body"/>
        <w:keepLines/>
        <w:spacing w:after="120" w:line="240" w:lineRule="auto"/>
        <w:rPr>
          <w:rFonts w:ascii="Times New Roman" w:hAnsi="Times New Roman" w:cs="Times New Roman"/>
        </w:rPr>
      </w:pPr>
      <w:r w:rsidRPr="00B86E51">
        <w:rPr>
          <w:rFonts w:ascii="Times New Roman" w:hAnsi="Times New Roman" w:cs="Times New Roman"/>
        </w:rPr>
        <w:t>Thank you</w:t>
      </w:r>
      <w:r w:rsidR="00CD7F75" w:rsidRPr="00B86E51">
        <w:rPr>
          <w:rFonts w:ascii="Times New Roman" w:hAnsi="Times New Roman" w:cs="Times New Roman"/>
        </w:rPr>
        <w:t>.</w:t>
      </w:r>
    </w:p>
    <w:sectPr w:rsidR="00801AB8" w:rsidRPr="00B86E51" w:rsidSect="00CD7F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3C" w:rsidRDefault="00F65F3C">
      <w:r>
        <w:separator/>
      </w:r>
    </w:p>
  </w:endnote>
  <w:endnote w:type="continuationSeparator" w:id="0">
    <w:p w:rsidR="00F65F3C" w:rsidRDefault="00F6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B8" w:rsidRDefault="00CA2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B8" w:rsidRDefault="00923BBE">
    <w:pPr>
      <w:pStyle w:val="Footer"/>
      <w:tabs>
        <w:tab w:val="clear" w:pos="9360"/>
        <w:tab w:val="right" w:pos="9340"/>
      </w:tabs>
      <w:jc w:val="center"/>
    </w:pPr>
    <w:r>
      <w:rPr>
        <w:sz w:val="24"/>
        <w:szCs w:val="24"/>
      </w:rPr>
      <w:fldChar w:fldCharType="begin"/>
    </w:r>
    <w:r>
      <w:rPr>
        <w:sz w:val="24"/>
        <w:szCs w:val="24"/>
      </w:rPr>
      <w:instrText xml:space="preserve"> PAGE </w:instrText>
    </w:r>
    <w:r>
      <w:rPr>
        <w:sz w:val="24"/>
        <w:szCs w:val="24"/>
      </w:rPr>
      <w:fldChar w:fldCharType="separate"/>
    </w:r>
    <w:r w:rsidR="00861E13">
      <w:rPr>
        <w:noProof/>
        <w:sz w:val="24"/>
        <w:szCs w:val="24"/>
      </w:rPr>
      <w:t>1</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B8" w:rsidRDefault="00CA2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3C" w:rsidRDefault="00F65F3C">
      <w:r>
        <w:separator/>
      </w:r>
    </w:p>
  </w:footnote>
  <w:footnote w:type="continuationSeparator" w:id="0">
    <w:p w:rsidR="00F65F3C" w:rsidRDefault="00F65F3C">
      <w:r>
        <w:continuationSeparator/>
      </w:r>
    </w:p>
  </w:footnote>
  <w:footnote w:type="continuationNotice" w:id="1">
    <w:p w:rsidR="00F65F3C" w:rsidRDefault="00F65F3C"/>
  </w:footnote>
  <w:footnote w:id="2">
    <w:p w:rsidR="00E15C74" w:rsidRDefault="00E15C74">
      <w:pPr>
        <w:pStyle w:val="FootnoteText"/>
      </w:pPr>
      <w:r>
        <w:rPr>
          <w:rStyle w:val="FootnoteReference"/>
        </w:rPr>
        <w:footnoteRef/>
      </w:r>
      <w:r>
        <w:t xml:space="preserve"> 388 U.S. 1 (1967).</w:t>
      </w:r>
    </w:p>
  </w:footnote>
  <w:footnote w:id="3">
    <w:p w:rsidR="00521720" w:rsidRPr="00521720" w:rsidRDefault="00521720">
      <w:pPr>
        <w:pStyle w:val="FootnoteText"/>
      </w:pPr>
      <w:r>
        <w:rPr>
          <w:rStyle w:val="FootnoteReference"/>
        </w:rPr>
        <w:footnoteRef/>
      </w:r>
      <w:r>
        <w:t xml:space="preserve"> </w:t>
      </w:r>
      <w:r>
        <w:rPr>
          <w:i/>
        </w:rPr>
        <w:t>Technology Transitions</w:t>
      </w:r>
      <w:r>
        <w:t>, GN Docket No. 13-5, FCC 14-5 (rel. Jan. 31, 2014).</w:t>
      </w:r>
    </w:p>
  </w:footnote>
  <w:footnote w:id="4">
    <w:p w:rsidR="00431AD9" w:rsidRDefault="00431AD9">
      <w:pPr>
        <w:pStyle w:val="FootnoteText"/>
      </w:pPr>
      <w:r>
        <w:rPr>
          <w:rStyle w:val="FootnoteReference"/>
        </w:rPr>
        <w:footnoteRef/>
      </w:r>
      <w:r>
        <w:t xml:space="preserve"> 47 U.S.C. § 151.</w:t>
      </w:r>
    </w:p>
  </w:footnote>
  <w:footnote w:id="5">
    <w:p w:rsidR="006A6338" w:rsidRDefault="006A6338">
      <w:pPr>
        <w:pStyle w:val="FootnoteText"/>
      </w:pPr>
      <w:r>
        <w:rPr>
          <w:rStyle w:val="FootnoteReference"/>
        </w:rPr>
        <w:footnoteRef/>
      </w:r>
      <w:r>
        <w:t xml:space="preserve"> 47 U.S.C. § 159</w:t>
      </w:r>
      <w:r w:rsidR="009D2EFA">
        <w:t>(b)</w:t>
      </w:r>
      <w:r>
        <w:t>.</w:t>
      </w:r>
    </w:p>
  </w:footnote>
  <w:footnote w:id="6">
    <w:p w:rsidR="006A6338" w:rsidRDefault="006A6338">
      <w:pPr>
        <w:pStyle w:val="FootnoteText"/>
      </w:pPr>
      <w:r>
        <w:rPr>
          <w:rStyle w:val="FootnoteReference"/>
        </w:rPr>
        <w:footnoteRef/>
      </w:r>
      <w:r>
        <w:t xml:space="preserve"> 47 U.S.C. § 160</w:t>
      </w:r>
      <w:r w:rsidR="009D2EFA">
        <w:t>(a)(3)</w:t>
      </w:r>
      <w:r>
        <w:t>.</w:t>
      </w:r>
    </w:p>
  </w:footnote>
  <w:footnote w:id="7">
    <w:p w:rsidR="006A6338" w:rsidRDefault="006A6338">
      <w:pPr>
        <w:pStyle w:val="FootnoteText"/>
      </w:pPr>
      <w:r>
        <w:rPr>
          <w:rStyle w:val="FootnoteReference"/>
        </w:rPr>
        <w:footnoteRef/>
      </w:r>
      <w:r>
        <w:t xml:space="preserve"> 47 U.S.C. § 303a</w:t>
      </w:r>
      <w:r w:rsidR="009D2EFA">
        <w:t>(c)</w:t>
      </w:r>
      <w:r>
        <w:t>.</w:t>
      </w:r>
    </w:p>
  </w:footnote>
  <w:footnote w:id="8">
    <w:p w:rsidR="00CD1263" w:rsidRDefault="00CD1263">
      <w:pPr>
        <w:pStyle w:val="FootnoteText"/>
      </w:pPr>
      <w:r>
        <w:rPr>
          <w:rStyle w:val="FootnoteReference"/>
        </w:rPr>
        <w:footnoteRef/>
      </w:r>
      <w:r>
        <w:t xml:space="preserve"> 47 U.S.C. § 254.</w:t>
      </w:r>
    </w:p>
  </w:footnote>
  <w:footnote w:id="9">
    <w:p w:rsidR="00CD1263" w:rsidRDefault="00CD1263">
      <w:pPr>
        <w:pStyle w:val="FootnoteText"/>
      </w:pPr>
      <w:r>
        <w:rPr>
          <w:rStyle w:val="FootnoteReference"/>
        </w:rPr>
        <w:footnoteRef/>
      </w:r>
      <w:r>
        <w:t xml:space="preserve"> 47 U.S.C. § 254(c) (“[T]</w:t>
      </w:r>
      <w:r w:rsidRPr="00CD1263">
        <w:t>he Commission in establishing, the definition of the services that are supported by Federal universal service support mechanisms shall consider the extent to which such telecommunications services</w:t>
      </w:r>
      <w:r>
        <w:t xml:space="preserve">… </w:t>
      </w:r>
      <w:r w:rsidRPr="00CD1263">
        <w:t xml:space="preserve">are consistent with the </w:t>
      </w:r>
      <w:r w:rsidRPr="005B423F">
        <w:t>public interest</w:t>
      </w:r>
      <w:r w:rsidRPr="00CD1263">
        <w:t>, convenience, and necessity.</w:t>
      </w:r>
      <w:r>
        <w:t>”); § 254(d) (“</w:t>
      </w:r>
      <w:r w:rsidRPr="00CD1263">
        <w:t xml:space="preserve">Any other provider of interstate telecommunications may be required to contribute to the preservation and advancement of universal service if </w:t>
      </w:r>
      <w:r w:rsidRPr="005B423F">
        <w:t>the public interest</w:t>
      </w:r>
      <w:r w:rsidRPr="00CD1263">
        <w:t xml:space="preserve"> so requires</w:t>
      </w:r>
      <w:r>
        <w:t>.”).</w:t>
      </w:r>
    </w:p>
  </w:footnote>
  <w:footnote w:id="10">
    <w:p w:rsidR="00CD1263" w:rsidRDefault="00CD1263">
      <w:pPr>
        <w:pStyle w:val="FootnoteText"/>
      </w:pPr>
      <w:r>
        <w:rPr>
          <w:rStyle w:val="FootnoteReference"/>
        </w:rPr>
        <w:footnoteRef/>
      </w:r>
      <w:r>
        <w:t xml:space="preserve"> </w:t>
      </w:r>
      <w:r>
        <w:rPr>
          <w:rFonts w:eastAsia="Arial Unicode MS" w:hAnsi="Arial Unicode MS" w:cs="Arial Unicode MS"/>
          <w:i/>
          <w:iCs/>
        </w:rPr>
        <w:t xml:space="preserve">Verizon v. FCC, </w:t>
      </w:r>
      <w:r w:rsidR="00C27799">
        <w:rPr>
          <w:rFonts w:eastAsia="Arial Unicode MS" w:hAnsi="Arial Unicode MS" w:cs="Arial Unicode MS"/>
          <w:iCs/>
        </w:rPr>
        <w:t xml:space="preserve">740 F.3d 623 </w:t>
      </w:r>
      <w:r>
        <w:rPr>
          <w:rFonts w:eastAsia="Arial Unicode MS" w:hAnsi="Arial Unicode MS" w:cs="Arial Unicode MS"/>
        </w:rPr>
        <w:t>(D.C. Cir. 2014).</w:t>
      </w:r>
    </w:p>
  </w:footnote>
  <w:footnote w:id="11">
    <w:p w:rsidR="008C2E51" w:rsidRDefault="008C2E51" w:rsidP="008C2E51">
      <w:pPr>
        <w:pStyle w:val="FootnoteText"/>
      </w:pPr>
      <w:r>
        <w:rPr>
          <w:rStyle w:val="FootnoteReference"/>
        </w:rPr>
        <w:footnoteRef/>
      </w:r>
      <w:r>
        <w:t xml:space="preserve"> </w:t>
      </w:r>
      <w:r>
        <w:rPr>
          <w:rFonts w:eastAsia="Arial Unicode MS" w:hAnsi="Arial Unicode MS" w:cs="Arial Unicode MS"/>
          <w:i/>
        </w:rPr>
        <w:t>Id.</w:t>
      </w:r>
      <w:r>
        <w:rPr>
          <w:rFonts w:eastAsia="Arial Unicode MS" w:hAnsi="Arial Unicode MS" w:cs="Arial Unicode MS"/>
        </w:rPr>
        <w:t xml:space="preserve"> at 644.</w:t>
      </w:r>
    </w:p>
  </w:footnote>
  <w:footnote w:id="12">
    <w:p w:rsidR="00CD1263" w:rsidRDefault="00CD1263">
      <w:pPr>
        <w:pStyle w:val="FootnoteText"/>
      </w:pPr>
      <w:r>
        <w:rPr>
          <w:rStyle w:val="FootnoteReference"/>
        </w:rPr>
        <w:footnoteRef/>
      </w:r>
      <w:r>
        <w:t xml:space="preserve"> </w:t>
      </w:r>
      <w:r>
        <w:rPr>
          <w:rFonts w:eastAsia="Arial Unicode MS" w:hAnsi="Arial Unicode MS" w:cs="Arial Unicode MS"/>
        </w:rPr>
        <w:t xml:space="preserve">Prepared Remarks of Chairman Tom Wheeler, Computer History Museum (Jan. 9, 2014), </w:t>
      </w:r>
      <w:r>
        <w:rPr>
          <w:rFonts w:eastAsia="Arial Unicode MS" w:hAnsi="Arial Unicode MS" w:cs="Arial Unicode MS"/>
          <w:i/>
          <w:iCs/>
        </w:rPr>
        <w:t xml:space="preserve">available at </w:t>
      </w:r>
      <w:hyperlink r:id="rId1" w:history="1">
        <w:r>
          <w:rPr>
            <w:rStyle w:val="Hyperlink0"/>
            <w:rFonts w:eastAsia="Arial Unicode MS" w:hAnsi="Arial Unicode MS" w:cs="Arial Unicode MS"/>
          </w:rPr>
          <w:t>http://transition.fcc.gov/Daily_Releases/Daily_Business/2014/db0109/DOC-325054A1.pdf</w:t>
        </w:r>
      </w:hyperlink>
      <w:r>
        <w:rPr>
          <w:rFonts w:eastAsia="Arial Unicode MS" w:hAnsi="Arial Unicode MS" w:cs="Arial Unicode MS"/>
        </w:rPr>
        <w:t>.</w:t>
      </w:r>
    </w:p>
  </w:footnote>
  <w:footnote w:id="13">
    <w:p w:rsidR="005B6DA2" w:rsidRDefault="005B6DA2" w:rsidP="005B6DA2">
      <w:pPr>
        <w:pStyle w:val="FootnoteText"/>
      </w:pPr>
      <w:r>
        <w:rPr>
          <w:rStyle w:val="FootnoteReference"/>
        </w:rPr>
        <w:footnoteRef/>
      </w:r>
      <w:r>
        <w:t xml:space="preserve"> 47 U.S.C. §§ 309(d)(2), (e).</w:t>
      </w:r>
    </w:p>
  </w:footnote>
  <w:footnote w:id="14">
    <w:p w:rsidR="00364546" w:rsidRDefault="00364546" w:rsidP="00364546">
      <w:pPr>
        <w:pStyle w:val="FootnoteText"/>
      </w:pPr>
      <w:r>
        <w:rPr>
          <w:rStyle w:val="FootnoteReference"/>
        </w:rPr>
        <w:footnoteRef/>
      </w:r>
      <w:r>
        <w:t xml:space="preserve"> </w:t>
      </w:r>
      <w:r>
        <w:rPr>
          <w:rFonts w:eastAsia="Arial Unicode MS" w:hAnsi="Arial Unicode MS" w:cs="Arial Unicode MS"/>
        </w:rPr>
        <w:t xml:space="preserve">Jonathan Baker, </w:t>
      </w:r>
      <w:r>
        <w:rPr>
          <w:rFonts w:eastAsia="Arial Unicode MS" w:hAnsi="Arial Unicode MS" w:cs="Arial Unicode MS"/>
          <w:i/>
          <w:iCs/>
        </w:rPr>
        <w:t xml:space="preserve">Antitrust Enforcement Sectoral Regulation, </w:t>
      </w:r>
      <w:r>
        <w:rPr>
          <w:rFonts w:eastAsia="Arial Unicode MS" w:hAnsi="Arial Unicode MS" w:cs="Arial Unicode MS"/>
        </w:rPr>
        <w:t xml:space="preserve">9 </w:t>
      </w:r>
      <w:r w:rsidRPr="00CD1263">
        <w:rPr>
          <w:rFonts w:eastAsia="Arial Unicode MS" w:hAnsi="Arial Unicode MS" w:cs="Arial Unicode MS"/>
          <w:smallCaps/>
        </w:rPr>
        <w:t>Comp. Pol. Int</w:t>
      </w:r>
      <w:r w:rsidRPr="00CD1263">
        <w:rPr>
          <w:rFonts w:ascii="Arial Unicode MS" w:eastAsia="Arial Unicode MS" w:hAnsi="Arial Unicode MS" w:cs="Arial Unicode MS"/>
          <w:smallCaps/>
        </w:rPr>
        <w:t>’</w:t>
      </w:r>
      <w:r>
        <w:rPr>
          <w:rFonts w:ascii="Arial Unicode MS" w:eastAsia="Arial Unicode MS" w:hAnsi="Arial Unicode MS" w:cs="Arial Unicode MS"/>
          <w:smallCaps/>
        </w:rPr>
        <w:t>l</w:t>
      </w:r>
      <w:r>
        <w:rPr>
          <w:rFonts w:eastAsia="Arial Unicode MS" w:hAnsi="Arial Unicode MS" w:cs="Arial Unicode MS"/>
          <w:caps/>
        </w:rPr>
        <w:t>.</w:t>
      </w:r>
      <w:r>
        <w:rPr>
          <w:rFonts w:eastAsia="Arial Unicode MS" w:hAnsi="Arial Unicode MS" w:cs="Arial Unicode MS"/>
        </w:rPr>
        <w:t xml:space="preserve"> 1, at 3 (2013).</w:t>
      </w:r>
    </w:p>
  </w:footnote>
  <w:footnote w:id="15">
    <w:p w:rsidR="00364546" w:rsidRDefault="00364546" w:rsidP="00364546">
      <w:pPr>
        <w:pStyle w:val="FootnoteText"/>
      </w:pPr>
      <w:r>
        <w:rPr>
          <w:rStyle w:val="FootnoteReference"/>
        </w:rPr>
        <w:footnoteRef/>
      </w:r>
      <w:r>
        <w:t xml:space="preserve"> </w:t>
      </w:r>
      <w:r>
        <w:rPr>
          <w:rFonts w:eastAsia="Arial Unicode MS" w:hAnsi="Arial Unicode MS" w:cs="Arial Unicode MS"/>
        </w:rPr>
        <w:t xml:space="preserve">Philip J. Weiser, </w:t>
      </w:r>
      <w:r>
        <w:rPr>
          <w:rFonts w:eastAsia="Arial Unicode MS" w:hAnsi="Arial Unicode MS" w:cs="Arial Unicode MS"/>
          <w:i/>
          <w:iCs/>
        </w:rPr>
        <w:t xml:space="preserve">Institutional Design, FCC Reform, and the Hidden Side of the Administrative State, </w:t>
      </w:r>
      <w:r>
        <w:rPr>
          <w:rFonts w:eastAsia="Arial Unicode MS" w:hAnsi="Arial Unicode MS" w:cs="Arial Unicode MS"/>
        </w:rPr>
        <w:t xml:space="preserve">61 </w:t>
      </w:r>
      <w:r w:rsidRPr="00CD1263">
        <w:rPr>
          <w:rFonts w:eastAsia="Arial Unicode MS" w:cs="Arial Unicode MS"/>
          <w:smallCaps/>
        </w:rPr>
        <w:t>Admin. L. Rev</w:t>
      </w:r>
      <w:r>
        <w:rPr>
          <w:rFonts w:eastAsia="Arial Unicode MS" w:hAnsi="Arial Unicode MS" w:cs="Arial Unicode MS"/>
          <w:caps/>
        </w:rPr>
        <w:t xml:space="preserve">. </w:t>
      </w:r>
      <w:r>
        <w:rPr>
          <w:rFonts w:eastAsia="Arial Unicode MS" w:hAnsi="Arial Unicode MS" w:cs="Arial Unicode MS"/>
        </w:rPr>
        <w:t>675, 610-11</w:t>
      </w:r>
      <w:r>
        <w:rPr>
          <w:rFonts w:eastAsia="Arial Unicode MS" w:hAnsi="Arial Unicode MS" w:cs="Arial Unicode MS"/>
          <w:i/>
          <w:iCs/>
        </w:rPr>
        <w:t xml:space="preserve"> </w:t>
      </w:r>
      <w:r>
        <w:rPr>
          <w:rFonts w:eastAsia="Arial Unicode MS" w:hAnsi="Arial Unicode MS" w:cs="Arial Unicode MS"/>
        </w:rPr>
        <w:t>(2009) (describing competition policy remedies in the News Corp./DirecTV transaction that addressed the Department of Justice</w:t>
      </w:r>
      <w:r>
        <w:rPr>
          <w:rFonts w:ascii="Arial Unicode MS" w:eastAsia="Arial Unicode MS" w:hAnsi="Arial Unicode MS" w:cs="Arial Unicode MS"/>
        </w:rPr>
        <w:t>’</w:t>
      </w:r>
      <w:r>
        <w:rPr>
          <w:rFonts w:eastAsia="Arial Unicode MS" w:hAnsi="Arial Unicode MS" w:cs="Arial Unicode MS"/>
        </w:rPr>
        <w:t>s most significant concerns).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B8" w:rsidRDefault="00CA2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B8" w:rsidRDefault="00CA2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B8" w:rsidRDefault="00CA25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01AB8"/>
    <w:rsid w:val="000760AD"/>
    <w:rsid w:val="000C1709"/>
    <w:rsid w:val="000C42FF"/>
    <w:rsid w:val="000F2274"/>
    <w:rsid w:val="001021F7"/>
    <w:rsid w:val="00107586"/>
    <w:rsid w:val="00155752"/>
    <w:rsid w:val="00156B04"/>
    <w:rsid w:val="00161E5E"/>
    <w:rsid w:val="00162E3D"/>
    <w:rsid w:val="001B40E3"/>
    <w:rsid w:val="001C6A0E"/>
    <w:rsid w:val="00216ECD"/>
    <w:rsid w:val="00226FA4"/>
    <w:rsid w:val="0023444F"/>
    <w:rsid w:val="002400D2"/>
    <w:rsid w:val="002504D0"/>
    <w:rsid w:val="002712FF"/>
    <w:rsid w:val="002C42C3"/>
    <w:rsid w:val="00311143"/>
    <w:rsid w:val="003131FD"/>
    <w:rsid w:val="00326643"/>
    <w:rsid w:val="00364546"/>
    <w:rsid w:val="003A4F3E"/>
    <w:rsid w:val="003B1192"/>
    <w:rsid w:val="003D41D1"/>
    <w:rsid w:val="00417020"/>
    <w:rsid w:val="00421F8F"/>
    <w:rsid w:val="00431AD9"/>
    <w:rsid w:val="0043453F"/>
    <w:rsid w:val="00444E03"/>
    <w:rsid w:val="00447C78"/>
    <w:rsid w:val="004533D6"/>
    <w:rsid w:val="00460D02"/>
    <w:rsid w:val="005138AE"/>
    <w:rsid w:val="005163BA"/>
    <w:rsid w:val="00521720"/>
    <w:rsid w:val="005616DF"/>
    <w:rsid w:val="0057640B"/>
    <w:rsid w:val="005860C9"/>
    <w:rsid w:val="005A66FC"/>
    <w:rsid w:val="005B423F"/>
    <w:rsid w:val="005B6DA2"/>
    <w:rsid w:val="005D0002"/>
    <w:rsid w:val="005D039A"/>
    <w:rsid w:val="005F732B"/>
    <w:rsid w:val="00626DCD"/>
    <w:rsid w:val="0065080C"/>
    <w:rsid w:val="006573CA"/>
    <w:rsid w:val="006614F5"/>
    <w:rsid w:val="006A6338"/>
    <w:rsid w:val="006C5659"/>
    <w:rsid w:val="007076C0"/>
    <w:rsid w:val="0075111E"/>
    <w:rsid w:val="0076708E"/>
    <w:rsid w:val="00776CDD"/>
    <w:rsid w:val="00781AD6"/>
    <w:rsid w:val="007C36C3"/>
    <w:rsid w:val="007C3A66"/>
    <w:rsid w:val="007F65F1"/>
    <w:rsid w:val="00801AB8"/>
    <w:rsid w:val="00803BDA"/>
    <w:rsid w:val="00861E13"/>
    <w:rsid w:val="00866C53"/>
    <w:rsid w:val="00886047"/>
    <w:rsid w:val="008B2776"/>
    <w:rsid w:val="008C2E51"/>
    <w:rsid w:val="008D242B"/>
    <w:rsid w:val="008E638A"/>
    <w:rsid w:val="008F33C1"/>
    <w:rsid w:val="009022FE"/>
    <w:rsid w:val="00923BBE"/>
    <w:rsid w:val="0093307C"/>
    <w:rsid w:val="00952006"/>
    <w:rsid w:val="00985543"/>
    <w:rsid w:val="009D2EFA"/>
    <w:rsid w:val="009D77C8"/>
    <w:rsid w:val="009F3104"/>
    <w:rsid w:val="009F4185"/>
    <w:rsid w:val="009F746A"/>
    <w:rsid w:val="00A055CD"/>
    <w:rsid w:val="00A065C3"/>
    <w:rsid w:val="00A13334"/>
    <w:rsid w:val="00A54253"/>
    <w:rsid w:val="00A95FA0"/>
    <w:rsid w:val="00AD67B8"/>
    <w:rsid w:val="00B1414F"/>
    <w:rsid w:val="00B168A7"/>
    <w:rsid w:val="00B265DE"/>
    <w:rsid w:val="00B4237A"/>
    <w:rsid w:val="00B656DC"/>
    <w:rsid w:val="00B81662"/>
    <w:rsid w:val="00B86E51"/>
    <w:rsid w:val="00B87124"/>
    <w:rsid w:val="00BC3CDF"/>
    <w:rsid w:val="00BD5607"/>
    <w:rsid w:val="00BF4C17"/>
    <w:rsid w:val="00C12463"/>
    <w:rsid w:val="00C23CA1"/>
    <w:rsid w:val="00C25E00"/>
    <w:rsid w:val="00C27799"/>
    <w:rsid w:val="00C356A9"/>
    <w:rsid w:val="00C36AC5"/>
    <w:rsid w:val="00C562E2"/>
    <w:rsid w:val="00CA25B8"/>
    <w:rsid w:val="00CB5976"/>
    <w:rsid w:val="00CC3270"/>
    <w:rsid w:val="00CD05EA"/>
    <w:rsid w:val="00CD1263"/>
    <w:rsid w:val="00CD6D5C"/>
    <w:rsid w:val="00CD7F75"/>
    <w:rsid w:val="00CE59CA"/>
    <w:rsid w:val="00CF6E19"/>
    <w:rsid w:val="00D65A95"/>
    <w:rsid w:val="00D670C7"/>
    <w:rsid w:val="00D96A0A"/>
    <w:rsid w:val="00DA5193"/>
    <w:rsid w:val="00DA7E13"/>
    <w:rsid w:val="00E0354A"/>
    <w:rsid w:val="00E15C74"/>
    <w:rsid w:val="00E62434"/>
    <w:rsid w:val="00E937F9"/>
    <w:rsid w:val="00EC3743"/>
    <w:rsid w:val="00F00CB9"/>
    <w:rsid w:val="00F32BF6"/>
    <w:rsid w:val="00F65F3C"/>
    <w:rsid w:val="00F735B9"/>
    <w:rsid w:val="00F917D9"/>
    <w:rsid w:val="00FD35FE"/>
    <w:rsid w:val="00FF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rPr>
  </w:style>
  <w:style w:type="paragraph" w:styleId="Footer">
    <w:name w:val="footer"/>
    <w:pPr>
      <w:tabs>
        <w:tab w:val="center" w:pos="4680"/>
        <w:tab w:val="right" w:pos="9360"/>
      </w:tabs>
    </w:pPr>
    <w:rPr>
      <w:rFonts w:ascii="Trebuchet MS" w:eastAsia="Trebuchet MS" w:hAnsi="Trebuchet MS" w:cs="Trebuchet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noteText">
    <w:name w:val="footnote text"/>
    <w:rPr>
      <w:rFonts w:ascii="Trebuchet MS" w:eastAsia="Trebuchet MS" w:hAnsi="Trebuchet MS" w:cs="Trebuchet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styleId="FootnoteReference">
    <w:name w:val="footnote reference"/>
    <w:basedOn w:val="DefaultParagraphFont"/>
    <w:uiPriority w:val="99"/>
    <w:semiHidden/>
    <w:unhideWhenUsed/>
    <w:rsid w:val="00E15C74"/>
    <w:rPr>
      <w:vertAlign w:val="superscript"/>
    </w:rPr>
  </w:style>
  <w:style w:type="character" w:styleId="CommentReference">
    <w:name w:val="annotation reference"/>
    <w:basedOn w:val="DefaultParagraphFont"/>
    <w:uiPriority w:val="99"/>
    <w:semiHidden/>
    <w:unhideWhenUsed/>
    <w:rsid w:val="008B2776"/>
    <w:rPr>
      <w:sz w:val="16"/>
      <w:szCs w:val="16"/>
    </w:rPr>
  </w:style>
  <w:style w:type="paragraph" w:styleId="CommentText">
    <w:name w:val="annotation text"/>
    <w:basedOn w:val="Normal"/>
    <w:link w:val="CommentTextChar"/>
    <w:uiPriority w:val="99"/>
    <w:semiHidden/>
    <w:unhideWhenUsed/>
    <w:rsid w:val="008B2776"/>
    <w:rPr>
      <w:sz w:val="20"/>
      <w:szCs w:val="20"/>
    </w:rPr>
  </w:style>
  <w:style w:type="character" w:customStyle="1" w:styleId="CommentTextChar">
    <w:name w:val="Comment Text Char"/>
    <w:basedOn w:val="DefaultParagraphFont"/>
    <w:link w:val="CommentText"/>
    <w:uiPriority w:val="99"/>
    <w:semiHidden/>
    <w:rsid w:val="008B2776"/>
  </w:style>
  <w:style w:type="paragraph" w:styleId="CommentSubject">
    <w:name w:val="annotation subject"/>
    <w:basedOn w:val="CommentText"/>
    <w:next w:val="CommentText"/>
    <w:link w:val="CommentSubjectChar"/>
    <w:uiPriority w:val="99"/>
    <w:semiHidden/>
    <w:unhideWhenUsed/>
    <w:rsid w:val="008B2776"/>
    <w:rPr>
      <w:b/>
      <w:bCs/>
    </w:rPr>
  </w:style>
  <w:style w:type="character" w:customStyle="1" w:styleId="CommentSubjectChar">
    <w:name w:val="Comment Subject Char"/>
    <w:basedOn w:val="CommentTextChar"/>
    <w:link w:val="CommentSubject"/>
    <w:uiPriority w:val="99"/>
    <w:semiHidden/>
    <w:rsid w:val="008B2776"/>
    <w:rPr>
      <w:b/>
      <w:bCs/>
    </w:rPr>
  </w:style>
  <w:style w:type="paragraph" w:styleId="BalloonText">
    <w:name w:val="Balloon Text"/>
    <w:basedOn w:val="Normal"/>
    <w:link w:val="BalloonTextChar"/>
    <w:uiPriority w:val="99"/>
    <w:semiHidden/>
    <w:unhideWhenUsed/>
    <w:rsid w:val="008B2776"/>
    <w:rPr>
      <w:rFonts w:ascii="Tahoma" w:hAnsi="Tahoma" w:cs="Tahoma"/>
      <w:sz w:val="16"/>
      <w:szCs w:val="16"/>
    </w:rPr>
  </w:style>
  <w:style w:type="character" w:customStyle="1" w:styleId="BalloonTextChar">
    <w:name w:val="Balloon Text Char"/>
    <w:basedOn w:val="DefaultParagraphFont"/>
    <w:link w:val="BalloonText"/>
    <w:uiPriority w:val="99"/>
    <w:semiHidden/>
    <w:rsid w:val="008B2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rPr>
  </w:style>
  <w:style w:type="paragraph" w:styleId="Footer">
    <w:name w:val="footer"/>
    <w:pPr>
      <w:tabs>
        <w:tab w:val="center" w:pos="4680"/>
        <w:tab w:val="right" w:pos="9360"/>
      </w:tabs>
    </w:pPr>
    <w:rPr>
      <w:rFonts w:ascii="Trebuchet MS" w:eastAsia="Trebuchet MS" w:hAnsi="Trebuchet MS" w:cs="Trebuchet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noteText">
    <w:name w:val="footnote text"/>
    <w:rPr>
      <w:rFonts w:ascii="Trebuchet MS" w:eastAsia="Trebuchet MS" w:hAnsi="Trebuchet MS" w:cs="Trebuchet MS"/>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styleId="FootnoteReference">
    <w:name w:val="footnote reference"/>
    <w:basedOn w:val="DefaultParagraphFont"/>
    <w:uiPriority w:val="99"/>
    <w:semiHidden/>
    <w:unhideWhenUsed/>
    <w:rsid w:val="00E15C74"/>
    <w:rPr>
      <w:vertAlign w:val="superscript"/>
    </w:rPr>
  </w:style>
  <w:style w:type="character" w:styleId="CommentReference">
    <w:name w:val="annotation reference"/>
    <w:basedOn w:val="DefaultParagraphFont"/>
    <w:uiPriority w:val="99"/>
    <w:semiHidden/>
    <w:unhideWhenUsed/>
    <w:rsid w:val="008B2776"/>
    <w:rPr>
      <w:sz w:val="16"/>
      <w:szCs w:val="16"/>
    </w:rPr>
  </w:style>
  <w:style w:type="paragraph" w:styleId="CommentText">
    <w:name w:val="annotation text"/>
    <w:basedOn w:val="Normal"/>
    <w:link w:val="CommentTextChar"/>
    <w:uiPriority w:val="99"/>
    <w:semiHidden/>
    <w:unhideWhenUsed/>
    <w:rsid w:val="008B2776"/>
    <w:rPr>
      <w:sz w:val="20"/>
      <w:szCs w:val="20"/>
    </w:rPr>
  </w:style>
  <w:style w:type="character" w:customStyle="1" w:styleId="CommentTextChar">
    <w:name w:val="Comment Text Char"/>
    <w:basedOn w:val="DefaultParagraphFont"/>
    <w:link w:val="CommentText"/>
    <w:uiPriority w:val="99"/>
    <w:semiHidden/>
    <w:rsid w:val="008B2776"/>
  </w:style>
  <w:style w:type="paragraph" w:styleId="CommentSubject">
    <w:name w:val="annotation subject"/>
    <w:basedOn w:val="CommentText"/>
    <w:next w:val="CommentText"/>
    <w:link w:val="CommentSubjectChar"/>
    <w:uiPriority w:val="99"/>
    <w:semiHidden/>
    <w:unhideWhenUsed/>
    <w:rsid w:val="008B2776"/>
    <w:rPr>
      <w:b/>
      <w:bCs/>
    </w:rPr>
  </w:style>
  <w:style w:type="character" w:customStyle="1" w:styleId="CommentSubjectChar">
    <w:name w:val="Comment Subject Char"/>
    <w:basedOn w:val="CommentTextChar"/>
    <w:link w:val="CommentSubject"/>
    <w:uiPriority w:val="99"/>
    <w:semiHidden/>
    <w:rsid w:val="008B2776"/>
    <w:rPr>
      <w:b/>
      <w:bCs/>
    </w:rPr>
  </w:style>
  <w:style w:type="paragraph" w:styleId="BalloonText">
    <w:name w:val="Balloon Text"/>
    <w:basedOn w:val="Normal"/>
    <w:link w:val="BalloonTextChar"/>
    <w:uiPriority w:val="99"/>
    <w:semiHidden/>
    <w:unhideWhenUsed/>
    <w:rsid w:val="008B2776"/>
    <w:rPr>
      <w:rFonts w:ascii="Tahoma" w:hAnsi="Tahoma" w:cs="Tahoma"/>
      <w:sz w:val="16"/>
      <w:szCs w:val="16"/>
    </w:rPr>
  </w:style>
  <w:style w:type="character" w:customStyle="1" w:styleId="BalloonTextChar">
    <w:name w:val="Balloon Text Char"/>
    <w:basedOn w:val="DefaultParagraphFont"/>
    <w:link w:val="BalloonText"/>
    <w:uiPriority w:val="99"/>
    <w:semiHidden/>
    <w:rsid w:val="008B2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Daily_Releases/Daily_Business/2014/db0109/DOC-325054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3369</Words>
  <Characters>17749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2014-03-08T21:44:00Z</cp:lastPrinted>
  <dcterms:created xsi:type="dcterms:W3CDTF">2014-03-12T20:11:00Z</dcterms:created>
  <dcterms:modified xsi:type="dcterms:W3CDTF">2014-03-12T20:11:00Z</dcterms:modified>
  <cp:category> </cp:category>
  <cp:contentStatus> </cp:contentStatus>
</cp:coreProperties>
</file>