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4D3B5" w14:textId="258B081F" w:rsidR="000270CF" w:rsidRPr="00E90DC8" w:rsidRDefault="003923CB" w:rsidP="00CC6B58">
      <w:pPr>
        <w:spacing w:after="240"/>
        <w:jc w:val="center"/>
        <w:rPr>
          <w:rFonts w:cs="Times New Roman"/>
          <w:b/>
        </w:rPr>
      </w:pPr>
      <w:bookmarkStart w:id="0" w:name="_GoBack"/>
      <w:bookmarkEnd w:id="0"/>
      <w:r w:rsidRPr="00E90DC8">
        <w:rPr>
          <w:rFonts w:cs="Times New Roman"/>
          <w:b/>
        </w:rPr>
        <w:t>STATEMENT OF</w:t>
      </w:r>
      <w:r w:rsidR="003E3195" w:rsidRPr="00E90DC8">
        <w:rPr>
          <w:rFonts w:cs="Times New Roman"/>
          <w:b/>
        </w:rPr>
        <w:t xml:space="preserve"> </w:t>
      </w:r>
      <w:r w:rsidR="00CC6B58">
        <w:rPr>
          <w:rFonts w:cs="Times New Roman"/>
          <w:b/>
        </w:rPr>
        <w:br/>
      </w:r>
      <w:r w:rsidRPr="00E90DC8">
        <w:rPr>
          <w:rFonts w:cs="Times New Roman"/>
          <w:b/>
        </w:rPr>
        <w:t>COMMISSIONER AJIT PAI</w:t>
      </w:r>
      <w:r w:rsidR="001A52F7" w:rsidRPr="00E90DC8">
        <w:rPr>
          <w:rFonts w:cs="Times New Roman"/>
          <w:b/>
        </w:rPr>
        <w:br/>
      </w:r>
      <w:r w:rsidR="00581E2D" w:rsidRPr="00E90DC8">
        <w:rPr>
          <w:rFonts w:cs="Times New Roman"/>
          <w:b/>
        </w:rPr>
        <w:t xml:space="preserve">APPROVING IN PART AND </w:t>
      </w:r>
      <w:r w:rsidR="009D67A8" w:rsidRPr="00E90DC8">
        <w:rPr>
          <w:rFonts w:cs="Times New Roman"/>
          <w:b/>
        </w:rPr>
        <w:t>CONCURRING</w:t>
      </w:r>
      <w:r w:rsidR="00581E2D" w:rsidRPr="00E90DC8">
        <w:rPr>
          <w:rFonts w:cs="Times New Roman"/>
          <w:b/>
        </w:rPr>
        <w:t xml:space="preserve"> IN PART</w:t>
      </w:r>
      <w:r w:rsidR="00DB51A9">
        <w:rPr>
          <w:rFonts w:cs="Times New Roman"/>
          <w:b/>
        </w:rPr>
        <w:br/>
      </w:r>
    </w:p>
    <w:p w14:paraId="47AA99D9" w14:textId="1744F689" w:rsidR="00D4383F" w:rsidRPr="00E90DC8" w:rsidRDefault="003923CB" w:rsidP="00A5044C">
      <w:pPr>
        <w:spacing w:after="240"/>
        <w:ind w:left="720" w:hanging="720"/>
        <w:rPr>
          <w:rFonts w:cs="Times New Roman"/>
        </w:rPr>
      </w:pPr>
      <w:r w:rsidRPr="00E90DC8">
        <w:rPr>
          <w:rFonts w:cs="Times New Roman"/>
        </w:rPr>
        <w:t xml:space="preserve">Re: </w:t>
      </w:r>
      <w:r w:rsidRPr="00E90DC8">
        <w:rPr>
          <w:rFonts w:cs="Times New Roman"/>
        </w:rPr>
        <w:tab/>
      </w:r>
      <w:r w:rsidR="00061AC4" w:rsidRPr="00E90DC8">
        <w:rPr>
          <w:rFonts w:cs="Times New Roman"/>
          <w:i/>
        </w:rPr>
        <w:t>Amendment of the Commission’s Rules with Regard to Commercial Operat</w:t>
      </w:r>
      <w:r w:rsidR="00E90DC8">
        <w:rPr>
          <w:rFonts w:cs="Times New Roman"/>
          <w:i/>
        </w:rPr>
        <w:t>ions in the 1695–1710 MHz, 1755–</w:t>
      </w:r>
      <w:r w:rsidR="00061AC4" w:rsidRPr="00E90DC8">
        <w:rPr>
          <w:rFonts w:cs="Times New Roman"/>
          <w:i/>
        </w:rPr>
        <w:t>1780 MHz, and 2155</w:t>
      </w:r>
      <w:r w:rsidR="00E90DC8">
        <w:rPr>
          <w:rFonts w:cs="Times New Roman"/>
          <w:i/>
        </w:rPr>
        <w:t>–</w:t>
      </w:r>
      <w:r w:rsidR="00061AC4" w:rsidRPr="00E90DC8">
        <w:rPr>
          <w:rFonts w:cs="Times New Roman"/>
          <w:i/>
        </w:rPr>
        <w:t>2180 MHz Bands</w:t>
      </w:r>
      <w:r w:rsidR="008F5B0C">
        <w:rPr>
          <w:rFonts w:cs="Times New Roman"/>
        </w:rPr>
        <w:t xml:space="preserve">, </w:t>
      </w:r>
      <w:r w:rsidR="005F61BA">
        <w:rPr>
          <w:rFonts w:cs="Times New Roman"/>
        </w:rPr>
        <w:t xml:space="preserve">Report and Order, </w:t>
      </w:r>
      <w:r w:rsidR="008F5B0C">
        <w:rPr>
          <w:rFonts w:cs="Times New Roman"/>
        </w:rPr>
        <w:t>GN Docket No. 13-185</w:t>
      </w:r>
    </w:p>
    <w:p w14:paraId="76DD0487" w14:textId="0E5C5C32" w:rsidR="006C16BF" w:rsidRPr="00E90DC8" w:rsidRDefault="006C16BF" w:rsidP="00A5044C">
      <w:pPr>
        <w:spacing w:after="240"/>
        <w:ind w:firstLine="720"/>
        <w:rPr>
          <w:rFonts w:cs="Times New Roman"/>
        </w:rPr>
      </w:pPr>
      <w:r w:rsidRPr="00E90DC8">
        <w:rPr>
          <w:rFonts w:cs="Times New Roman"/>
        </w:rPr>
        <w:t>After five years without a major spectrum auction, things are starting to turn around.  Last month the Commission completed the auction of the long-fallow H Block, and today we adopt service rules so that we can auction off the AWS-3 spectrum before the year is over.  Th</w:t>
      </w:r>
      <w:r w:rsidR="00923753">
        <w:rPr>
          <w:rFonts w:cs="Times New Roman"/>
        </w:rPr>
        <w:t>is i</w:t>
      </w:r>
      <w:r w:rsidRPr="00E90DC8">
        <w:rPr>
          <w:rFonts w:cs="Times New Roman"/>
        </w:rPr>
        <w:t>s good news.</w:t>
      </w:r>
    </w:p>
    <w:p w14:paraId="1803A210" w14:textId="3D7F0F60" w:rsidR="00923753" w:rsidRDefault="00D23E9D" w:rsidP="00A5044C">
      <w:pPr>
        <w:spacing w:after="240"/>
        <w:ind w:firstLine="720"/>
        <w:rPr>
          <w:rFonts w:cs="Times New Roman"/>
        </w:rPr>
      </w:pPr>
      <w:r w:rsidRPr="00E90DC8">
        <w:rPr>
          <w:rFonts w:cs="Times New Roman"/>
        </w:rPr>
        <w:t>It’s good news because consumer demand for mobile broadband services has never been great</w:t>
      </w:r>
      <w:r w:rsidR="00923753">
        <w:rPr>
          <w:rFonts w:cs="Times New Roman"/>
        </w:rPr>
        <w:t>er</w:t>
      </w:r>
      <w:r w:rsidRPr="00E90DC8">
        <w:rPr>
          <w:rFonts w:cs="Times New Roman"/>
        </w:rPr>
        <w:t>, and new commercial spectrum is needed to “fuel the investment that has made the United States the world leader in wireless innovation.”</w:t>
      </w:r>
      <w:r w:rsidRPr="00E90DC8">
        <w:rPr>
          <w:rStyle w:val="FootnoteReference"/>
          <w:rFonts w:cs="Times New Roman"/>
        </w:rPr>
        <w:footnoteReference w:id="1"/>
      </w:r>
    </w:p>
    <w:p w14:paraId="5E6CEC65" w14:textId="6C6EBFD1" w:rsidR="006C16BF" w:rsidRPr="00E90DC8" w:rsidRDefault="00D23E9D" w:rsidP="00A5044C">
      <w:pPr>
        <w:spacing w:after="240"/>
        <w:ind w:firstLine="720"/>
        <w:rPr>
          <w:rFonts w:cs="Times New Roman"/>
        </w:rPr>
      </w:pPr>
      <w:r w:rsidRPr="00E90DC8">
        <w:rPr>
          <w:rFonts w:cs="Times New Roman"/>
        </w:rPr>
        <w:t>And it’s good news because spectrum auctions can raise billions of dollars for national priorities</w:t>
      </w:r>
      <w:r w:rsidR="00923753">
        <w:rPr>
          <w:rFonts w:cs="Times New Roman"/>
        </w:rPr>
        <w:t xml:space="preserve"> identified by Congress in the Spectrum Act. </w:t>
      </w:r>
      <w:r w:rsidRPr="00E90DC8">
        <w:rPr>
          <w:rFonts w:cs="Times New Roman"/>
        </w:rPr>
        <w:t xml:space="preserve"> </w:t>
      </w:r>
      <w:r w:rsidR="00923753">
        <w:rPr>
          <w:rFonts w:cs="Times New Roman"/>
        </w:rPr>
        <w:t xml:space="preserve">Among those priorities are funding for </w:t>
      </w:r>
      <w:r w:rsidR="008318D7" w:rsidRPr="00E90DC8">
        <w:rPr>
          <w:rFonts w:cs="Times New Roman"/>
        </w:rPr>
        <w:t>state and local first responders, public safety research, deficit reduction, and next-generation 911 deployment—not to mention the funding of FirstNet.</w:t>
      </w:r>
      <w:r w:rsidR="008318D7" w:rsidRPr="00E90DC8">
        <w:rPr>
          <w:rStyle w:val="FootnoteReference"/>
          <w:rFonts w:cs="Times New Roman"/>
        </w:rPr>
        <w:footnoteReference w:id="2"/>
      </w:r>
      <w:r w:rsidR="00923753">
        <w:rPr>
          <w:rFonts w:cs="Times New Roman"/>
        </w:rPr>
        <w:t xml:space="preserve">  W</w:t>
      </w:r>
      <w:r w:rsidR="00923753" w:rsidRPr="00E90DC8">
        <w:rPr>
          <w:rFonts w:cs="Times New Roman"/>
        </w:rPr>
        <w:t xml:space="preserve">e need to raise at least $27.95 billion </w:t>
      </w:r>
      <w:r w:rsidR="00FD1D18">
        <w:rPr>
          <w:rFonts w:cs="Times New Roman"/>
        </w:rPr>
        <w:t xml:space="preserve">in net revenues </w:t>
      </w:r>
      <w:r w:rsidR="00923753" w:rsidRPr="00E90DC8">
        <w:rPr>
          <w:rFonts w:cs="Times New Roman"/>
        </w:rPr>
        <w:t xml:space="preserve">if we are going to </w:t>
      </w:r>
      <w:r w:rsidR="00923753">
        <w:rPr>
          <w:rFonts w:cs="Times New Roman"/>
        </w:rPr>
        <w:t xml:space="preserve">meet all of </w:t>
      </w:r>
      <w:r w:rsidR="00923753" w:rsidRPr="00E90DC8">
        <w:rPr>
          <w:rFonts w:cs="Times New Roman"/>
        </w:rPr>
        <w:t>the</w:t>
      </w:r>
      <w:r w:rsidR="00923753">
        <w:rPr>
          <w:rFonts w:cs="Times New Roman"/>
        </w:rPr>
        <w:t>se challenges.</w:t>
      </w:r>
    </w:p>
    <w:p w14:paraId="13B5BB75" w14:textId="24D3F974" w:rsidR="003E6E21" w:rsidRDefault="00923753" w:rsidP="00A5044C">
      <w:pPr>
        <w:spacing w:after="240"/>
        <w:ind w:firstLine="720"/>
        <w:rPr>
          <w:rFonts w:cs="Times New Roman"/>
        </w:rPr>
      </w:pPr>
      <w:r>
        <w:rPr>
          <w:rFonts w:cs="Times New Roman"/>
        </w:rPr>
        <w:t xml:space="preserve">Even </w:t>
      </w:r>
      <w:r w:rsidR="00424203" w:rsidRPr="00E90DC8">
        <w:rPr>
          <w:rFonts w:cs="Times New Roman"/>
        </w:rPr>
        <w:t xml:space="preserve">more good news:  We’re using the right type of auction to sell off the right spectrum.  On the </w:t>
      </w:r>
      <w:r w:rsidR="00FC1799" w:rsidRPr="00E90DC8">
        <w:rPr>
          <w:rFonts w:cs="Times New Roman"/>
        </w:rPr>
        <w:t>former</w:t>
      </w:r>
      <w:r w:rsidR="00424203" w:rsidRPr="00E90DC8">
        <w:rPr>
          <w:rFonts w:cs="Times New Roman"/>
        </w:rPr>
        <w:t xml:space="preserve"> point, we are maintaining open eligibility and </w:t>
      </w:r>
      <w:r w:rsidR="00BD4784" w:rsidRPr="00E90DC8">
        <w:rPr>
          <w:rFonts w:cs="Times New Roman"/>
        </w:rPr>
        <w:t>uncapped</w:t>
      </w:r>
      <w:r w:rsidR="00424203" w:rsidRPr="00E90DC8">
        <w:rPr>
          <w:rFonts w:cs="Times New Roman"/>
        </w:rPr>
        <w:t xml:space="preserve"> participation, consistent with the Commission’s firmly</w:t>
      </w:r>
      <w:r w:rsidR="00FC1799" w:rsidRPr="00E90DC8">
        <w:rPr>
          <w:rFonts w:cs="Times New Roman"/>
        </w:rPr>
        <w:t>-</w:t>
      </w:r>
      <w:r w:rsidR="00424203" w:rsidRPr="00E90DC8">
        <w:rPr>
          <w:rFonts w:cs="Times New Roman"/>
        </w:rPr>
        <w:t>rooted standard that sets a high bar to any bidding restrictions.</w:t>
      </w:r>
      <w:r w:rsidR="00424203" w:rsidRPr="00E90DC8">
        <w:rPr>
          <w:rStyle w:val="FootnoteReference"/>
          <w:rFonts w:cs="Times New Roman"/>
        </w:rPr>
        <w:footnoteReference w:id="3"/>
      </w:r>
      <w:r w:rsidR="00424203" w:rsidRPr="00E90DC8">
        <w:rPr>
          <w:rFonts w:cs="Times New Roman"/>
        </w:rPr>
        <w:t xml:space="preserve">  In </w:t>
      </w:r>
      <w:r w:rsidR="003E6E21">
        <w:rPr>
          <w:rFonts w:cs="Times New Roman"/>
        </w:rPr>
        <w:t xml:space="preserve">a long line </w:t>
      </w:r>
      <w:r w:rsidR="003E6E21">
        <w:t>of Commission cases, we have determined t</w:t>
      </w:r>
      <w:r w:rsidR="003E6E21" w:rsidRPr="009F2C30">
        <w:t xml:space="preserve">hat eligibility restrictions may be imposed </w:t>
      </w:r>
      <w:r w:rsidR="003E6E21">
        <w:t>“</w:t>
      </w:r>
      <w:r w:rsidR="003E6E21" w:rsidRPr="00CD4ED5">
        <w:t>only when open eligibility would pose a significant likelihood of substantial harm to competition in specific markets and when an eligibility restriction would be effective in eliminating that harm</w:t>
      </w:r>
      <w:r w:rsidR="003E6E21">
        <w:t>.”</w:t>
      </w:r>
      <w:r w:rsidR="00424203" w:rsidRPr="00E90DC8">
        <w:rPr>
          <w:rStyle w:val="FootnoteReference"/>
          <w:rFonts w:cs="Times New Roman"/>
        </w:rPr>
        <w:footnoteReference w:id="4"/>
      </w:r>
    </w:p>
    <w:p w14:paraId="3DE52609" w14:textId="7315934E" w:rsidR="00424203" w:rsidRPr="00E90DC8" w:rsidRDefault="0005016D" w:rsidP="00A5044C">
      <w:pPr>
        <w:spacing w:after="240"/>
        <w:ind w:firstLine="720"/>
        <w:rPr>
          <w:rFonts w:cs="Times New Roman"/>
        </w:rPr>
      </w:pPr>
      <w:r w:rsidRPr="00E90DC8">
        <w:rPr>
          <w:rFonts w:cs="Times New Roman"/>
        </w:rPr>
        <w:t xml:space="preserve">On the latter point, we’ve paired the 1755–1780 MHz band with the 2155–2180 MHz band, which is adjacent to the existing AWS-1 band and already internationally harmonized for commercial use.  </w:t>
      </w:r>
      <w:r w:rsidR="00581E2D" w:rsidRPr="00E90DC8">
        <w:rPr>
          <w:rFonts w:cs="Times New Roman"/>
        </w:rPr>
        <w:t>T</w:t>
      </w:r>
      <w:r w:rsidRPr="00E90DC8">
        <w:rPr>
          <w:rFonts w:cs="Times New Roman"/>
        </w:rPr>
        <w:t xml:space="preserve">hose characteristics should mean faster deployment and more efficient </w:t>
      </w:r>
      <w:r w:rsidR="00BA1E86">
        <w:rPr>
          <w:rFonts w:cs="Times New Roman"/>
        </w:rPr>
        <w:t xml:space="preserve">use of </w:t>
      </w:r>
      <w:r w:rsidRPr="00E90DC8">
        <w:rPr>
          <w:rFonts w:cs="Times New Roman"/>
        </w:rPr>
        <w:t>spectrum.</w:t>
      </w:r>
      <w:r w:rsidR="00581E2D" w:rsidRPr="00E90DC8">
        <w:rPr>
          <w:rFonts w:cs="Times New Roman"/>
        </w:rPr>
        <w:t xml:space="preserve">  Together, these </w:t>
      </w:r>
      <w:r w:rsidR="00581E2D" w:rsidRPr="00E90DC8">
        <w:rPr>
          <w:rFonts w:cs="Times New Roman"/>
        </w:rPr>
        <w:lastRenderedPageBreak/>
        <w:t>choices make it more likely that we will have “robust competition, maximizing revenue through vigorous auction participation,”</w:t>
      </w:r>
      <w:r w:rsidR="00581E2D" w:rsidRPr="00E90DC8">
        <w:rPr>
          <w:rStyle w:val="FootnoteReference"/>
          <w:rFonts w:cs="Times New Roman"/>
        </w:rPr>
        <w:footnoteReference w:id="5"/>
      </w:r>
      <w:r w:rsidR="00581E2D" w:rsidRPr="00E90DC8">
        <w:rPr>
          <w:rFonts w:cs="Times New Roman"/>
        </w:rPr>
        <w:t xml:space="preserve"> as called for by the leaders of the bipartisan Congressional Spectrum Caucus.</w:t>
      </w:r>
    </w:p>
    <w:p w14:paraId="1AF0F965" w14:textId="42D45659" w:rsidR="00C8732B" w:rsidRDefault="00C8732B" w:rsidP="00A5044C">
      <w:pPr>
        <w:spacing w:after="240"/>
        <w:ind w:firstLine="720"/>
        <w:rPr>
          <w:rFonts w:cs="Times New Roman"/>
        </w:rPr>
      </w:pPr>
      <w:r>
        <w:rPr>
          <w:rFonts w:cs="Times New Roman"/>
        </w:rPr>
        <w:t>But there</w:t>
      </w:r>
      <w:r w:rsidR="007A06D1">
        <w:rPr>
          <w:rFonts w:cs="Times New Roman"/>
        </w:rPr>
        <w:t xml:space="preserve"> are</w:t>
      </w:r>
      <w:r>
        <w:rPr>
          <w:rFonts w:cs="Times New Roman"/>
        </w:rPr>
        <w:t xml:space="preserve"> a </w:t>
      </w:r>
      <w:r w:rsidR="007A06D1">
        <w:rPr>
          <w:rFonts w:cs="Times New Roman"/>
        </w:rPr>
        <w:t xml:space="preserve">couple of </w:t>
      </w:r>
      <w:r>
        <w:rPr>
          <w:rFonts w:cs="Times New Roman"/>
        </w:rPr>
        <w:t>catch</w:t>
      </w:r>
      <w:r w:rsidR="007A06D1">
        <w:rPr>
          <w:rFonts w:cs="Times New Roman"/>
        </w:rPr>
        <w:t>es</w:t>
      </w:r>
      <w:r>
        <w:rPr>
          <w:rFonts w:cs="Times New Roman"/>
        </w:rPr>
        <w:t>:  We are not clearing federal users out of the AWS-3 spectrum, and we</w:t>
      </w:r>
      <w:r w:rsidR="007A06D1">
        <w:rPr>
          <w:rFonts w:cs="Times New Roman"/>
        </w:rPr>
        <w:t xml:space="preserve"> a</w:t>
      </w:r>
      <w:r>
        <w:rPr>
          <w:rFonts w:cs="Times New Roman"/>
        </w:rPr>
        <w:t xml:space="preserve">re giving the government </w:t>
      </w:r>
      <w:r w:rsidR="0077408A">
        <w:rPr>
          <w:rFonts w:cs="Times New Roman"/>
        </w:rPr>
        <w:t xml:space="preserve">greater </w:t>
      </w:r>
      <w:r>
        <w:rPr>
          <w:rFonts w:cs="Times New Roman"/>
        </w:rPr>
        <w:t xml:space="preserve">access to </w:t>
      </w:r>
      <w:r w:rsidR="0077408A">
        <w:rPr>
          <w:rFonts w:cs="Times New Roman"/>
        </w:rPr>
        <w:t>85 MHz of prime, commercial</w:t>
      </w:r>
      <w:r>
        <w:rPr>
          <w:rFonts w:cs="Times New Roman"/>
        </w:rPr>
        <w:t xml:space="preserve"> spectrum</w:t>
      </w:r>
      <w:r w:rsidR="003E6E21">
        <w:rPr>
          <w:rFonts w:cs="Times New Roman"/>
        </w:rPr>
        <w:t xml:space="preserve"> at 2025</w:t>
      </w:r>
      <w:r w:rsidR="00E22876">
        <w:rPr>
          <w:rFonts w:cs="Times New Roman"/>
        </w:rPr>
        <w:t>–</w:t>
      </w:r>
      <w:r w:rsidR="003E6E21">
        <w:rPr>
          <w:rFonts w:cs="Times New Roman"/>
        </w:rPr>
        <w:t>2110</w:t>
      </w:r>
      <w:r w:rsidR="007A06D1">
        <w:rPr>
          <w:rFonts w:cs="Times New Roman"/>
        </w:rPr>
        <w:t xml:space="preserve"> MHz</w:t>
      </w:r>
      <w:r>
        <w:rPr>
          <w:rFonts w:cs="Times New Roman"/>
        </w:rPr>
        <w:t>.  We do this despite that fact that the</w:t>
      </w:r>
      <w:r w:rsidRPr="00E90DC8">
        <w:rPr>
          <w:rFonts w:cs="Times New Roman"/>
        </w:rPr>
        <w:t xml:space="preserve"> federal government </w:t>
      </w:r>
      <w:r>
        <w:rPr>
          <w:rFonts w:cs="Times New Roman"/>
        </w:rPr>
        <w:t>is</w:t>
      </w:r>
      <w:r w:rsidRPr="00E90DC8">
        <w:rPr>
          <w:rFonts w:cs="Times New Roman"/>
        </w:rPr>
        <w:t xml:space="preserve"> </w:t>
      </w:r>
      <w:r w:rsidR="007A06D1">
        <w:rPr>
          <w:rFonts w:cs="Times New Roman"/>
        </w:rPr>
        <w:t xml:space="preserve">already </w:t>
      </w:r>
      <w:r w:rsidRPr="00E90DC8">
        <w:rPr>
          <w:rFonts w:cs="Times New Roman"/>
        </w:rPr>
        <w:t>the sole</w:t>
      </w:r>
      <w:r>
        <w:rPr>
          <w:rFonts w:cs="Times New Roman"/>
        </w:rPr>
        <w:t xml:space="preserve"> or “dominant” user of </w:t>
      </w:r>
      <w:r w:rsidR="0077408A">
        <w:rPr>
          <w:rFonts w:cs="Times New Roman"/>
        </w:rPr>
        <w:t xml:space="preserve">more than half the </w:t>
      </w:r>
      <w:r w:rsidRPr="00E90DC8">
        <w:rPr>
          <w:rFonts w:cs="Times New Roman"/>
        </w:rPr>
        <w:t>spectrum ideally suited for mobile broadband</w:t>
      </w:r>
      <w:r w:rsidR="007A06D1">
        <w:rPr>
          <w:rFonts w:cs="Times New Roman"/>
        </w:rPr>
        <w:t>.  T</w:t>
      </w:r>
      <w:r>
        <w:rPr>
          <w:rFonts w:cs="Times New Roman"/>
        </w:rPr>
        <w:t>hat’s almost 1,300 M</w:t>
      </w:r>
      <w:r w:rsidR="0077408A">
        <w:rPr>
          <w:rFonts w:cs="Times New Roman"/>
        </w:rPr>
        <w:t>Hz of spectrum where</w:t>
      </w:r>
      <w:r w:rsidR="007A06D1">
        <w:rPr>
          <w:rFonts w:cs="Times New Roman"/>
        </w:rPr>
        <w:t xml:space="preserve">, as the </w:t>
      </w:r>
      <w:r w:rsidR="007A06D1" w:rsidRPr="00E90DC8">
        <w:rPr>
          <w:rFonts w:cs="Times New Roman"/>
        </w:rPr>
        <w:t>President’s Council of Advisors on Science and Technology</w:t>
      </w:r>
      <w:r w:rsidR="00D4383F">
        <w:rPr>
          <w:rFonts w:cs="Times New Roman"/>
        </w:rPr>
        <w:t xml:space="preserve"> (PCAST)</w:t>
      </w:r>
      <w:r w:rsidR="007A06D1">
        <w:rPr>
          <w:rFonts w:cs="Times New Roman"/>
        </w:rPr>
        <w:t xml:space="preserve"> put it,</w:t>
      </w:r>
      <w:r w:rsidR="0077408A">
        <w:rPr>
          <w:rFonts w:cs="Times New Roman"/>
        </w:rPr>
        <w:t xml:space="preserve"> government exclusivity or dominance</w:t>
      </w:r>
      <w:r w:rsidR="0077408A" w:rsidRPr="00E90DC8">
        <w:rPr>
          <w:rFonts w:cs="Times New Roman"/>
        </w:rPr>
        <w:t xml:space="preserve"> </w:t>
      </w:r>
      <w:r w:rsidR="0077408A">
        <w:rPr>
          <w:rFonts w:cs="Times New Roman"/>
        </w:rPr>
        <w:t>“</w:t>
      </w:r>
      <w:r w:rsidR="0077408A" w:rsidRPr="00E90DC8">
        <w:rPr>
          <w:rFonts w:cs="Times New Roman"/>
        </w:rPr>
        <w:t>effectively precludes substantial commercial use.”</w:t>
      </w:r>
      <w:r w:rsidR="0077408A" w:rsidRPr="00E90DC8">
        <w:rPr>
          <w:rStyle w:val="FootnoteReference"/>
          <w:rFonts w:cs="Times New Roman"/>
        </w:rPr>
        <w:footnoteReference w:id="6"/>
      </w:r>
    </w:p>
    <w:p w14:paraId="299C4E2A" w14:textId="5DD3A26C" w:rsidR="0077408A" w:rsidRDefault="0077408A" w:rsidP="00A5044C">
      <w:pPr>
        <w:spacing w:after="240"/>
        <w:ind w:firstLine="720"/>
        <w:rPr>
          <w:rFonts w:cs="Times New Roman"/>
        </w:rPr>
      </w:pPr>
      <w:r>
        <w:rPr>
          <w:rFonts w:cs="Times New Roman"/>
        </w:rPr>
        <w:t xml:space="preserve">This is bad news for the American public.  </w:t>
      </w:r>
      <w:r w:rsidR="009D67A8" w:rsidRPr="00E90DC8">
        <w:rPr>
          <w:rFonts w:cs="Times New Roman"/>
        </w:rPr>
        <w:t>The best way to maximize the value of spectrum</w:t>
      </w:r>
      <w:r w:rsidR="00064C8C">
        <w:rPr>
          <w:rFonts w:cs="Times New Roman"/>
        </w:rPr>
        <w:t xml:space="preserve"> in these types of bands</w:t>
      </w:r>
      <w:r w:rsidR="009D67A8" w:rsidRPr="00E90DC8">
        <w:rPr>
          <w:rFonts w:cs="Times New Roman"/>
        </w:rPr>
        <w:t xml:space="preserve">, both at auction and for consumers, is to make it available for exclusive commercial use.  That’s what we did in the early 2000s when the FCC and </w:t>
      </w:r>
      <w:r w:rsidR="00091858">
        <w:rPr>
          <w:rFonts w:cs="Times New Roman"/>
        </w:rPr>
        <w:t xml:space="preserve">the National Telecommunications and Information Administration (NTIA) </w:t>
      </w:r>
      <w:r>
        <w:rPr>
          <w:rFonts w:cs="Times New Roman"/>
        </w:rPr>
        <w:t>cleared federal users out of the 1710–1755 MHz band</w:t>
      </w:r>
      <w:r w:rsidR="009D67A8" w:rsidRPr="00E90DC8">
        <w:rPr>
          <w:rFonts w:cs="Times New Roman"/>
        </w:rPr>
        <w:t xml:space="preserve"> </w:t>
      </w:r>
      <w:r>
        <w:rPr>
          <w:rFonts w:cs="Times New Roman"/>
        </w:rPr>
        <w:t xml:space="preserve">and conducted the tremendously successful AWS-1 auction.  </w:t>
      </w:r>
      <w:r w:rsidR="00D4383F">
        <w:rPr>
          <w:rFonts w:cs="Times New Roman"/>
        </w:rPr>
        <w:t>C</w:t>
      </w:r>
      <w:r w:rsidR="00A56F1D">
        <w:rPr>
          <w:rFonts w:cs="Times New Roman"/>
        </w:rPr>
        <w:t xml:space="preserve">learing that spectrum cost less than originally assumed even without giving the government new spectrum to use.  </w:t>
      </w:r>
      <w:r w:rsidR="00091858">
        <w:rPr>
          <w:rFonts w:cs="Times New Roman"/>
        </w:rPr>
        <w:t xml:space="preserve">So consumers got more spectrum, and </w:t>
      </w:r>
      <w:r w:rsidR="00D4383F">
        <w:rPr>
          <w:rFonts w:cs="Times New Roman"/>
        </w:rPr>
        <w:t xml:space="preserve">the </w:t>
      </w:r>
      <w:r w:rsidR="00091858">
        <w:rPr>
          <w:rFonts w:cs="Times New Roman"/>
        </w:rPr>
        <w:t>Treasury got more funds</w:t>
      </w:r>
      <w:r w:rsidR="00A56F1D">
        <w:rPr>
          <w:rFonts w:cs="Times New Roman"/>
        </w:rPr>
        <w:t>.</w:t>
      </w:r>
    </w:p>
    <w:p w14:paraId="6C6F7D1E" w14:textId="1B0B0398" w:rsidR="00091858" w:rsidRPr="00E90DC8" w:rsidRDefault="00A56F1D" w:rsidP="00A5044C">
      <w:pPr>
        <w:spacing w:after="240"/>
        <w:ind w:firstLine="720"/>
        <w:rPr>
          <w:rFonts w:cs="Times New Roman"/>
        </w:rPr>
      </w:pPr>
      <w:r>
        <w:rPr>
          <w:rFonts w:cs="Times New Roman"/>
        </w:rPr>
        <w:t xml:space="preserve">Since </w:t>
      </w:r>
      <w:r w:rsidR="00D4383F">
        <w:rPr>
          <w:rFonts w:cs="Times New Roman"/>
        </w:rPr>
        <w:t>then</w:t>
      </w:r>
      <w:r>
        <w:rPr>
          <w:rFonts w:cs="Times New Roman"/>
        </w:rPr>
        <w:t xml:space="preserve">, Congress has </w:t>
      </w:r>
      <w:r w:rsidR="003E6E21">
        <w:rPr>
          <w:rFonts w:cs="Times New Roman"/>
        </w:rPr>
        <w:t xml:space="preserve">placed even greater emphasis </w:t>
      </w:r>
      <w:r>
        <w:rPr>
          <w:rFonts w:cs="Times New Roman"/>
        </w:rPr>
        <w:t xml:space="preserve">on </w:t>
      </w:r>
      <w:r w:rsidR="00091858">
        <w:rPr>
          <w:rFonts w:cs="Times New Roman"/>
        </w:rPr>
        <w:t>clearing.  In a subsection titled “</w:t>
      </w:r>
      <w:r w:rsidR="00091858" w:rsidRPr="00E90DC8">
        <w:rPr>
          <w:rFonts w:cs="Times New Roman"/>
        </w:rPr>
        <w:t>Relocation Prioritized Over Sharing</w:t>
      </w:r>
      <w:r w:rsidR="00091858">
        <w:rPr>
          <w:rFonts w:cs="Times New Roman"/>
        </w:rPr>
        <w:t>,</w:t>
      </w:r>
      <w:r w:rsidR="00091858" w:rsidRPr="00E90DC8">
        <w:rPr>
          <w:rFonts w:cs="Times New Roman"/>
        </w:rPr>
        <w:t>”</w:t>
      </w:r>
      <w:r w:rsidR="00091858">
        <w:rPr>
          <w:rFonts w:cs="Times New Roman"/>
        </w:rPr>
        <w:t xml:space="preserve"> the Spectrum Act directs the NTIA to </w:t>
      </w:r>
      <w:r w:rsidR="00227540">
        <w:rPr>
          <w:rFonts w:cs="Times New Roman"/>
        </w:rPr>
        <w:t>“</w:t>
      </w:r>
      <w:r w:rsidR="00091858" w:rsidRPr="00E90DC8">
        <w:rPr>
          <w:rFonts w:cs="Times New Roman"/>
        </w:rPr>
        <w:t>choose options involving shared use only when it determines, in consultation with the Director of the Office of Management and Budget</w:t>
      </w:r>
      <w:r w:rsidR="009C59EB">
        <w:rPr>
          <w:rFonts w:cs="Times New Roman"/>
        </w:rPr>
        <w:t xml:space="preserve"> [OMB]</w:t>
      </w:r>
      <w:r w:rsidR="00091858" w:rsidRPr="00E90DC8">
        <w:rPr>
          <w:rFonts w:cs="Times New Roman"/>
        </w:rPr>
        <w:t>, that relocation is not feasible because of technical or cost constraints.”</w:t>
      </w:r>
      <w:r w:rsidR="00091858" w:rsidRPr="00E90DC8">
        <w:rPr>
          <w:rStyle w:val="FootnoteReference"/>
          <w:rFonts w:cs="Times New Roman"/>
        </w:rPr>
        <w:footnoteReference w:id="7"/>
      </w:r>
      <w:r w:rsidR="00227540">
        <w:rPr>
          <w:rFonts w:cs="Times New Roman"/>
        </w:rPr>
        <w:t xml:space="preserve">  And if NTIA makes that determination, it </w:t>
      </w:r>
      <w:r w:rsidR="00227540">
        <w:rPr>
          <w:rFonts w:cs="Times New Roman"/>
          <w:i/>
        </w:rPr>
        <w:t>must</w:t>
      </w:r>
      <w:r w:rsidR="00227540">
        <w:rPr>
          <w:rFonts w:cs="Times New Roman"/>
        </w:rPr>
        <w:t xml:space="preserve"> “notify [Congress] of the </w:t>
      </w:r>
      <w:r w:rsidR="00227540" w:rsidRPr="00E90DC8">
        <w:rPr>
          <w:rFonts w:cs="Times New Roman"/>
        </w:rPr>
        <w:t>determination, including the specific technical or cost constraints on which the determination is based.”</w:t>
      </w:r>
      <w:r w:rsidR="00227540" w:rsidRPr="00E90DC8">
        <w:rPr>
          <w:rStyle w:val="FootnoteReference"/>
          <w:rFonts w:cs="Times New Roman"/>
        </w:rPr>
        <w:footnoteReference w:id="8"/>
      </w:r>
      <w:r w:rsidR="00227540">
        <w:rPr>
          <w:rFonts w:cs="Times New Roman"/>
        </w:rPr>
        <w:t xml:space="preserve">  </w:t>
      </w:r>
      <w:r w:rsidR="00091858" w:rsidRPr="00E90DC8">
        <w:rPr>
          <w:rFonts w:cs="Times New Roman"/>
        </w:rPr>
        <w:t xml:space="preserve">Consistent with these statutory requirements, </w:t>
      </w:r>
      <w:r w:rsidR="00227540">
        <w:rPr>
          <w:rFonts w:cs="Times New Roman"/>
        </w:rPr>
        <w:t xml:space="preserve">the </w:t>
      </w:r>
      <w:r w:rsidR="00227540">
        <w:rPr>
          <w:rFonts w:cs="Times New Roman"/>
          <w:i/>
        </w:rPr>
        <w:t>AWS-3 NPRM</w:t>
      </w:r>
      <w:r w:rsidR="00091858" w:rsidRPr="00E90DC8">
        <w:rPr>
          <w:rFonts w:cs="Times New Roman"/>
        </w:rPr>
        <w:t xml:space="preserve"> proposed to allocate the 1695–1710 and 1755–1780 MHz bands for shared use only “if clearing is not feasible.”</w:t>
      </w:r>
      <w:r w:rsidR="00091858" w:rsidRPr="00E90DC8">
        <w:rPr>
          <w:rStyle w:val="FootnoteReference"/>
          <w:rFonts w:cs="Times New Roman"/>
        </w:rPr>
        <w:footnoteReference w:id="9"/>
      </w:r>
    </w:p>
    <w:p w14:paraId="6EE0FDED" w14:textId="77777777" w:rsidR="00100AC0" w:rsidRDefault="00D4383F" w:rsidP="00A5044C">
      <w:pPr>
        <w:spacing w:after="240"/>
        <w:ind w:firstLine="720"/>
        <w:rPr>
          <w:rFonts w:cs="Times New Roman"/>
        </w:rPr>
      </w:pPr>
      <w:r>
        <w:rPr>
          <w:rFonts w:cs="Times New Roman"/>
        </w:rPr>
        <w:t>The</w:t>
      </w:r>
      <w:r w:rsidR="00227540">
        <w:rPr>
          <w:rFonts w:cs="Times New Roman"/>
        </w:rPr>
        <w:t xml:space="preserve"> NTIA has not carried out </w:t>
      </w:r>
      <w:r>
        <w:rPr>
          <w:rFonts w:cs="Times New Roman"/>
        </w:rPr>
        <w:t xml:space="preserve">these </w:t>
      </w:r>
      <w:r w:rsidR="00227540">
        <w:rPr>
          <w:rFonts w:cs="Times New Roman"/>
        </w:rPr>
        <w:t>statutory duties</w:t>
      </w:r>
      <w:r>
        <w:rPr>
          <w:rFonts w:cs="Times New Roman"/>
        </w:rPr>
        <w:t>—at least not yet</w:t>
      </w:r>
      <w:r w:rsidR="00227540">
        <w:rPr>
          <w:rFonts w:cs="Times New Roman"/>
        </w:rPr>
        <w:t xml:space="preserve">.  </w:t>
      </w:r>
      <w:r w:rsidR="00E22876">
        <w:rPr>
          <w:rFonts w:cs="Times New Roman"/>
        </w:rPr>
        <w:t xml:space="preserve">Although </w:t>
      </w:r>
      <w:r w:rsidR="00227540">
        <w:rPr>
          <w:rFonts w:cs="Times New Roman"/>
        </w:rPr>
        <w:t>the Commission commenced the notification-and-auction process of the Commercial Spectrum Enhancement Act more than one year ago,</w:t>
      </w:r>
      <w:r w:rsidR="00227540">
        <w:rPr>
          <w:rStyle w:val="FootnoteReference"/>
          <w:rFonts w:cs="Times New Roman"/>
        </w:rPr>
        <w:footnoteReference w:id="10"/>
      </w:r>
      <w:r w:rsidR="00227540">
        <w:rPr>
          <w:rFonts w:cs="Times New Roman"/>
        </w:rPr>
        <w:t xml:space="preserve"> NTIA has not yet notified Congress of its determination—assuming that one has been made</w:t>
      </w:r>
      <w:r w:rsidR="009C59EB">
        <w:rPr>
          <w:rFonts w:cs="Times New Roman"/>
        </w:rPr>
        <w:t xml:space="preserve"> in consultation with OMB</w:t>
      </w:r>
      <w:r w:rsidR="00227540">
        <w:rPr>
          <w:rFonts w:cs="Times New Roman"/>
        </w:rPr>
        <w:t xml:space="preserve">.  </w:t>
      </w:r>
    </w:p>
    <w:p w14:paraId="0C1FDC44" w14:textId="4F2FE7B4" w:rsidR="0042352A" w:rsidRDefault="00087D79" w:rsidP="00A5044C">
      <w:pPr>
        <w:spacing w:after="240"/>
        <w:ind w:firstLine="720"/>
        <w:rPr>
          <w:rFonts w:cs="Times New Roman"/>
        </w:rPr>
      </w:pPr>
      <w:r>
        <w:rPr>
          <w:rFonts w:cs="Times New Roman"/>
        </w:rPr>
        <w:lastRenderedPageBreak/>
        <w:t>And</w:t>
      </w:r>
      <w:r w:rsidR="009C59EB">
        <w:rPr>
          <w:rFonts w:cs="Times New Roman"/>
        </w:rPr>
        <w:t xml:space="preserve"> it’s </w:t>
      </w:r>
      <w:r w:rsidR="00100AC0">
        <w:rPr>
          <w:rFonts w:cs="Times New Roman"/>
        </w:rPr>
        <w:t>far from certain</w:t>
      </w:r>
      <w:r w:rsidR="009C59EB">
        <w:rPr>
          <w:rFonts w:cs="Times New Roman"/>
        </w:rPr>
        <w:t xml:space="preserve"> </w:t>
      </w:r>
      <w:r>
        <w:rPr>
          <w:rFonts w:cs="Times New Roman"/>
        </w:rPr>
        <w:t>whether clearing</w:t>
      </w:r>
      <w:r w:rsidR="009C59EB">
        <w:rPr>
          <w:rFonts w:cs="Times New Roman"/>
        </w:rPr>
        <w:t xml:space="preserve"> the 1755–1780 MHz band</w:t>
      </w:r>
      <w:r w:rsidR="00DB633B">
        <w:rPr>
          <w:rFonts w:cs="Times New Roman"/>
        </w:rPr>
        <w:t xml:space="preserve"> was ever seriously considered</w:t>
      </w:r>
      <w:r w:rsidR="00D50F7D">
        <w:rPr>
          <w:rFonts w:cs="Times New Roman"/>
        </w:rPr>
        <w:t xml:space="preserve"> under the Spectrum Act</w:t>
      </w:r>
      <w:r w:rsidR="00A44E08">
        <w:rPr>
          <w:rFonts w:cs="Times New Roman"/>
        </w:rPr>
        <w:t xml:space="preserve"> standard</w:t>
      </w:r>
      <w:r w:rsidR="009C59EB">
        <w:rPr>
          <w:rFonts w:cs="Times New Roman"/>
        </w:rPr>
        <w:t>.</w:t>
      </w:r>
      <w:r w:rsidR="00D50F7D">
        <w:rPr>
          <w:rFonts w:cs="Times New Roman"/>
        </w:rPr>
        <w:t xml:space="preserve">  </w:t>
      </w:r>
      <w:r>
        <w:rPr>
          <w:rFonts w:cs="Times New Roman"/>
        </w:rPr>
        <w:t>A</w:t>
      </w:r>
      <w:r w:rsidR="00E21802">
        <w:rPr>
          <w:rFonts w:cs="Times New Roman"/>
        </w:rPr>
        <w:t xml:space="preserve">s the Commission readily acknowledges in this </w:t>
      </w:r>
      <w:r w:rsidR="00E21802">
        <w:rPr>
          <w:rFonts w:cs="Times New Roman"/>
          <w:i/>
        </w:rPr>
        <w:t>Order</w:t>
      </w:r>
      <w:r w:rsidR="00E21802">
        <w:rPr>
          <w:rFonts w:cs="Times New Roman"/>
        </w:rPr>
        <w:t xml:space="preserve">, </w:t>
      </w:r>
      <w:r w:rsidR="009C59EB">
        <w:rPr>
          <w:rFonts w:cs="Times New Roman"/>
        </w:rPr>
        <w:t xml:space="preserve">NTIA charged the </w:t>
      </w:r>
      <w:r w:rsidR="009C59EB" w:rsidRPr="009C59EB">
        <w:rPr>
          <w:rFonts w:cs="Times New Roman"/>
        </w:rPr>
        <w:t>Commerce Spectrum Management Advisory Committee</w:t>
      </w:r>
      <w:r w:rsidR="009C59EB">
        <w:rPr>
          <w:rFonts w:cs="Times New Roman"/>
        </w:rPr>
        <w:t xml:space="preserve"> (CSMAC) </w:t>
      </w:r>
      <w:r w:rsidR="00C432AB">
        <w:rPr>
          <w:rFonts w:cs="Times New Roman"/>
        </w:rPr>
        <w:t xml:space="preserve">working groups </w:t>
      </w:r>
      <w:r w:rsidR="009C59EB">
        <w:rPr>
          <w:rFonts w:cs="Times New Roman"/>
        </w:rPr>
        <w:t>with “addressing sharing issues” related to the spectrum at hand, not clearing.</w:t>
      </w:r>
      <w:r w:rsidR="009C59EB" w:rsidRPr="00E90DC8">
        <w:rPr>
          <w:rStyle w:val="FootnoteReference"/>
          <w:rFonts w:cs="Times New Roman"/>
        </w:rPr>
        <w:footnoteReference w:id="11"/>
      </w:r>
      <w:r w:rsidR="00157A77">
        <w:rPr>
          <w:rFonts w:cs="Times New Roman"/>
        </w:rPr>
        <w:t xml:space="preserve"> </w:t>
      </w:r>
      <w:r>
        <w:rPr>
          <w:rFonts w:cs="Times New Roman"/>
        </w:rPr>
        <w:t xml:space="preserve"> </w:t>
      </w:r>
      <w:r w:rsidR="00C432AB">
        <w:rPr>
          <w:rFonts w:cs="Times New Roman"/>
        </w:rPr>
        <w:t xml:space="preserve">It also </w:t>
      </w:r>
      <w:r>
        <w:rPr>
          <w:rFonts w:cs="Times New Roman"/>
        </w:rPr>
        <w:t xml:space="preserve">directed </w:t>
      </w:r>
      <w:r w:rsidR="00C432AB">
        <w:rPr>
          <w:rFonts w:cs="Times New Roman"/>
        </w:rPr>
        <w:t>those groups</w:t>
      </w:r>
      <w:r w:rsidR="00E21802">
        <w:rPr>
          <w:rFonts w:cs="Times New Roman"/>
        </w:rPr>
        <w:t xml:space="preserve"> to use NTIA’s </w:t>
      </w:r>
      <w:r w:rsidR="00505CFC">
        <w:rPr>
          <w:rFonts w:cs="Times New Roman"/>
        </w:rPr>
        <w:t>Fast Track Report “as the bases for beginning” their discussions,</w:t>
      </w:r>
      <w:r w:rsidR="00E21802">
        <w:rPr>
          <w:rStyle w:val="FootnoteReference"/>
          <w:rFonts w:cs="Times New Roman"/>
        </w:rPr>
        <w:footnoteReference w:id="12"/>
      </w:r>
      <w:r w:rsidR="00505CFC">
        <w:rPr>
          <w:rFonts w:cs="Times New Roman"/>
        </w:rPr>
        <w:t xml:space="preserve"> even though that Report </w:t>
      </w:r>
      <w:r w:rsidR="00A62C42">
        <w:rPr>
          <w:rFonts w:cs="Times New Roman"/>
        </w:rPr>
        <w:t xml:space="preserve">was prepared to </w:t>
      </w:r>
      <w:r w:rsidR="00FB404F">
        <w:rPr>
          <w:rFonts w:cs="Times New Roman"/>
        </w:rPr>
        <w:t>asses</w:t>
      </w:r>
      <w:r w:rsidR="00A62C42">
        <w:rPr>
          <w:rFonts w:cs="Times New Roman"/>
        </w:rPr>
        <w:t>s</w:t>
      </w:r>
      <w:r w:rsidR="00390889">
        <w:rPr>
          <w:rFonts w:cs="Times New Roman"/>
        </w:rPr>
        <w:t xml:space="preserve"> </w:t>
      </w:r>
      <w:r w:rsidR="00FB404F">
        <w:rPr>
          <w:rFonts w:cs="Times New Roman"/>
        </w:rPr>
        <w:t>the feasibility of sharing</w:t>
      </w:r>
      <w:r w:rsidR="003E3EAE">
        <w:rPr>
          <w:rFonts w:cs="Times New Roman"/>
        </w:rPr>
        <w:t>,</w:t>
      </w:r>
      <w:r w:rsidR="00390889">
        <w:rPr>
          <w:rFonts w:cs="Times New Roman"/>
        </w:rPr>
        <w:t xml:space="preserve"> </w:t>
      </w:r>
      <w:r>
        <w:rPr>
          <w:rFonts w:cs="Times New Roman"/>
        </w:rPr>
        <w:t>not clearing</w:t>
      </w:r>
      <w:r w:rsidR="00390889">
        <w:rPr>
          <w:rFonts w:cs="Times New Roman"/>
        </w:rPr>
        <w:t>.</w:t>
      </w:r>
      <w:r w:rsidR="00A62C42">
        <w:rPr>
          <w:rStyle w:val="FootnoteReference"/>
          <w:rFonts w:cs="Times New Roman"/>
        </w:rPr>
        <w:footnoteReference w:id="13"/>
      </w:r>
      <w:r w:rsidR="00DA3090">
        <w:rPr>
          <w:rFonts w:cs="Times New Roman"/>
        </w:rPr>
        <w:t xml:space="preserve">  </w:t>
      </w:r>
      <w:r w:rsidR="00C55CD9">
        <w:rPr>
          <w:rFonts w:cs="Times New Roman"/>
        </w:rPr>
        <w:t>And on the heels of this directive came</w:t>
      </w:r>
      <w:r w:rsidR="00FF5984">
        <w:rPr>
          <w:rFonts w:cs="Times New Roman"/>
        </w:rPr>
        <w:t xml:space="preserve"> the </w:t>
      </w:r>
      <w:r w:rsidR="009C59EB">
        <w:rPr>
          <w:rFonts w:cs="Times New Roman"/>
        </w:rPr>
        <w:t xml:space="preserve">PCAST Report, which largely dismissed </w:t>
      </w:r>
      <w:r w:rsidR="009C59EB" w:rsidRPr="00E90DC8">
        <w:rPr>
          <w:rFonts w:cs="Times New Roman"/>
        </w:rPr>
        <w:t xml:space="preserve">clearing </w:t>
      </w:r>
      <w:r w:rsidR="009C59EB">
        <w:rPr>
          <w:rFonts w:cs="Times New Roman"/>
        </w:rPr>
        <w:t>as an option</w:t>
      </w:r>
      <w:r w:rsidR="006F443B">
        <w:rPr>
          <w:rFonts w:cs="Times New Roman"/>
        </w:rPr>
        <w:t>, as I noted at the time</w:t>
      </w:r>
      <w:r w:rsidR="009C59EB" w:rsidRPr="00E90DC8">
        <w:rPr>
          <w:rFonts w:cs="Times New Roman"/>
        </w:rPr>
        <w:t>.</w:t>
      </w:r>
      <w:r w:rsidR="009C59EB">
        <w:rPr>
          <w:rStyle w:val="FootnoteReference"/>
          <w:rFonts w:cs="Times New Roman"/>
        </w:rPr>
        <w:footnoteReference w:id="14"/>
      </w:r>
      <w:r w:rsidR="009C59EB" w:rsidRPr="00E90DC8">
        <w:rPr>
          <w:rFonts w:cs="Times New Roman"/>
        </w:rPr>
        <w:t xml:space="preserve">  </w:t>
      </w:r>
      <w:r w:rsidR="00C55CD9">
        <w:rPr>
          <w:rFonts w:cs="Times New Roman"/>
        </w:rPr>
        <w:t>These decisions beg</w:t>
      </w:r>
      <w:r w:rsidR="00120D9F">
        <w:rPr>
          <w:rFonts w:cs="Times New Roman"/>
        </w:rPr>
        <w:t xml:space="preserve"> the question of whether </w:t>
      </w:r>
      <w:r w:rsidR="00B726E2">
        <w:rPr>
          <w:rFonts w:cs="Times New Roman"/>
        </w:rPr>
        <w:t>the law is effectively a dead letter</w:t>
      </w:r>
      <w:r w:rsidR="00120D9F">
        <w:rPr>
          <w:rFonts w:cs="Times New Roman"/>
        </w:rPr>
        <w:t>.</w:t>
      </w:r>
    </w:p>
    <w:p w14:paraId="3D51D3A0" w14:textId="67B80B1F" w:rsidR="009C59EB" w:rsidRDefault="00B726E2" w:rsidP="00A5044C">
      <w:pPr>
        <w:spacing w:after="240"/>
        <w:ind w:firstLine="720"/>
        <w:rPr>
          <w:rFonts w:cs="Times New Roman"/>
        </w:rPr>
      </w:pPr>
      <w:r>
        <w:rPr>
          <w:rFonts w:cs="Times New Roman"/>
        </w:rPr>
        <w:t xml:space="preserve">None of this is </w:t>
      </w:r>
      <w:r w:rsidR="006F443B">
        <w:rPr>
          <w:rFonts w:cs="Times New Roman"/>
        </w:rPr>
        <w:t xml:space="preserve">to say that clearing </w:t>
      </w:r>
      <w:r w:rsidR="0081722E">
        <w:rPr>
          <w:rFonts w:cs="Times New Roman"/>
        </w:rPr>
        <w:t xml:space="preserve">and relocating federal users </w:t>
      </w:r>
      <w:r w:rsidR="006F443B">
        <w:rPr>
          <w:rFonts w:cs="Times New Roman"/>
        </w:rPr>
        <w:t xml:space="preserve">is easy. </w:t>
      </w:r>
      <w:r w:rsidR="0081722E">
        <w:rPr>
          <w:rFonts w:cs="Times New Roman"/>
        </w:rPr>
        <w:t xml:space="preserve"> </w:t>
      </w:r>
      <w:r w:rsidR="006F443B">
        <w:t xml:space="preserve">Federal </w:t>
      </w:r>
      <w:r w:rsidR="0081722E">
        <w:t xml:space="preserve">agencies </w:t>
      </w:r>
      <w:r w:rsidR="006F443B">
        <w:t>are focused on achieving their missions</w:t>
      </w:r>
      <w:r>
        <w:t>.  A</w:t>
      </w:r>
      <w:r w:rsidR="006F443B">
        <w:t xml:space="preserve">nd </w:t>
      </w:r>
      <w:r w:rsidR="0081722E">
        <w:t xml:space="preserve">they </w:t>
      </w:r>
      <w:r w:rsidR="006F443B">
        <w:t xml:space="preserve">often lack incentives to relocate and clear spectrum for commercial use.  But </w:t>
      </w:r>
      <w:r w:rsidR="002D1CE3">
        <w:t>whatever the</w:t>
      </w:r>
      <w:r w:rsidR="006F443B">
        <w:t xml:space="preserve"> challenge</w:t>
      </w:r>
      <w:r>
        <w:t>s</w:t>
      </w:r>
      <w:r w:rsidR="006F443B">
        <w:t xml:space="preserve">, the </w:t>
      </w:r>
      <w:r w:rsidR="002D1CE3">
        <w:t>statute favors clearing, not sharing</w:t>
      </w:r>
      <w:r w:rsidR="006F443B">
        <w:t>.</w:t>
      </w:r>
    </w:p>
    <w:p w14:paraId="07308070" w14:textId="6059B9EB" w:rsidR="00120D9F" w:rsidRDefault="0042352A" w:rsidP="00A5044C">
      <w:pPr>
        <w:spacing w:after="240"/>
        <w:ind w:firstLine="720"/>
        <w:rPr>
          <w:rFonts w:cs="Times New Roman"/>
        </w:rPr>
      </w:pPr>
      <w:r>
        <w:rPr>
          <w:rFonts w:cs="Times New Roman"/>
        </w:rPr>
        <w:t xml:space="preserve">The fact that NTIA has </w:t>
      </w:r>
      <w:r w:rsidR="002D1CE3">
        <w:rPr>
          <w:rFonts w:cs="Times New Roman"/>
        </w:rPr>
        <w:t>yet to</w:t>
      </w:r>
      <w:r w:rsidR="00D1042D">
        <w:rPr>
          <w:rFonts w:cs="Times New Roman"/>
        </w:rPr>
        <w:t xml:space="preserve"> publicly</w:t>
      </w:r>
      <w:r>
        <w:rPr>
          <w:rFonts w:cs="Times New Roman"/>
        </w:rPr>
        <w:t xml:space="preserve"> determine that clearing these bands is not feasible </w:t>
      </w:r>
      <w:r w:rsidR="00120D9F">
        <w:rPr>
          <w:rFonts w:cs="Times New Roman"/>
        </w:rPr>
        <w:t xml:space="preserve">puts us in a tight spot.  </w:t>
      </w:r>
      <w:r w:rsidR="001D36E0">
        <w:rPr>
          <w:rFonts w:cs="Times New Roman"/>
        </w:rPr>
        <w:t xml:space="preserve">We have a </w:t>
      </w:r>
      <w:r w:rsidR="00120D9F">
        <w:rPr>
          <w:rFonts w:cs="Times New Roman"/>
        </w:rPr>
        <w:t xml:space="preserve">statutory deadline to auction and license the AWS-3 band, </w:t>
      </w:r>
      <w:r w:rsidR="001D36E0">
        <w:rPr>
          <w:rFonts w:cs="Times New Roman"/>
        </w:rPr>
        <w:t xml:space="preserve">so </w:t>
      </w:r>
      <w:r w:rsidR="00120D9F">
        <w:rPr>
          <w:rFonts w:cs="Times New Roman"/>
        </w:rPr>
        <w:t xml:space="preserve">we need to move forward with service rules so that wireless operators can begin planning their bids.  </w:t>
      </w:r>
      <w:r w:rsidR="002D1CE3">
        <w:rPr>
          <w:rFonts w:cs="Times New Roman"/>
        </w:rPr>
        <w:t>But</w:t>
      </w:r>
      <w:r w:rsidR="00D938B5">
        <w:rPr>
          <w:rFonts w:cs="Times New Roman"/>
        </w:rPr>
        <w:t xml:space="preserve"> </w:t>
      </w:r>
      <w:r w:rsidR="008E5A78">
        <w:rPr>
          <w:rFonts w:cs="Times New Roman"/>
        </w:rPr>
        <w:t xml:space="preserve">coming up with service rules requires a fair degree of clarity on the status of federal holdings.  Getting </w:t>
      </w:r>
      <w:r w:rsidR="00E841C0">
        <w:rPr>
          <w:rFonts w:cs="Times New Roman"/>
        </w:rPr>
        <w:t xml:space="preserve">that </w:t>
      </w:r>
      <w:r w:rsidR="008E5A78">
        <w:rPr>
          <w:rFonts w:cs="Times New Roman"/>
        </w:rPr>
        <w:t>clarity</w:t>
      </w:r>
      <w:r w:rsidR="00246585">
        <w:rPr>
          <w:rFonts w:cs="Times New Roman"/>
        </w:rPr>
        <w:t>, in turn,</w:t>
      </w:r>
      <w:r w:rsidR="008E5A78">
        <w:rPr>
          <w:rFonts w:cs="Times New Roman"/>
        </w:rPr>
        <w:t xml:space="preserve"> </w:t>
      </w:r>
      <w:r w:rsidR="00E841C0">
        <w:rPr>
          <w:rFonts w:cs="Times New Roman"/>
        </w:rPr>
        <w:t xml:space="preserve">requires extensive communications with federal users, </w:t>
      </w:r>
      <w:r w:rsidR="00D938B5">
        <w:rPr>
          <w:rFonts w:cs="Times New Roman"/>
        </w:rPr>
        <w:t>with NTIA as the go-between</w:t>
      </w:r>
      <w:r w:rsidR="00E841C0">
        <w:rPr>
          <w:rFonts w:cs="Times New Roman"/>
        </w:rPr>
        <w:t xml:space="preserve">.  </w:t>
      </w:r>
      <w:r w:rsidR="008E5A78">
        <w:rPr>
          <w:rFonts w:cs="Times New Roman"/>
        </w:rPr>
        <w:t xml:space="preserve">So we end up in </w:t>
      </w:r>
      <w:r w:rsidR="00D938B5">
        <w:rPr>
          <w:rFonts w:cs="Times New Roman"/>
        </w:rPr>
        <w:t>a game of telephone</w:t>
      </w:r>
      <w:r w:rsidR="00E841C0">
        <w:rPr>
          <w:rFonts w:cs="Times New Roman"/>
        </w:rPr>
        <w:t>,</w:t>
      </w:r>
      <w:r w:rsidR="00D938B5">
        <w:rPr>
          <w:rFonts w:cs="Times New Roman"/>
        </w:rPr>
        <w:t xml:space="preserve"> </w:t>
      </w:r>
      <w:r w:rsidR="00AE6F6F">
        <w:rPr>
          <w:rFonts w:cs="Times New Roman"/>
        </w:rPr>
        <w:t xml:space="preserve">made worse because </w:t>
      </w:r>
      <w:r w:rsidR="008E5A78">
        <w:rPr>
          <w:rFonts w:cs="Times New Roman"/>
        </w:rPr>
        <w:t xml:space="preserve">we typically have to </w:t>
      </w:r>
      <w:r w:rsidR="00D938B5">
        <w:rPr>
          <w:rFonts w:cs="Times New Roman"/>
        </w:rPr>
        <w:t>accept the government’s say-so</w:t>
      </w:r>
      <w:r w:rsidR="00246585">
        <w:rPr>
          <w:rFonts w:cs="Times New Roman"/>
        </w:rPr>
        <w:t xml:space="preserve"> on the details of federal use</w:t>
      </w:r>
      <w:r w:rsidR="00D938B5">
        <w:rPr>
          <w:rFonts w:cs="Times New Roman"/>
        </w:rPr>
        <w:t>.</w:t>
      </w:r>
      <w:r w:rsidR="00FF5984">
        <w:rPr>
          <w:rStyle w:val="FootnoteReference"/>
          <w:rFonts w:cs="Times New Roman"/>
        </w:rPr>
        <w:footnoteReference w:id="15"/>
      </w:r>
      <w:r w:rsidR="00D938B5" w:rsidRPr="00D938B5">
        <w:rPr>
          <w:rFonts w:cs="Times New Roman"/>
        </w:rPr>
        <w:t xml:space="preserve"> </w:t>
      </w:r>
      <w:r w:rsidR="00D938B5">
        <w:rPr>
          <w:rFonts w:cs="Times New Roman"/>
        </w:rPr>
        <w:t xml:space="preserve"> </w:t>
      </w:r>
      <w:r w:rsidR="00C55CD9">
        <w:rPr>
          <w:rFonts w:cs="Times New Roman"/>
        </w:rPr>
        <w:t>I hope we may find a better way, but for now</w:t>
      </w:r>
      <w:r w:rsidR="00D938B5">
        <w:rPr>
          <w:rFonts w:cs="Times New Roman"/>
        </w:rPr>
        <w:t xml:space="preserve"> we must muddle through.</w:t>
      </w:r>
    </w:p>
    <w:p w14:paraId="6ABBFDF6" w14:textId="63AF2FBB" w:rsidR="00894E0D" w:rsidRPr="00151571" w:rsidRDefault="00894E0D" w:rsidP="00A5044C">
      <w:pPr>
        <w:spacing w:after="240"/>
        <w:ind w:firstLine="720"/>
        <w:rPr>
          <w:rFonts w:cs="Times New Roman"/>
          <w:b/>
        </w:rPr>
      </w:pPr>
      <w:r>
        <w:rPr>
          <w:rFonts w:cs="Times New Roman"/>
        </w:rPr>
        <w:t>I thank my colleagues</w:t>
      </w:r>
      <w:r w:rsidR="00DF6B4B">
        <w:rPr>
          <w:rFonts w:cs="Times New Roman"/>
        </w:rPr>
        <w:t xml:space="preserve"> on both sides of the </w:t>
      </w:r>
      <w:r w:rsidR="004F1585">
        <w:rPr>
          <w:rFonts w:cs="Times New Roman"/>
        </w:rPr>
        <w:t xml:space="preserve">aisle for accommodating </w:t>
      </w:r>
      <w:r w:rsidR="00C55CD9">
        <w:rPr>
          <w:rFonts w:cs="Times New Roman"/>
        </w:rPr>
        <w:t xml:space="preserve">some of </w:t>
      </w:r>
      <w:r w:rsidR="004F1585">
        <w:rPr>
          <w:rFonts w:cs="Times New Roman"/>
        </w:rPr>
        <w:t>my suggestions</w:t>
      </w:r>
      <w:r w:rsidR="001823A6">
        <w:rPr>
          <w:rFonts w:cs="Times New Roman"/>
        </w:rPr>
        <w:t xml:space="preserve">, such as </w:t>
      </w:r>
      <w:r w:rsidR="001823A6" w:rsidRPr="00C145CD">
        <w:rPr>
          <w:rFonts w:cs="Times New Roman"/>
        </w:rPr>
        <w:t>including</w:t>
      </w:r>
      <w:r w:rsidR="001823A6">
        <w:rPr>
          <w:rFonts w:cs="Times New Roman"/>
        </w:rPr>
        <w:t xml:space="preserve"> in this item </w:t>
      </w:r>
      <w:r w:rsidR="001823A6" w:rsidRPr="00C145CD">
        <w:rPr>
          <w:rFonts w:cs="Times New Roman"/>
        </w:rPr>
        <w:t>a mechanism that will allow us to monitor the progress being made by those federal incumbents that are relocating</w:t>
      </w:r>
      <w:r w:rsidR="001823A6" w:rsidRPr="001823A6">
        <w:rPr>
          <w:rFonts w:cs="Times New Roman"/>
        </w:rPr>
        <w:t xml:space="preserve">.  </w:t>
      </w:r>
      <w:r w:rsidR="00DF6B4B">
        <w:rPr>
          <w:rFonts w:cs="Times New Roman"/>
        </w:rPr>
        <w:t xml:space="preserve">As we move closer to auctioning this spectrum, </w:t>
      </w:r>
      <w:r w:rsidRPr="00E90DC8">
        <w:rPr>
          <w:rFonts w:cs="Times New Roman"/>
        </w:rPr>
        <w:t xml:space="preserve">I look forward to working with </w:t>
      </w:r>
      <w:r w:rsidR="00534D26">
        <w:rPr>
          <w:rFonts w:cs="Times New Roman"/>
        </w:rPr>
        <w:t xml:space="preserve">my colleagues </w:t>
      </w:r>
      <w:r w:rsidRPr="00E90DC8">
        <w:rPr>
          <w:rFonts w:cs="Times New Roman"/>
        </w:rPr>
        <w:t>to ensure that federal incumbents provide thorough</w:t>
      </w:r>
      <w:r w:rsidR="00F229E0">
        <w:rPr>
          <w:rFonts w:cs="Times New Roman"/>
        </w:rPr>
        <w:t>,</w:t>
      </w:r>
      <w:r w:rsidRPr="00E90DC8">
        <w:rPr>
          <w:rFonts w:cs="Times New Roman"/>
        </w:rPr>
        <w:t xml:space="preserve"> substantive</w:t>
      </w:r>
      <w:r w:rsidR="00AE6F6F">
        <w:rPr>
          <w:rFonts w:cs="Times New Roman"/>
        </w:rPr>
        <w:t>,</w:t>
      </w:r>
      <w:r w:rsidR="00F229E0">
        <w:rPr>
          <w:rFonts w:cs="Times New Roman"/>
        </w:rPr>
        <w:t xml:space="preserve"> and substantiated</w:t>
      </w:r>
      <w:r w:rsidRPr="00E90DC8">
        <w:rPr>
          <w:rFonts w:cs="Times New Roman"/>
        </w:rPr>
        <w:t xml:space="preserve"> transition plans.  Potential licensees must have adequate information about the nature and extent of incumbent operations in order to value the spectrum and formulate bids.</w:t>
      </w:r>
      <w:r w:rsidR="00C145CD">
        <w:rPr>
          <w:rFonts w:cs="Times New Roman"/>
        </w:rPr>
        <w:t xml:space="preserve">  </w:t>
      </w:r>
    </w:p>
    <w:p w14:paraId="5DDC1DED" w14:textId="15EF1239" w:rsidR="00AA420B" w:rsidRDefault="00524EEE" w:rsidP="00A5044C">
      <w:pPr>
        <w:spacing w:after="240"/>
        <w:ind w:firstLine="720"/>
        <w:rPr>
          <w:rFonts w:cs="Times New Roman"/>
        </w:rPr>
      </w:pPr>
      <w:r>
        <w:rPr>
          <w:rFonts w:cs="Times New Roman"/>
        </w:rPr>
        <w:t>Finally</w:t>
      </w:r>
      <w:r w:rsidR="00894E0D">
        <w:rPr>
          <w:rFonts w:cs="Times New Roman"/>
        </w:rPr>
        <w:t xml:space="preserve">, I cannot approve of the </w:t>
      </w:r>
      <w:r w:rsidR="00894E0D">
        <w:rPr>
          <w:rFonts w:cs="Times New Roman"/>
          <w:i/>
        </w:rPr>
        <w:t>Order</w:t>
      </w:r>
      <w:r w:rsidR="00894E0D">
        <w:rPr>
          <w:rFonts w:cs="Times New Roman"/>
        </w:rPr>
        <w:t xml:space="preserve">’s adoption of an interoperability mandate on AWS-3 licensees given that the </w:t>
      </w:r>
      <w:r w:rsidR="00894E0D">
        <w:rPr>
          <w:rFonts w:cs="Times New Roman"/>
          <w:i/>
        </w:rPr>
        <w:t>AWS-3 NPRM</w:t>
      </w:r>
      <w:r w:rsidR="00894E0D">
        <w:rPr>
          <w:rFonts w:cs="Times New Roman"/>
        </w:rPr>
        <w:t xml:space="preserve"> never proposed such a rule.</w:t>
      </w:r>
      <w:r w:rsidR="00894E0D">
        <w:rPr>
          <w:rStyle w:val="FootnoteReference"/>
          <w:rFonts w:cs="Times New Roman"/>
        </w:rPr>
        <w:footnoteReference w:id="16"/>
      </w:r>
      <w:r w:rsidR="00894E0D">
        <w:rPr>
          <w:rFonts w:cs="Times New Roman"/>
        </w:rPr>
        <w:t xml:space="preserve">  Nevertheless, because that mandate only spans the 1710–1780 MHz and 2110–2180 MHz bands</w:t>
      </w:r>
      <w:r>
        <w:rPr>
          <w:rFonts w:cs="Times New Roman"/>
        </w:rPr>
        <w:t>,</w:t>
      </w:r>
      <w:r w:rsidR="00894E0D">
        <w:rPr>
          <w:rFonts w:cs="Times New Roman"/>
        </w:rPr>
        <w:t xml:space="preserve"> and because international standards to cover those bands are already being developed, I hope that error will be harmless.</w:t>
      </w:r>
      <w:r w:rsidR="00AE6F6F">
        <w:rPr>
          <w:rStyle w:val="FootnoteReference"/>
          <w:rFonts w:cs="Times New Roman"/>
        </w:rPr>
        <w:footnoteReference w:id="17"/>
      </w:r>
    </w:p>
    <w:p w14:paraId="70196DBF" w14:textId="1BE7D500" w:rsidR="001332FC" w:rsidRPr="00894E0D" w:rsidRDefault="00AA420B" w:rsidP="00A5044C">
      <w:pPr>
        <w:spacing w:after="240"/>
        <w:ind w:firstLine="720"/>
        <w:rPr>
          <w:rFonts w:cs="Times New Roman"/>
        </w:rPr>
      </w:pPr>
      <w:r>
        <w:rPr>
          <w:rFonts w:cs="Times New Roman"/>
        </w:rPr>
        <w:t xml:space="preserve">Many thanks to the team that </w:t>
      </w:r>
      <w:r w:rsidR="00B46AEB">
        <w:rPr>
          <w:rFonts w:cs="Times New Roman"/>
        </w:rPr>
        <w:t>negotiated for countless hours with</w:t>
      </w:r>
      <w:r w:rsidR="0046187B">
        <w:rPr>
          <w:rFonts w:cs="Times New Roman"/>
        </w:rPr>
        <w:t xml:space="preserve"> their</w:t>
      </w:r>
      <w:r w:rsidR="00B46AEB">
        <w:rPr>
          <w:rFonts w:cs="Times New Roman"/>
        </w:rPr>
        <w:t xml:space="preserve"> executive branch counterparts, drafted this item, and worked with my office</w:t>
      </w:r>
      <w:r w:rsidR="00AE6F6F">
        <w:rPr>
          <w:rFonts w:cs="Times New Roman"/>
        </w:rPr>
        <w:t xml:space="preserve"> </w:t>
      </w:r>
      <w:r w:rsidR="00B46AEB">
        <w:rPr>
          <w:rFonts w:cs="Times New Roman"/>
        </w:rPr>
        <w:t>over the past several weeks</w:t>
      </w:r>
      <w:r w:rsidR="00C145CD">
        <w:rPr>
          <w:rFonts w:cs="Times New Roman"/>
        </w:rPr>
        <w:t xml:space="preserve">, including </w:t>
      </w:r>
      <w:r w:rsidR="001332FC" w:rsidRPr="001332FC">
        <w:rPr>
          <w:rFonts w:cs="Times New Roman"/>
        </w:rPr>
        <w:t>Richard Arsenault</w:t>
      </w:r>
      <w:r w:rsidR="001332FC">
        <w:rPr>
          <w:rFonts w:cs="Times New Roman"/>
        </w:rPr>
        <w:t xml:space="preserve">, </w:t>
      </w:r>
      <w:r w:rsidR="00A44E08">
        <w:rPr>
          <w:rFonts w:cs="Times New Roman"/>
        </w:rPr>
        <w:t xml:space="preserve">Valerie Barrish, </w:t>
      </w:r>
      <w:r w:rsidR="00C55CD9" w:rsidRPr="00C145CD">
        <w:rPr>
          <w:rFonts w:cs="Times New Roman"/>
        </w:rPr>
        <w:t>Peter Daronco</w:t>
      </w:r>
      <w:r w:rsidR="00C55CD9">
        <w:rPr>
          <w:rFonts w:cs="Times New Roman"/>
        </w:rPr>
        <w:t xml:space="preserve">, </w:t>
      </w:r>
      <w:r w:rsidR="001332FC" w:rsidRPr="001332FC">
        <w:rPr>
          <w:rFonts w:cs="Times New Roman"/>
        </w:rPr>
        <w:t>Connie Diaz</w:t>
      </w:r>
      <w:r w:rsidR="001332FC">
        <w:rPr>
          <w:rFonts w:cs="Times New Roman"/>
        </w:rPr>
        <w:t xml:space="preserve">, </w:t>
      </w:r>
      <w:r w:rsidR="001332FC" w:rsidRPr="001332FC">
        <w:rPr>
          <w:rFonts w:cs="Times New Roman"/>
        </w:rPr>
        <w:t>Nese Gu</w:t>
      </w:r>
      <w:r w:rsidR="00534D26">
        <w:rPr>
          <w:rFonts w:cs="Times New Roman"/>
        </w:rPr>
        <w:t>ende</w:t>
      </w:r>
      <w:r w:rsidR="001332FC" w:rsidRPr="001332FC">
        <w:rPr>
          <w:rFonts w:cs="Times New Roman"/>
        </w:rPr>
        <w:t>lsberger</w:t>
      </w:r>
      <w:r w:rsidR="001332FC">
        <w:rPr>
          <w:rFonts w:cs="Times New Roman"/>
        </w:rPr>
        <w:t xml:space="preserve">, </w:t>
      </w:r>
      <w:r w:rsidR="00C55CD9">
        <w:rPr>
          <w:rFonts w:cs="Times New Roman"/>
        </w:rPr>
        <w:t xml:space="preserve">David Horowitz, </w:t>
      </w:r>
      <w:r w:rsidR="00A44E08">
        <w:rPr>
          <w:rFonts w:cs="Times New Roman"/>
        </w:rPr>
        <w:t xml:space="preserve">Bill Hueber, </w:t>
      </w:r>
      <w:r w:rsidR="00C55CD9">
        <w:rPr>
          <w:rFonts w:cs="Times New Roman"/>
        </w:rPr>
        <w:t>Juli</w:t>
      </w:r>
      <w:r w:rsidR="00EE4ED7">
        <w:rPr>
          <w:rFonts w:cs="Times New Roman"/>
        </w:rPr>
        <w:t xml:space="preserve">us </w:t>
      </w:r>
      <w:r w:rsidR="00C55CD9">
        <w:rPr>
          <w:rFonts w:cs="Times New Roman"/>
        </w:rPr>
        <w:t xml:space="preserve">Knapp, </w:t>
      </w:r>
      <w:r w:rsidR="00C55CD9" w:rsidRPr="00C145CD">
        <w:rPr>
          <w:rFonts w:cs="Times New Roman"/>
        </w:rPr>
        <w:t>John Leibovitz</w:t>
      </w:r>
      <w:r w:rsidR="00C55CD9">
        <w:rPr>
          <w:rFonts w:cs="Times New Roman"/>
        </w:rPr>
        <w:t xml:space="preserve">, </w:t>
      </w:r>
      <w:r w:rsidR="001332FC" w:rsidRPr="001332FC">
        <w:rPr>
          <w:rFonts w:cs="Times New Roman"/>
        </w:rPr>
        <w:t>Paul Malmud</w:t>
      </w:r>
      <w:r w:rsidR="001332FC">
        <w:rPr>
          <w:rFonts w:cs="Times New Roman"/>
        </w:rPr>
        <w:t xml:space="preserve">, </w:t>
      </w:r>
      <w:r w:rsidR="00C55CD9" w:rsidRPr="00C145CD">
        <w:rPr>
          <w:rFonts w:cs="Times New Roman"/>
        </w:rPr>
        <w:t>Gary Michaels</w:t>
      </w:r>
      <w:r w:rsidR="00C55CD9">
        <w:rPr>
          <w:rFonts w:cs="Times New Roman"/>
        </w:rPr>
        <w:t xml:space="preserve">, </w:t>
      </w:r>
      <w:r w:rsidR="00A44E08">
        <w:rPr>
          <w:rFonts w:cs="Times New Roman"/>
        </w:rPr>
        <w:t xml:space="preserve">Tom Mooring, </w:t>
      </w:r>
      <w:r w:rsidR="00C55CD9">
        <w:rPr>
          <w:rFonts w:cs="Times New Roman"/>
        </w:rPr>
        <w:t>Brian Regan,</w:t>
      </w:r>
      <w:r w:rsidR="00C55CD9" w:rsidRPr="00C145CD">
        <w:rPr>
          <w:rFonts w:cs="Times New Roman"/>
        </w:rPr>
        <w:t xml:space="preserve"> </w:t>
      </w:r>
      <w:r w:rsidR="00C55CD9">
        <w:rPr>
          <w:rFonts w:cs="Times New Roman"/>
        </w:rPr>
        <w:t>Ron Repasi,</w:t>
      </w:r>
      <w:r w:rsidR="00C55CD9" w:rsidRPr="00C145CD">
        <w:rPr>
          <w:rFonts w:cs="Times New Roman"/>
        </w:rPr>
        <w:t xml:space="preserve"> </w:t>
      </w:r>
      <w:r w:rsidR="00C55CD9">
        <w:rPr>
          <w:rFonts w:cs="Times New Roman"/>
        </w:rPr>
        <w:t xml:space="preserve">Bill Richardson, </w:t>
      </w:r>
      <w:r w:rsidR="00C55CD9" w:rsidRPr="00C145CD">
        <w:rPr>
          <w:rFonts w:cs="Times New Roman"/>
        </w:rPr>
        <w:t>Genevieve Ross</w:t>
      </w:r>
      <w:r w:rsidR="00C55CD9">
        <w:rPr>
          <w:rFonts w:cs="Times New Roman"/>
        </w:rPr>
        <w:t xml:space="preserve">, </w:t>
      </w:r>
      <w:r w:rsidR="00C55CD9" w:rsidRPr="00C145CD">
        <w:rPr>
          <w:rFonts w:cs="Times New Roman"/>
        </w:rPr>
        <w:t>Blaise Scinto</w:t>
      </w:r>
      <w:r w:rsidR="00C55CD9">
        <w:rPr>
          <w:rFonts w:cs="Times New Roman"/>
        </w:rPr>
        <w:t xml:space="preserve">, </w:t>
      </w:r>
      <w:r w:rsidR="00C145CD">
        <w:rPr>
          <w:rFonts w:cs="Times New Roman"/>
        </w:rPr>
        <w:t xml:space="preserve">Roger Sherman, </w:t>
      </w:r>
      <w:r w:rsidR="00C55CD9" w:rsidRPr="00C145CD">
        <w:rPr>
          <w:rFonts w:cs="Times New Roman"/>
        </w:rPr>
        <w:t>John Spencer</w:t>
      </w:r>
      <w:r w:rsidR="00C55CD9">
        <w:rPr>
          <w:rFonts w:cs="Times New Roman"/>
        </w:rPr>
        <w:t xml:space="preserve">, </w:t>
      </w:r>
      <w:r w:rsidR="00C55CD9" w:rsidRPr="00C145CD">
        <w:rPr>
          <w:rFonts w:cs="Times New Roman"/>
        </w:rPr>
        <w:t>Joel Taubenblatt</w:t>
      </w:r>
      <w:r w:rsidR="00C55CD9">
        <w:rPr>
          <w:rFonts w:cs="Times New Roman"/>
        </w:rPr>
        <w:t xml:space="preserve">, </w:t>
      </w:r>
      <w:r w:rsidR="00C55CD9" w:rsidRPr="00C145CD">
        <w:rPr>
          <w:rFonts w:cs="Times New Roman"/>
        </w:rPr>
        <w:t>Jeffrey Tignor</w:t>
      </w:r>
      <w:r w:rsidR="00C55CD9">
        <w:rPr>
          <w:rFonts w:cs="Times New Roman"/>
        </w:rPr>
        <w:t xml:space="preserve">, </w:t>
      </w:r>
      <w:r w:rsidR="001332FC" w:rsidRPr="001332FC">
        <w:rPr>
          <w:rFonts w:cs="Times New Roman"/>
        </w:rPr>
        <w:t>Tom Tran</w:t>
      </w:r>
      <w:r w:rsidR="001332FC">
        <w:rPr>
          <w:rFonts w:cs="Times New Roman"/>
        </w:rPr>
        <w:t xml:space="preserve">, </w:t>
      </w:r>
      <w:r w:rsidR="00C55CD9" w:rsidRPr="00C145CD">
        <w:rPr>
          <w:rFonts w:cs="Times New Roman"/>
        </w:rPr>
        <w:t>Brian Wondrack</w:t>
      </w:r>
      <w:r w:rsidR="00C55CD9">
        <w:rPr>
          <w:rFonts w:cs="Times New Roman"/>
        </w:rPr>
        <w:t xml:space="preserve">, </w:t>
      </w:r>
      <w:r w:rsidR="00C145CD" w:rsidRPr="00C145CD">
        <w:rPr>
          <w:rFonts w:cs="Times New Roman"/>
        </w:rPr>
        <w:t>Janet Young</w:t>
      </w:r>
      <w:r w:rsidR="00C145CD">
        <w:rPr>
          <w:rFonts w:cs="Times New Roman"/>
        </w:rPr>
        <w:t xml:space="preserve">, </w:t>
      </w:r>
      <w:r w:rsidR="00C145CD" w:rsidRPr="00C145CD">
        <w:rPr>
          <w:rFonts w:cs="Times New Roman"/>
        </w:rPr>
        <w:t>Nancy Zaczek</w:t>
      </w:r>
      <w:r w:rsidR="00B4702C">
        <w:rPr>
          <w:rFonts w:cs="Times New Roman"/>
        </w:rPr>
        <w:t xml:space="preserve">, </w:t>
      </w:r>
      <w:r w:rsidR="00C55CD9">
        <w:rPr>
          <w:rFonts w:cs="Times New Roman"/>
        </w:rPr>
        <w:t xml:space="preserve">and </w:t>
      </w:r>
      <w:r w:rsidR="00C55CD9" w:rsidRPr="00C145CD">
        <w:rPr>
          <w:rFonts w:cs="Times New Roman"/>
        </w:rPr>
        <w:t>Stephen Zak</w:t>
      </w:r>
      <w:r w:rsidR="00B4702C">
        <w:rPr>
          <w:rFonts w:cs="Times New Roman"/>
        </w:rPr>
        <w:t xml:space="preserve">.  </w:t>
      </w:r>
      <w:r w:rsidR="00B46AEB">
        <w:rPr>
          <w:rFonts w:cs="Times New Roman"/>
        </w:rPr>
        <w:t>I hope your tireless efforts are rewarded with a successfu</w:t>
      </w:r>
      <w:r w:rsidR="001332FC">
        <w:rPr>
          <w:rFonts w:cs="Times New Roman"/>
        </w:rPr>
        <w:t>l AWS-3 auction later this year</w:t>
      </w:r>
      <w:r w:rsidR="00EE4ED7">
        <w:rPr>
          <w:rFonts w:cs="Times New Roman"/>
        </w:rPr>
        <w:t>.</w:t>
      </w:r>
    </w:p>
    <w:sectPr w:rsidR="001332FC" w:rsidRPr="00894E0D" w:rsidSect="008F5B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972BE" w15:done="0"/>
  <w15:commentEx w15:paraId="5FEE2241" w15:done="0"/>
  <w15:commentEx w15:paraId="63FDBFAD" w15:done="0"/>
  <w15:commentEx w15:paraId="39E6B2A0" w15:done="0"/>
  <w15:commentEx w15:paraId="2D1BD7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44FE0" w14:textId="77777777" w:rsidR="00726280" w:rsidRDefault="00726280" w:rsidP="00E24E9C">
      <w:r>
        <w:separator/>
      </w:r>
    </w:p>
  </w:endnote>
  <w:endnote w:type="continuationSeparator" w:id="0">
    <w:p w14:paraId="4B3FEE77" w14:textId="77777777" w:rsidR="00726280" w:rsidRDefault="00726280" w:rsidP="00E2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3FFD" w14:textId="77777777" w:rsidR="009503C6" w:rsidRDefault="00950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7918"/>
      <w:docPartObj>
        <w:docPartGallery w:val="Page Numbers (Bottom of Page)"/>
        <w:docPartUnique/>
      </w:docPartObj>
    </w:sdtPr>
    <w:sdtEndPr>
      <w:rPr>
        <w:noProof/>
      </w:rPr>
    </w:sdtEndPr>
    <w:sdtContent>
      <w:p w14:paraId="104A6AC0" w14:textId="77777777" w:rsidR="003F1A7C" w:rsidRDefault="003F1A7C">
        <w:pPr>
          <w:pStyle w:val="Footer"/>
          <w:jc w:val="center"/>
        </w:pPr>
        <w:r>
          <w:fldChar w:fldCharType="begin"/>
        </w:r>
        <w:r>
          <w:instrText xml:space="preserve"> PAGE   \* MERGEFORMAT </w:instrText>
        </w:r>
        <w:r>
          <w:fldChar w:fldCharType="separate"/>
        </w:r>
        <w:r w:rsidR="00EB5F3B">
          <w:rPr>
            <w:noProof/>
          </w:rPr>
          <w:t>2</w:t>
        </w:r>
        <w:r>
          <w:rPr>
            <w:noProof/>
          </w:rPr>
          <w:fldChar w:fldCharType="end"/>
        </w:r>
      </w:p>
    </w:sdtContent>
  </w:sdt>
  <w:p w14:paraId="11EE14B4" w14:textId="77777777" w:rsidR="003F1A7C" w:rsidRDefault="003F1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E843" w14:textId="77777777" w:rsidR="009503C6" w:rsidRDefault="0095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A000" w14:textId="77777777" w:rsidR="00726280" w:rsidRDefault="00726280" w:rsidP="00E24E9C">
      <w:r>
        <w:separator/>
      </w:r>
    </w:p>
  </w:footnote>
  <w:footnote w:type="continuationSeparator" w:id="0">
    <w:p w14:paraId="2DC24088" w14:textId="77777777" w:rsidR="00726280" w:rsidRDefault="00726280" w:rsidP="00E24E9C">
      <w:r>
        <w:continuationSeparator/>
      </w:r>
    </w:p>
  </w:footnote>
  <w:footnote w:id="1">
    <w:p w14:paraId="4640F8C0" w14:textId="77777777" w:rsidR="003F1A7C" w:rsidRPr="00E90DC8" w:rsidRDefault="003F1A7C" w:rsidP="00D23E9D">
      <w:pPr>
        <w:pStyle w:val="FootnoteText"/>
        <w:rPr>
          <w:rFonts w:cs="Times New Roman"/>
        </w:rPr>
      </w:pPr>
      <w:r w:rsidRPr="00E90DC8">
        <w:rPr>
          <w:rStyle w:val="FootnoteReference"/>
          <w:rFonts w:cs="Times New Roman"/>
        </w:rPr>
        <w:footnoteRef/>
      </w:r>
      <w:r w:rsidRPr="00E90DC8">
        <w:rPr>
          <w:rFonts w:cs="Times New Roman"/>
        </w:rPr>
        <w:t xml:space="preserve"> Letter from House Energy and Commerce Committee Federal Spectrum Working Group to Lawrence Strickling, Assistant Secretary of Commerce for Communications at 1 (July 10, 2012), </w:t>
      </w:r>
      <w:r w:rsidRPr="00E90DC8">
        <w:rPr>
          <w:rFonts w:cs="Times New Roman"/>
          <w:i/>
        </w:rPr>
        <w:t>available at</w:t>
      </w:r>
      <w:r w:rsidRPr="00E90DC8">
        <w:rPr>
          <w:rFonts w:cs="Times New Roman"/>
        </w:rPr>
        <w:t xml:space="preserve"> http://go.usa.gov/gQ5d.</w:t>
      </w:r>
    </w:p>
  </w:footnote>
  <w:footnote w:id="2">
    <w:p w14:paraId="4593A861" w14:textId="77777777" w:rsidR="003F1A7C" w:rsidRPr="00E90DC8" w:rsidRDefault="003F1A7C" w:rsidP="008318D7">
      <w:pPr>
        <w:pStyle w:val="FootnoteText"/>
        <w:rPr>
          <w:rFonts w:cs="Times New Roman"/>
        </w:rPr>
      </w:pPr>
      <w:r w:rsidRPr="00E90DC8">
        <w:rPr>
          <w:rStyle w:val="FootnoteReference"/>
          <w:rFonts w:cs="Times New Roman"/>
        </w:rPr>
        <w:footnoteRef/>
      </w:r>
      <w:r w:rsidRPr="00E90DC8">
        <w:rPr>
          <w:rFonts w:cs="Times New Roman"/>
        </w:rPr>
        <w:t xml:space="preserve"> Middle Class Tax Relief and Job Creation Act of 2012, Pub. L. No. 112-96, 126 Stat. 156 § 6413(b) (2012) (Spectrum Act), </w:t>
      </w:r>
      <w:r w:rsidRPr="00E90DC8">
        <w:rPr>
          <w:rFonts w:cs="Times New Roman"/>
          <w:i/>
        </w:rPr>
        <w:t>codified at</w:t>
      </w:r>
      <w:r w:rsidRPr="00E90DC8">
        <w:rPr>
          <w:rFonts w:cs="Times New Roman"/>
        </w:rPr>
        <w:t xml:space="preserve"> 47 U.S.C. § 1457(b).</w:t>
      </w:r>
    </w:p>
  </w:footnote>
  <w:footnote w:id="3">
    <w:p w14:paraId="4CAF67C8" w14:textId="77777777" w:rsidR="003F1A7C" w:rsidRPr="00E90DC8" w:rsidRDefault="003F1A7C" w:rsidP="00424203">
      <w:pPr>
        <w:pStyle w:val="FootnoteText"/>
        <w:rPr>
          <w:rFonts w:cs="Times New Roman"/>
        </w:rPr>
      </w:pPr>
      <w:r w:rsidRPr="00E90DC8">
        <w:rPr>
          <w:rStyle w:val="FootnoteReference"/>
          <w:rFonts w:cs="Times New Roman"/>
        </w:rPr>
        <w:footnoteRef/>
      </w:r>
      <w:r w:rsidRPr="00E90DC8">
        <w:rPr>
          <w:rFonts w:cs="Times New Roman"/>
        </w:rPr>
        <w:t xml:space="preserve"> </w:t>
      </w:r>
      <w:r w:rsidRPr="00E90DC8">
        <w:rPr>
          <w:rFonts w:cs="Times New Roman"/>
          <w:i/>
        </w:rPr>
        <w:t>See, e.g.</w:t>
      </w:r>
      <w:r w:rsidRPr="00E90DC8">
        <w:rPr>
          <w:rFonts w:cs="Times New Roman"/>
        </w:rPr>
        <w:t xml:space="preserve">, </w:t>
      </w:r>
      <w:r w:rsidRPr="00E90DC8">
        <w:rPr>
          <w:rFonts w:cs="Times New Roman"/>
          <w:i/>
        </w:rPr>
        <w:t>Service Rules for Advanced Wireless Services in the 2000–2020 MHz and 2180–2200 MHz Bands</w:t>
      </w:r>
      <w:r w:rsidRPr="00E90DC8">
        <w:rPr>
          <w:rFonts w:cs="Times New Roman"/>
        </w:rPr>
        <w:t>, WT Docket Nos. 12-70, 04-356, ET Docket No. 10-142, Report and Order and Order of Proposed Modification, 27 FCC Rcd 16102, 16193, para. 241 (2012) (</w:t>
      </w:r>
      <w:r w:rsidRPr="00E90DC8">
        <w:rPr>
          <w:rFonts w:cs="Times New Roman"/>
          <w:i/>
        </w:rPr>
        <w:t>AWS-4 Order</w:t>
      </w:r>
      <w:r w:rsidRPr="00E90DC8">
        <w:rPr>
          <w:rFonts w:cs="Times New Roman"/>
        </w:rPr>
        <w:t>);</w:t>
      </w:r>
      <w:r w:rsidRPr="00E90DC8">
        <w:rPr>
          <w:rFonts w:cs="Times New Roman"/>
          <w:i/>
        </w:rPr>
        <w:t xml:space="preserve"> see also Service Rules for the 698–746, 747–762 and 777–792 MHz Bands</w:t>
      </w:r>
      <w:r w:rsidRPr="00E90DC8">
        <w:rPr>
          <w:rFonts w:cs="Times New Roman"/>
        </w:rPr>
        <w:t>, WT Docket No. 06-150, Second Report and Order, 22 FCC Rcd 15289, 15383-84, para. 256 (2007) (</w:t>
      </w:r>
      <w:r w:rsidRPr="00E90DC8">
        <w:rPr>
          <w:rFonts w:cs="Times New Roman"/>
          <w:i/>
        </w:rPr>
        <w:t>700 MHz Second Report and Order</w:t>
      </w:r>
      <w:r w:rsidRPr="00E90DC8">
        <w:rPr>
          <w:rFonts w:cs="Times New Roman"/>
        </w:rPr>
        <w:t xml:space="preserve">); </w:t>
      </w:r>
      <w:r w:rsidRPr="00E90DC8">
        <w:rPr>
          <w:rFonts w:cs="Times New Roman"/>
          <w:i/>
        </w:rPr>
        <w:t>Amendment of Parts 1, 21, 73, 74 and 101 of the Commission’s Rules to Facilitate the Provision of Fixed and Mobile Broadband Access, Educational and Other Advanced Services in the 2150–2162 and 2500–2690 MHz Bands</w:t>
      </w:r>
      <w:r w:rsidRPr="00E90DC8">
        <w:rPr>
          <w:rFonts w:cs="Times New Roman"/>
        </w:rPr>
        <w:t xml:space="preserve">, Report and Order and Further Notice of Proposed Rulemaking, 19 FCC Rcd 14165, 14227–32, paras. 165–76 (2004); </w:t>
      </w:r>
      <w:r w:rsidRPr="00E90DC8">
        <w:rPr>
          <w:rFonts w:cs="Times New Roman"/>
          <w:i/>
        </w:rPr>
        <w:t>Allocations and Service Rules for the 71–76 GHz, 81–86 GHz and 92–95 GHz Bands</w:t>
      </w:r>
      <w:r w:rsidRPr="00E90DC8">
        <w:rPr>
          <w:rFonts w:cs="Times New Roman"/>
        </w:rPr>
        <w:t>, Report and Order, 18 FCC Rcd 23318, 23346, para. 69 (2003) (</w:t>
      </w:r>
      <w:r w:rsidRPr="00E90DC8">
        <w:rPr>
          <w:rFonts w:cs="Times New Roman"/>
          <w:i/>
        </w:rPr>
        <w:t>70/80/90 GHz Order</w:t>
      </w:r>
      <w:r w:rsidRPr="00E90DC8">
        <w:rPr>
          <w:rFonts w:cs="Times New Roman"/>
        </w:rPr>
        <w:t>) (“[E]ligibility restriction [may] be imposed only when there is significant likelihood of substantial harm to competition in specific markets and when the restriction will be effective in eliminating that harm.”).</w:t>
      </w:r>
    </w:p>
  </w:footnote>
  <w:footnote w:id="4">
    <w:p w14:paraId="002D35A2" w14:textId="04EEEAAC" w:rsidR="003F1A7C" w:rsidRPr="00E90DC8" w:rsidRDefault="003F1A7C" w:rsidP="00424203">
      <w:pPr>
        <w:pStyle w:val="FootnoteText"/>
        <w:rPr>
          <w:rFonts w:cs="Times New Roman"/>
        </w:rPr>
      </w:pPr>
      <w:r w:rsidRPr="00E90DC8">
        <w:rPr>
          <w:rStyle w:val="FootnoteReference"/>
          <w:rFonts w:cs="Times New Roman"/>
        </w:rPr>
        <w:footnoteRef/>
      </w:r>
      <w:r w:rsidRPr="00E90DC8">
        <w:rPr>
          <w:rFonts w:cs="Times New Roman"/>
        </w:rPr>
        <w:t xml:space="preserve"> </w:t>
      </w:r>
      <w:r w:rsidRPr="00E90DC8">
        <w:rPr>
          <w:rFonts w:cs="Times New Roman"/>
          <w:i/>
        </w:rPr>
        <w:t>AWS-4 Order</w:t>
      </w:r>
      <w:r w:rsidRPr="00E90DC8">
        <w:rPr>
          <w:rFonts w:cs="Times New Roman"/>
        </w:rPr>
        <w:t xml:space="preserve">, 27 FCC Rcd </w:t>
      </w:r>
      <w:r w:rsidR="00144456">
        <w:rPr>
          <w:rFonts w:cs="Times New Roman"/>
        </w:rPr>
        <w:t xml:space="preserve">at </w:t>
      </w:r>
      <w:r w:rsidRPr="00E90DC8">
        <w:rPr>
          <w:rFonts w:cs="Times New Roman"/>
        </w:rPr>
        <w:t xml:space="preserve">16193, para. 241; </w:t>
      </w:r>
      <w:r w:rsidRPr="00E90DC8">
        <w:rPr>
          <w:rFonts w:cs="Times New Roman"/>
          <w:i/>
        </w:rPr>
        <w:t>see also</w:t>
      </w:r>
      <w:r w:rsidRPr="00E90DC8">
        <w:rPr>
          <w:rFonts w:cs="Times New Roman"/>
        </w:rPr>
        <w:t xml:space="preserve"> </w:t>
      </w:r>
      <w:r w:rsidRPr="00E90DC8">
        <w:rPr>
          <w:rFonts w:cs="Times New Roman"/>
          <w:i/>
        </w:rPr>
        <w:t>700 MHz Second Report and Order</w:t>
      </w:r>
      <w:r w:rsidRPr="00E90DC8">
        <w:rPr>
          <w:rFonts w:cs="Times New Roman"/>
        </w:rPr>
        <w:t xml:space="preserve">, 22 FCC Rcd at 15383–84, para. 256; </w:t>
      </w:r>
      <w:r w:rsidRPr="00E90DC8">
        <w:rPr>
          <w:rFonts w:cs="Times New Roman"/>
          <w:i/>
        </w:rPr>
        <w:t>70/80/90 GHz Order</w:t>
      </w:r>
      <w:r w:rsidRPr="00E90DC8">
        <w:rPr>
          <w:rFonts w:cs="Times New Roman"/>
        </w:rPr>
        <w:t>, 18 FCC Rcd at 23346, para. 70.</w:t>
      </w:r>
    </w:p>
  </w:footnote>
  <w:footnote w:id="5">
    <w:p w14:paraId="616F3063" w14:textId="77777777" w:rsidR="003F1A7C" w:rsidRPr="00E90DC8" w:rsidRDefault="003F1A7C" w:rsidP="00581E2D">
      <w:pPr>
        <w:pStyle w:val="FootnoteText"/>
        <w:rPr>
          <w:rFonts w:cs="Times New Roman"/>
        </w:rPr>
      </w:pPr>
      <w:r w:rsidRPr="00E90DC8">
        <w:rPr>
          <w:rStyle w:val="FootnoteReference"/>
          <w:rFonts w:cs="Times New Roman"/>
        </w:rPr>
        <w:footnoteRef/>
      </w:r>
      <w:r w:rsidRPr="00E90DC8">
        <w:rPr>
          <w:rFonts w:cs="Times New Roman"/>
        </w:rPr>
        <w:t xml:space="preserve"> </w:t>
      </w:r>
      <w:r w:rsidRPr="00E90DC8">
        <w:rPr>
          <w:rFonts w:cs="Times New Roman"/>
          <w:i/>
        </w:rPr>
        <w:t xml:space="preserve">See </w:t>
      </w:r>
      <w:r w:rsidRPr="00E90DC8">
        <w:rPr>
          <w:rFonts w:cs="Times New Roman"/>
        </w:rPr>
        <w:t xml:space="preserve">Letter from Hon. Brett Guthrie and Hon. Doris Matsui to Hon. Tom Wheeler, Chairman, FCC (Mar. 25, 2014), </w:t>
      </w:r>
      <w:r w:rsidRPr="00E90DC8">
        <w:rPr>
          <w:rFonts w:cs="Times New Roman"/>
          <w:i/>
        </w:rPr>
        <w:t>available at</w:t>
      </w:r>
      <w:r w:rsidRPr="00E90DC8">
        <w:rPr>
          <w:rFonts w:cs="Times New Roman"/>
        </w:rPr>
        <w:t xml:space="preserve"> </w:t>
      </w:r>
      <w:r w:rsidRPr="00C8732B">
        <w:rPr>
          <w:rFonts w:cs="Times New Roman"/>
        </w:rPr>
        <w:t>http://go.usa.gov/KFhw</w:t>
      </w:r>
      <w:r w:rsidRPr="00E90DC8">
        <w:rPr>
          <w:rFonts w:cs="Times New Roman"/>
        </w:rPr>
        <w:t>.</w:t>
      </w:r>
    </w:p>
  </w:footnote>
  <w:footnote w:id="6">
    <w:p w14:paraId="01A02A13" w14:textId="5F71BF31" w:rsidR="003F1A7C" w:rsidRPr="00E90DC8" w:rsidRDefault="003F1A7C" w:rsidP="0077408A">
      <w:pPr>
        <w:pStyle w:val="FootnoteText"/>
        <w:rPr>
          <w:rFonts w:cs="Times New Roman"/>
          <w:i/>
        </w:rPr>
      </w:pPr>
      <w:r w:rsidRPr="00E90DC8">
        <w:rPr>
          <w:rStyle w:val="FootnoteReference"/>
          <w:rFonts w:cs="Times New Roman"/>
        </w:rPr>
        <w:footnoteRef/>
      </w:r>
      <w:r w:rsidRPr="00E90DC8">
        <w:rPr>
          <w:rFonts w:cs="Times New Roman"/>
        </w:rPr>
        <w:t xml:space="preserve"> </w:t>
      </w:r>
      <w:r w:rsidRPr="00E90DC8">
        <w:rPr>
          <w:rFonts w:cs="Times New Roman"/>
          <w:i/>
        </w:rPr>
        <w:t xml:space="preserve">See </w:t>
      </w:r>
      <w:r w:rsidRPr="00E90DC8">
        <w:rPr>
          <w:rFonts w:cs="Times New Roman"/>
        </w:rPr>
        <w:t>President’s Council of Advisors on Science and Technology, Report to the President: Realizing the Full Potential of Government-Held Spectrum to Spur Economic Growth (rel. July 20, 2012) (PCAST Report)</w:t>
      </w:r>
      <w:r>
        <w:rPr>
          <w:rFonts w:cs="Times New Roman"/>
        </w:rPr>
        <w:t xml:space="preserve">; </w:t>
      </w:r>
      <w:r>
        <w:rPr>
          <w:rFonts w:cs="Times New Roman"/>
          <w:i/>
        </w:rPr>
        <w:t>see also</w:t>
      </w:r>
      <w:r>
        <w:rPr>
          <w:rFonts w:cs="Times New Roman"/>
        </w:rPr>
        <w:t xml:space="preserve"> </w:t>
      </w:r>
      <w:r w:rsidRPr="0077408A">
        <w:rPr>
          <w:rFonts w:cs="Times New Roman"/>
          <w:i/>
        </w:rPr>
        <w:t>Amendment of the Commission’s Rules with Regard to C</w:t>
      </w:r>
      <w:r>
        <w:rPr>
          <w:rFonts w:cs="Times New Roman"/>
          <w:i/>
        </w:rPr>
        <w:t>ommercial Operations in the 1695–</w:t>
      </w:r>
      <w:r w:rsidRPr="0077408A">
        <w:rPr>
          <w:rFonts w:cs="Times New Roman"/>
          <w:i/>
        </w:rPr>
        <w:t>1710 MHz, 1755</w:t>
      </w:r>
      <w:r>
        <w:rPr>
          <w:rFonts w:cs="Times New Roman"/>
          <w:i/>
        </w:rPr>
        <w:t>–</w:t>
      </w:r>
      <w:r w:rsidRPr="0077408A">
        <w:rPr>
          <w:rFonts w:cs="Times New Roman"/>
          <w:i/>
        </w:rPr>
        <w:t>1780 MHz, and 2155</w:t>
      </w:r>
      <w:r>
        <w:rPr>
          <w:rFonts w:cs="Times New Roman"/>
          <w:i/>
        </w:rPr>
        <w:t>–</w:t>
      </w:r>
      <w:r w:rsidRPr="0077408A">
        <w:rPr>
          <w:rFonts w:cs="Times New Roman"/>
          <w:i/>
        </w:rPr>
        <w:t>2180 MHz Bands</w:t>
      </w:r>
      <w:r w:rsidRPr="0077408A">
        <w:rPr>
          <w:rFonts w:cs="Times New Roman"/>
        </w:rPr>
        <w:t>, GN Docket No. 13-185, Notice of Proposed Rulemaking and Order on Reconsideration, 28 FCC Rcd 11479, 11579</w:t>
      </w:r>
      <w:r>
        <w:rPr>
          <w:rFonts w:cs="Times New Roman"/>
        </w:rPr>
        <w:t>–</w:t>
      </w:r>
      <w:r w:rsidRPr="0077408A">
        <w:rPr>
          <w:rFonts w:cs="Times New Roman"/>
        </w:rPr>
        <w:t xml:space="preserve">80 (2013) (Statement of Commissioner Ajit Pai, Approving in Part and Concurring in Part) </w:t>
      </w:r>
      <w:r>
        <w:rPr>
          <w:rFonts w:cs="Times New Roman"/>
        </w:rPr>
        <w:t>(</w:t>
      </w:r>
      <w:r>
        <w:rPr>
          <w:rFonts w:cs="Times New Roman"/>
          <w:i/>
        </w:rPr>
        <w:t>AWS-3 NPRM</w:t>
      </w:r>
      <w:r>
        <w:rPr>
          <w:rFonts w:cs="Times New Roman"/>
        </w:rPr>
        <w:t xml:space="preserve">) </w:t>
      </w:r>
      <w:r w:rsidRPr="0077408A">
        <w:rPr>
          <w:rFonts w:cs="Times New Roman"/>
        </w:rPr>
        <w:t>(citing</w:t>
      </w:r>
      <w:r w:rsidRPr="00E90DC8">
        <w:rPr>
          <w:rFonts w:cs="Times New Roman"/>
        </w:rPr>
        <w:t xml:space="preserve"> National Telecommunications and Information Administration, United States Frequency Allocations: The Radio Spectrum (Aug. 2011</w:t>
      </w:r>
      <w:r>
        <w:rPr>
          <w:rFonts w:cs="Times New Roman"/>
        </w:rPr>
        <w:t>)</w:t>
      </w:r>
      <w:r w:rsidRPr="00E90DC8">
        <w:rPr>
          <w:rFonts w:cs="Times New Roman"/>
        </w:rPr>
        <w:t>).</w:t>
      </w:r>
    </w:p>
  </w:footnote>
  <w:footnote w:id="7">
    <w:p w14:paraId="787AD02C" w14:textId="77777777" w:rsidR="003F1A7C" w:rsidRPr="00E90DC8" w:rsidRDefault="003F1A7C" w:rsidP="00091858">
      <w:pPr>
        <w:pStyle w:val="FootnoteText"/>
        <w:rPr>
          <w:rFonts w:cs="Times New Roman"/>
        </w:rPr>
      </w:pPr>
      <w:r w:rsidRPr="00E90DC8">
        <w:rPr>
          <w:rStyle w:val="FootnoteReference"/>
          <w:rFonts w:cs="Times New Roman"/>
        </w:rPr>
        <w:footnoteRef/>
      </w:r>
      <w:r w:rsidRPr="00E90DC8">
        <w:rPr>
          <w:rFonts w:cs="Times New Roman"/>
        </w:rPr>
        <w:t xml:space="preserve"> Spectrum Act § 6701(a)(3</w:t>
      </w:r>
      <w:r>
        <w:rPr>
          <w:rFonts w:cs="Times New Roman"/>
        </w:rPr>
        <w:t xml:space="preserve">) </w:t>
      </w:r>
      <w:r w:rsidRPr="00E90DC8">
        <w:rPr>
          <w:rFonts w:cs="Times New Roman"/>
        </w:rPr>
        <w:t>(amending Section 113(j) of the National Telecommunications and Information Administration Organization Act (47 U.S.C. § 923)).</w:t>
      </w:r>
    </w:p>
  </w:footnote>
  <w:footnote w:id="8">
    <w:p w14:paraId="1A912DCF" w14:textId="77777777" w:rsidR="003F1A7C" w:rsidRPr="00E90DC8" w:rsidRDefault="003F1A7C" w:rsidP="00227540">
      <w:pPr>
        <w:pStyle w:val="FootnoteText"/>
        <w:rPr>
          <w:rFonts w:cs="Times New Roman"/>
        </w:rPr>
      </w:pPr>
      <w:r w:rsidRPr="00E90DC8">
        <w:rPr>
          <w:rStyle w:val="FootnoteReference"/>
          <w:rFonts w:cs="Times New Roman"/>
        </w:rPr>
        <w:footnoteRef/>
      </w:r>
      <w:r w:rsidRPr="00E90DC8">
        <w:rPr>
          <w:rFonts w:cs="Times New Roman"/>
        </w:rPr>
        <w:t xml:space="preserve"> Spectrum Act § 6701(a)(3), codified at 47 U.S.C. § 923(j)(2).</w:t>
      </w:r>
    </w:p>
  </w:footnote>
  <w:footnote w:id="9">
    <w:p w14:paraId="4E972CF3" w14:textId="77777777" w:rsidR="003F1A7C" w:rsidRPr="00E90DC8" w:rsidRDefault="003F1A7C" w:rsidP="00091858">
      <w:pPr>
        <w:pStyle w:val="FootnoteText"/>
        <w:rPr>
          <w:rFonts w:cs="Times New Roman"/>
        </w:rPr>
      </w:pPr>
      <w:r w:rsidRPr="00E90DC8">
        <w:rPr>
          <w:rStyle w:val="FootnoteReference"/>
          <w:rFonts w:cs="Times New Roman"/>
        </w:rPr>
        <w:footnoteRef/>
      </w:r>
      <w:r w:rsidRPr="00E90DC8">
        <w:rPr>
          <w:rFonts w:cs="Times New Roman"/>
        </w:rPr>
        <w:t xml:space="preserve"> </w:t>
      </w:r>
      <w:r>
        <w:rPr>
          <w:rFonts w:cs="Times New Roman"/>
          <w:i/>
        </w:rPr>
        <w:t>AWS-3 NPRM</w:t>
      </w:r>
      <w:r w:rsidRPr="00E90DC8">
        <w:rPr>
          <w:rFonts w:cs="Times New Roman"/>
        </w:rPr>
        <w:t xml:space="preserve">, 28 FCC Rcd </w:t>
      </w:r>
      <w:r>
        <w:rPr>
          <w:rFonts w:cs="Times New Roman"/>
        </w:rPr>
        <w:t>at</w:t>
      </w:r>
      <w:r w:rsidRPr="00E90DC8">
        <w:rPr>
          <w:rFonts w:cs="Times New Roman"/>
        </w:rPr>
        <w:t xml:space="preserve"> 11482</w:t>
      </w:r>
      <w:r>
        <w:rPr>
          <w:rFonts w:cs="Times New Roman"/>
        </w:rPr>
        <w:t>, para.</w:t>
      </w:r>
      <w:r w:rsidRPr="00E90DC8">
        <w:rPr>
          <w:rFonts w:cs="Times New Roman"/>
        </w:rPr>
        <w:t xml:space="preserve"> </w:t>
      </w:r>
      <w:r>
        <w:rPr>
          <w:rFonts w:cs="Times New Roman"/>
        </w:rPr>
        <w:t>2.</w:t>
      </w:r>
    </w:p>
  </w:footnote>
  <w:footnote w:id="10">
    <w:p w14:paraId="6FAFB6E8" w14:textId="3C2BFC92" w:rsidR="003F1A7C" w:rsidRPr="00227540" w:rsidRDefault="003F1A7C">
      <w:pPr>
        <w:pStyle w:val="FootnoteText"/>
      </w:pPr>
      <w:r w:rsidRPr="00227540">
        <w:rPr>
          <w:rStyle w:val="FootnoteReference"/>
        </w:rPr>
        <w:footnoteRef/>
      </w:r>
      <w:r w:rsidRPr="00227540">
        <w:t xml:space="preserve"> </w:t>
      </w:r>
      <w:r w:rsidRPr="00227540">
        <w:rPr>
          <w:i/>
        </w:rPr>
        <w:t>See</w:t>
      </w:r>
      <w:r w:rsidRPr="00227540">
        <w:t xml:space="preserve"> Letter from Julius Genachowksi, Chairman, FCC, to Lawrence E. Strickling, Assistant Secretary for Communications and Information, U.S. Department of Commerce, at 1 (March 20, 2013), </w:t>
      </w:r>
      <w:r w:rsidRPr="00227540">
        <w:rPr>
          <w:i/>
        </w:rPr>
        <w:t>available at</w:t>
      </w:r>
      <w:r w:rsidRPr="00227540">
        <w:t xml:space="preserve"> </w:t>
      </w:r>
      <w:r w:rsidRPr="0078483E">
        <w:t>http://go.usa.gov/2VR5</w:t>
      </w:r>
      <w:r w:rsidRPr="00227540">
        <w:t xml:space="preserve">; </w:t>
      </w:r>
      <w:r w:rsidRPr="00227540">
        <w:rPr>
          <w:i/>
        </w:rPr>
        <w:t>see also</w:t>
      </w:r>
      <w:r w:rsidRPr="00227540">
        <w:t xml:space="preserve"> Testimony of Commissioner Ajit Pai, Hearing before the U.S. Senate Committee on Commerce, Science, and Transportation, “Oversight of the Federal Communications Commission” at 2–3 (Mar. 12, 2013) (calling on the Commission to “commence the notification-and-auction process now to preserve our ability to auction the 1755–1780 MHz spectrum paired with the 2155–2180 MHz spectrum”), </w:t>
      </w:r>
      <w:r w:rsidRPr="00227540">
        <w:rPr>
          <w:i/>
        </w:rPr>
        <w:t>available at</w:t>
      </w:r>
      <w:r w:rsidRPr="00227540">
        <w:t xml:space="preserve"> </w:t>
      </w:r>
      <w:r w:rsidRPr="0078483E">
        <w:t>http://go.usa.gov/2Vj3</w:t>
      </w:r>
      <w:r w:rsidRPr="00227540">
        <w:t>.</w:t>
      </w:r>
    </w:p>
  </w:footnote>
  <w:footnote w:id="11">
    <w:p w14:paraId="4308C5C9" w14:textId="30EA0AC6" w:rsidR="003F1A7C" w:rsidRPr="00E90DC8" w:rsidRDefault="003F1A7C" w:rsidP="009C59EB">
      <w:pPr>
        <w:pStyle w:val="FootnoteText"/>
        <w:rPr>
          <w:rFonts w:cs="Times New Roman"/>
        </w:rPr>
      </w:pPr>
      <w:r w:rsidRPr="00E90DC8">
        <w:rPr>
          <w:rStyle w:val="FootnoteReference"/>
          <w:rFonts w:cs="Times New Roman"/>
        </w:rPr>
        <w:footnoteRef/>
      </w:r>
      <w:r w:rsidRPr="00E90DC8">
        <w:rPr>
          <w:rFonts w:cs="Times New Roman"/>
        </w:rPr>
        <w:t xml:space="preserve"> </w:t>
      </w:r>
      <w:r w:rsidRPr="00E90DC8">
        <w:rPr>
          <w:rFonts w:cs="Times New Roman"/>
          <w:i/>
        </w:rPr>
        <w:t>Order</w:t>
      </w:r>
      <w:r w:rsidRPr="00E90DC8">
        <w:rPr>
          <w:rFonts w:cs="Times New Roman"/>
        </w:rPr>
        <w:t xml:space="preserve"> at </w:t>
      </w:r>
      <w:r>
        <w:rPr>
          <w:rFonts w:cs="Times New Roman"/>
        </w:rPr>
        <w:t>para.</w:t>
      </w:r>
      <w:r w:rsidRPr="00E90DC8">
        <w:rPr>
          <w:rFonts w:cs="Times New Roman"/>
        </w:rPr>
        <w:t xml:space="preserve"> 9.</w:t>
      </w:r>
    </w:p>
  </w:footnote>
  <w:footnote w:id="12">
    <w:p w14:paraId="31134D26" w14:textId="0C9091B0" w:rsidR="003F1A7C" w:rsidRPr="00487017" w:rsidRDefault="003F1A7C">
      <w:pPr>
        <w:pStyle w:val="FootnoteText"/>
        <w:rPr>
          <w:i/>
        </w:rPr>
      </w:pPr>
      <w:r>
        <w:rPr>
          <w:rStyle w:val="FootnoteReference"/>
        </w:rPr>
        <w:footnoteRef/>
      </w:r>
      <w:r>
        <w:t xml:space="preserve"> </w:t>
      </w:r>
      <w:r w:rsidRPr="00505CFC">
        <w:rPr>
          <w:i/>
        </w:rPr>
        <w:t>See</w:t>
      </w:r>
      <w:r w:rsidRPr="00505CFC">
        <w:t xml:space="preserve"> U.S. Department of Commerce, National Telecommunications and Information Administration, Framework for Work within CSM</w:t>
      </w:r>
      <w:r>
        <w:t xml:space="preserve">AC, </w:t>
      </w:r>
      <w:r w:rsidRPr="00505CFC">
        <w:rPr>
          <w:i/>
        </w:rPr>
        <w:t>available</w:t>
      </w:r>
      <w:r w:rsidRPr="00505CFC">
        <w:t xml:space="preserve"> </w:t>
      </w:r>
      <w:r w:rsidRPr="00505CFC">
        <w:rPr>
          <w:i/>
        </w:rPr>
        <w:t>at</w:t>
      </w:r>
      <w:r w:rsidRPr="00505CFC">
        <w:t xml:space="preserve"> </w:t>
      </w:r>
      <w:r w:rsidRPr="00A938F7">
        <w:t xml:space="preserve">http://go.usa.gov/KMXC </w:t>
      </w:r>
      <w:r>
        <w:t>(NTIA Framework</w:t>
      </w:r>
      <w:r w:rsidRPr="00505CFC">
        <w:t>)</w:t>
      </w:r>
      <w:r>
        <w:t xml:space="preserve">; </w:t>
      </w:r>
      <w:r>
        <w:rPr>
          <w:i/>
        </w:rPr>
        <w:t>see also</w:t>
      </w:r>
      <w:r>
        <w:t xml:space="preserve"> </w:t>
      </w:r>
      <w:r w:rsidRPr="00E21802">
        <w:t>U.S. Department of Commerce, An Assessment of the Near-Term Viability of Accommodating Wireless Broadband Systems in the 1675</w:t>
      </w:r>
      <w:r>
        <w:t>–</w:t>
      </w:r>
      <w:r w:rsidRPr="00E21802">
        <w:t>1710 MHz, 1755</w:t>
      </w:r>
      <w:r>
        <w:t>–</w:t>
      </w:r>
      <w:r w:rsidRPr="00E21802">
        <w:t>1780 MHz, 3500</w:t>
      </w:r>
      <w:r>
        <w:t>–</w:t>
      </w:r>
      <w:r w:rsidRPr="00E21802">
        <w:t>36</w:t>
      </w:r>
      <w:r>
        <w:t>50 MHz, 4200–4220 MHz, and 4380–</w:t>
      </w:r>
      <w:r w:rsidRPr="00E21802">
        <w:t>4400 MHz Bands at 2-3</w:t>
      </w:r>
      <w:r>
        <w:t>–</w:t>
      </w:r>
      <w:r w:rsidRPr="00E21802">
        <w:t>2-4 (Oct. 2010)</w:t>
      </w:r>
      <w:r>
        <w:t xml:space="preserve">, </w:t>
      </w:r>
      <w:r>
        <w:rPr>
          <w:i/>
        </w:rPr>
        <w:t>available at</w:t>
      </w:r>
      <w:r w:rsidRPr="00A938F7">
        <w:t xml:space="preserve"> http://go.usa.gov/KM9z </w:t>
      </w:r>
      <w:r>
        <w:t>(Fast Track Report).</w:t>
      </w:r>
    </w:p>
  </w:footnote>
  <w:footnote w:id="13">
    <w:p w14:paraId="3A48A86F" w14:textId="439CC359" w:rsidR="003F1A7C" w:rsidRPr="00390889" w:rsidRDefault="003F1A7C">
      <w:pPr>
        <w:pStyle w:val="FootnoteText"/>
      </w:pPr>
      <w:r>
        <w:rPr>
          <w:rStyle w:val="FootnoteReference"/>
        </w:rPr>
        <w:footnoteRef/>
      </w:r>
      <w:r>
        <w:t xml:space="preserve"> Fast Track Report at 1-4 (“</w:t>
      </w:r>
      <w:r w:rsidRPr="00A62C42">
        <w:t>NTIA and the Federal agencies performed this Fast Track Evaluation</w:t>
      </w:r>
      <w:r>
        <w:t> . . .</w:t>
      </w:r>
      <w:r w:rsidRPr="00A62C42">
        <w:t xml:space="preserve"> to evaluate four bands by October 1, 2010, to determine if any spectrum in these bands could be made available on a geographical sharing basis for wireless broadband use within five years.</w:t>
      </w:r>
      <w:r>
        <w:t xml:space="preserve">”); </w:t>
      </w:r>
      <w:r>
        <w:rPr>
          <w:i/>
        </w:rPr>
        <w:t>see also id.</w:t>
      </w:r>
      <w:r>
        <w:t xml:space="preserve"> (“</w:t>
      </w:r>
      <w:r w:rsidRPr="00390889">
        <w:t>This Fast Track Evaluation provides the analysis results for these candidate frequency bands and recommends the necessary actions that would be required to accommodate broadband wirel</w:t>
      </w:r>
      <w:r>
        <w:t>ess services on a shared basis.”).</w:t>
      </w:r>
    </w:p>
  </w:footnote>
  <w:footnote w:id="14">
    <w:p w14:paraId="42989240" w14:textId="42B12B0E" w:rsidR="003F1A7C" w:rsidRDefault="003F1A7C">
      <w:pPr>
        <w:pStyle w:val="FootnoteText"/>
      </w:pPr>
      <w:r>
        <w:rPr>
          <w:rStyle w:val="FootnoteReference"/>
        </w:rPr>
        <w:footnoteRef/>
      </w:r>
      <w:r>
        <w:t xml:space="preserve"> </w:t>
      </w:r>
      <w:r>
        <w:rPr>
          <w:i/>
        </w:rPr>
        <w:t xml:space="preserve">See </w:t>
      </w:r>
      <w:r>
        <w:t xml:space="preserve">Statement of Commissioner Ajit Pai on the Report of the President’s Council of Advisors on Science and Technology (July 20, 2012), </w:t>
      </w:r>
      <w:r>
        <w:rPr>
          <w:i/>
        </w:rPr>
        <w:t>available at</w:t>
      </w:r>
      <w:r w:rsidRPr="00D1042D">
        <w:rPr>
          <w:i/>
        </w:rPr>
        <w:t xml:space="preserve"> </w:t>
      </w:r>
      <w:r w:rsidRPr="00D1042D">
        <w:t>http://go.usa.gov/KMaQ</w:t>
      </w:r>
      <w:r>
        <w:t>.</w:t>
      </w:r>
    </w:p>
  </w:footnote>
  <w:footnote w:id="15">
    <w:p w14:paraId="38B20B80" w14:textId="384C8C39" w:rsidR="003F1A7C" w:rsidRDefault="003F1A7C">
      <w:pPr>
        <w:pStyle w:val="FootnoteText"/>
      </w:pPr>
      <w:r>
        <w:rPr>
          <w:rStyle w:val="FootnoteReference"/>
        </w:rPr>
        <w:footnoteRef/>
      </w:r>
      <w:r>
        <w:t xml:space="preserve"> In fact, the </w:t>
      </w:r>
      <w:r w:rsidRPr="00C432AB">
        <w:t xml:space="preserve">majority </w:t>
      </w:r>
      <w:r>
        <w:t>of the CSMAC members stated that “</w:t>
      </w:r>
      <w:r w:rsidRPr="00C432AB">
        <w:t xml:space="preserve">because only limited technical data was shared about Federal systems with the working groups, participants were not able to fully engage in the type of informed discussion of the analysis and underlying assumptions necessary to verify </w:t>
      </w:r>
      <w:r>
        <w:t>the accuracy of the information.</w:t>
      </w:r>
      <w:r w:rsidRPr="00C432AB">
        <w:t>”</w:t>
      </w:r>
      <w:r>
        <w:t xml:space="preserve">  </w:t>
      </w:r>
      <w:r w:rsidRPr="00AD04C4">
        <w:rPr>
          <w:i/>
        </w:rPr>
        <w:t xml:space="preserve">See </w:t>
      </w:r>
      <w:r w:rsidRPr="00AD04C4">
        <w:t>Separate Statement Concerning Working Group Reports f</w:t>
      </w:r>
      <w:r>
        <w:t>or the 1755–1850 MHz Band (Aug. 29, 2013)</w:t>
      </w:r>
      <w:r w:rsidRPr="00AD04C4">
        <w:t xml:space="preserve"> </w:t>
      </w:r>
      <w:r w:rsidRPr="00AD04C4">
        <w:rPr>
          <w:i/>
        </w:rPr>
        <w:t>available</w:t>
      </w:r>
      <w:r w:rsidRPr="00AD04C4">
        <w:t xml:space="preserve"> </w:t>
      </w:r>
      <w:r w:rsidRPr="00AD04C4">
        <w:rPr>
          <w:i/>
        </w:rPr>
        <w:t>at</w:t>
      </w:r>
      <w:r>
        <w:t xml:space="preserve"> </w:t>
      </w:r>
      <w:r w:rsidRPr="004513B2">
        <w:t>http://go.usa.gov/KM9P</w:t>
      </w:r>
      <w:r>
        <w:t xml:space="preserve">.  </w:t>
      </w:r>
      <w:r w:rsidRPr="00AD04C4">
        <w:t>I</w:t>
      </w:r>
      <w:r>
        <w:t xml:space="preserve"> should note as well that NTIA’s Fast Track Report deferred making any recommendations regarding the 1755–1780 MHz band, and when NTIA later assessed the full 1755–1850 MHz band—reaching the conclusion that repurposing the entire 95 MHz would cost $18 billion over 10 years—NTIA did not </w:t>
      </w:r>
      <w:r w:rsidRPr="00487017">
        <w:t xml:space="preserve">evaluate the possibility for </w:t>
      </w:r>
      <w:r>
        <w:t>clearing just the 1755–</w:t>
      </w:r>
      <w:r w:rsidRPr="00487017">
        <w:t>1780 MHz</w:t>
      </w:r>
      <w:r>
        <w:t xml:space="preserve"> band.  </w:t>
      </w:r>
      <w:r>
        <w:rPr>
          <w:i/>
        </w:rPr>
        <w:t xml:space="preserve">See </w:t>
      </w:r>
      <w:r w:rsidRPr="00487017">
        <w:t>U.S. Department of Commerce, An Assessment of the Viability of Accommodating Wireless Broadband in the 1755</w:t>
      </w:r>
      <w:r>
        <w:t>–</w:t>
      </w:r>
      <w:r w:rsidRPr="00487017">
        <w:t>1850 MHz Band (Mar. 2012)</w:t>
      </w:r>
      <w:r>
        <w:t xml:space="preserve">, </w:t>
      </w:r>
      <w:r w:rsidRPr="00487017">
        <w:rPr>
          <w:i/>
        </w:rPr>
        <w:t>available</w:t>
      </w:r>
      <w:r w:rsidRPr="00487017">
        <w:t xml:space="preserve"> </w:t>
      </w:r>
      <w:r w:rsidRPr="00487017">
        <w:rPr>
          <w:i/>
        </w:rPr>
        <w:t>at</w:t>
      </w:r>
      <w:r w:rsidRPr="00487017">
        <w:t xml:space="preserve"> </w:t>
      </w:r>
      <w:r w:rsidRPr="004513B2">
        <w:t>http://go.usa.gov/KM9G</w:t>
      </w:r>
      <w:r w:rsidRPr="004513B2">
        <w:rPr>
          <w:rStyle w:val="Hyperlink"/>
          <w:u w:val="none"/>
        </w:rPr>
        <w:t>.</w:t>
      </w:r>
    </w:p>
  </w:footnote>
  <w:footnote w:id="16">
    <w:p w14:paraId="722F801B" w14:textId="28AE53DF" w:rsidR="003F1A7C" w:rsidRPr="00006C55" w:rsidRDefault="003F1A7C">
      <w:pPr>
        <w:pStyle w:val="FootnoteText"/>
      </w:pPr>
      <w:r>
        <w:rPr>
          <w:rStyle w:val="FootnoteReference"/>
        </w:rPr>
        <w:footnoteRef/>
      </w:r>
      <w:r>
        <w:t xml:space="preserve"> At best, the </w:t>
      </w:r>
      <w:r>
        <w:rPr>
          <w:i/>
        </w:rPr>
        <w:t>AWS-3 NPRM</w:t>
      </w:r>
      <w:r>
        <w:t xml:space="preserve"> sought comment on possible technical or operational rules that would protect certain services “from harmful interference.”  </w:t>
      </w:r>
      <w:r>
        <w:rPr>
          <w:i/>
        </w:rPr>
        <w:t>See AWS-3 NPRM</w:t>
      </w:r>
      <w:r>
        <w:t xml:space="preserve">, 28 FCC Rcd at 11517, para. 85; </w:t>
      </w:r>
      <w:r>
        <w:rPr>
          <w:i/>
        </w:rPr>
        <w:t>Order</w:t>
      </w:r>
      <w:r>
        <w:t xml:space="preserve"> at para. 225.  But that section proposed to adopt the same technical requirements for AWS-3 that apply to AWS-1, and AWS-1 has no interoperability mandate.  Neither that paragraph, nor any other portion of the </w:t>
      </w:r>
      <w:r>
        <w:rPr>
          <w:i/>
        </w:rPr>
        <w:t>AWS-3 NPRM</w:t>
      </w:r>
      <w:r w:rsidRPr="00C21374">
        <w:t xml:space="preserve">, </w:t>
      </w:r>
      <w:r>
        <w:t>discusses or proposes an interoperability rule.</w:t>
      </w:r>
    </w:p>
  </w:footnote>
  <w:footnote w:id="17">
    <w:p w14:paraId="648586B6" w14:textId="33970E64" w:rsidR="003F1A7C" w:rsidRDefault="003F1A7C">
      <w:pPr>
        <w:pStyle w:val="FootnoteText"/>
      </w:pPr>
      <w:r>
        <w:rPr>
          <w:rStyle w:val="FootnoteReference"/>
        </w:rPr>
        <w:footnoteRef/>
      </w:r>
      <w:r>
        <w:t xml:space="preserve"> Of course, expanding that mandate to other spectrum bands may be positively harmful, and there is no emergency, to my knowledge, that could countenance such a violation of the Administrative Procedure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9F82" w14:textId="77777777" w:rsidR="009503C6" w:rsidRDefault="00950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9343" w14:textId="77777777" w:rsidR="009503C6" w:rsidRDefault="00950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F2E0" w14:textId="77777777" w:rsidR="009503C6" w:rsidRDefault="009503C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CB"/>
    <w:rsid w:val="00000ED9"/>
    <w:rsid w:val="00006C55"/>
    <w:rsid w:val="00012649"/>
    <w:rsid w:val="000270CF"/>
    <w:rsid w:val="00045B95"/>
    <w:rsid w:val="0005016D"/>
    <w:rsid w:val="00061AC4"/>
    <w:rsid w:val="00064C8C"/>
    <w:rsid w:val="00067194"/>
    <w:rsid w:val="00067282"/>
    <w:rsid w:val="00076790"/>
    <w:rsid w:val="00083C81"/>
    <w:rsid w:val="00087D79"/>
    <w:rsid w:val="00091858"/>
    <w:rsid w:val="000A71A3"/>
    <w:rsid w:val="000B52E4"/>
    <w:rsid w:val="000C56B6"/>
    <w:rsid w:val="000D0E7D"/>
    <w:rsid w:val="000F30FA"/>
    <w:rsid w:val="00100AC0"/>
    <w:rsid w:val="00113C3F"/>
    <w:rsid w:val="001153B2"/>
    <w:rsid w:val="00120D9F"/>
    <w:rsid w:val="001332FC"/>
    <w:rsid w:val="0014099E"/>
    <w:rsid w:val="00142348"/>
    <w:rsid w:val="00144456"/>
    <w:rsid w:val="00151571"/>
    <w:rsid w:val="00155595"/>
    <w:rsid w:val="00157A77"/>
    <w:rsid w:val="00182050"/>
    <w:rsid w:val="001823A6"/>
    <w:rsid w:val="00196A4C"/>
    <w:rsid w:val="001A52F7"/>
    <w:rsid w:val="001A5EA0"/>
    <w:rsid w:val="001C5061"/>
    <w:rsid w:val="001C553C"/>
    <w:rsid w:val="001D36E0"/>
    <w:rsid w:val="00204562"/>
    <w:rsid w:val="00227540"/>
    <w:rsid w:val="002300B7"/>
    <w:rsid w:val="00246585"/>
    <w:rsid w:val="00275DF6"/>
    <w:rsid w:val="002946B4"/>
    <w:rsid w:val="002A2742"/>
    <w:rsid w:val="002D1CE3"/>
    <w:rsid w:val="002E3E56"/>
    <w:rsid w:val="003327D5"/>
    <w:rsid w:val="00334340"/>
    <w:rsid w:val="00350806"/>
    <w:rsid w:val="003520CE"/>
    <w:rsid w:val="00390889"/>
    <w:rsid w:val="003923CB"/>
    <w:rsid w:val="00393232"/>
    <w:rsid w:val="00393676"/>
    <w:rsid w:val="003A0FD5"/>
    <w:rsid w:val="003A3BFB"/>
    <w:rsid w:val="003B50D4"/>
    <w:rsid w:val="003C325D"/>
    <w:rsid w:val="003D047E"/>
    <w:rsid w:val="003D5F0F"/>
    <w:rsid w:val="003E3195"/>
    <w:rsid w:val="003E3EAE"/>
    <w:rsid w:val="003E5F60"/>
    <w:rsid w:val="003E6E21"/>
    <w:rsid w:val="003F1A7C"/>
    <w:rsid w:val="00405E76"/>
    <w:rsid w:val="004123A2"/>
    <w:rsid w:val="00413E72"/>
    <w:rsid w:val="00417C68"/>
    <w:rsid w:val="00421512"/>
    <w:rsid w:val="0042352A"/>
    <w:rsid w:val="00424203"/>
    <w:rsid w:val="0042557A"/>
    <w:rsid w:val="004513B2"/>
    <w:rsid w:val="0046187B"/>
    <w:rsid w:val="00463B25"/>
    <w:rsid w:val="00470A43"/>
    <w:rsid w:val="00480741"/>
    <w:rsid w:val="0048213C"/>
    <w:rsid w:val="00483401"/>
    <w:rsid w:val="0048415F"/>
    <w:rsid w:val="00487017"/>
    <w:rsid w:val="00492959"/>
    <w:rsid w:val="004A39E9"/>
    <w:rsid w:val="004B368B"/>
    <w:rsid w:val="004B5838"/>
    <w:rsid w:val="004C6828"/>
    <w:rsid w:val="004E0134"/>
    <w:rsid w:val="004F09C8"/>
    <w:rsid w:val="004F1585"/>
    <w:rsid w:val="004F6819"/>
    <w:rsid w:val="004F7502"/>
    <w:rsid w:val="004F773D"/>
    <w:rsid w:val="00501200"/>
    <w:rsid w:val="00505CFC"/>
    <w:rsid w:val="00524EEE"/>
    <w:rsid w:val="00534D26"/>
    <w:rsid w:val="00540B09"/>
    <w:rsid w:val="005423B8"/>
    <w:rsid w:val="005437A1"/>
    <w:rsid w:val="00551308"/>
    <w:rsid w:val="005571F2"/>
    <w:rsid w:val="00566162"/>
    <w:rsid w:val="00581E2D"/>
    <w:rsid w:val="0058726E"/>
    <w:rsid w:val="005A238E"/>
    <w:rsid w:val="005A404C"/>
    <w:rsid w:val="005B24AC"/>
    <w:rsid w:val="005C4C08"/>
    <w:rsid w:val="005E7F51"/>
    <w:rsid w:val="005F61BA"/>
    <w:rsid w:val="00607B74"/>
    <w:rsid w:val="0061014C"/>
    <w:rsid w:val="006231A2"/>
    <w:rsid w:val="00640479"/>
    <w:rsid w:val="00646F7E"/>
    <w:rsid w:val="006567DA"/>
    <w:rsid w:val="006674BE"/>
    <w:rsid w:val="006866D2"/>
    <w:rsid w:val="006919C4"/>
    <w:rsid w:val="006B4644"/>
    <w:rsid w:val="006B59AC"/>
    <w:rsid w:val="006C16BF"/>
    <w:rsid w:val="006D2ADC"/>
    <w:rsid w:val="006D34FD"/>
    <w:rsid w:val="006E2068"/>
    <w:rsid w:val="006E2F76"/>
    <w:rsid w:val="006F443B"/>
    <w:rsid w:val="006F6076"/>
    <w:rsid w:val="00700F14"/>
    <w:rsid w:val="007026CB"/>
    <w:rsid w:val="00713D50"/>
    <w:rsid w:val="00726280"/>
    <w:rsid w:val="0073315C"/>
    <w:rsid w:val="00742411"/>
    <w:rsid w:val="00760186"/>
    <w:rsid w:val="00764BDD"/>
    <w:rsid w:val="00770362"/>
    <w:rsid w:val="0077408A"/>
    <w:rsid w:val="0078483E"/>
    <w:rsid w:val="00792ADF"/>
    <w:rsid w:val="007A06D1"/>
    <w:rsid w:val="007A1C1C"/>
    <w:rsid w:val="007A2F9B"/>
    <w:rsid w:val="007B09B5"/>
    <w:rsid w:val="007B5245"/>
    <w:rsid w:val="007C361B"/>
    <w:rsid w:val="007D5520"/>
    <w:rsid w:val="007D7D89"/>
    <w:rsid w:val="007E4CFD"/>
    <w:rsid w:val="007E5864"/>
    <w:rsid w:val="007F40A9"/>
    <w:rsid w:val="0081722E"/>
    <w:rsid w:val="00822B53"/>
    <w:rsid w:val="00824BAD"/>
    <w:rsid w:val="0082609B"/>
    <w:rsid w:val="008318D7"/>
    <w:rsid w:val="00836E9F"/>
    <w:rsid w:val="00843BDB"/>
    <w:rsid w:val="0085326D"/>
    <w:rsid w:val="00872BCE"/>
    <w:rsid w:val="00885B98"/>
    <w:rsid w:val="00886852"/>
    <w:rsid w:val="008906DB"/>
    <w:rsid w:val="00894E0D"/>
    <w:rsid w:val="00896DA7"/>
    <w:rsid w:val="008A5845"/>
    <w:rsid w:val="008C1644"/>
    <w:rsid w:val="008E10C0"/>
    <w:rsid w:val="008E5A78"/>
    <w:rsid w:val="008E78FB"/>
    <w:rsid w:val="008F5B0C"/>
    <w:rsid w:val="009122E4"/>
    <w:rsid w:val="00916698"/>
    <w:rsid w:val="00923753"/>
    <w:rsid w:val="00925B2D"/>
    <w:rsid w:val="00934F39"/>
    <w:rsid w:val="009369D0"/>
    <w:rsid w:val="00937A48"/>
    <w:rsid w:val="00944E32"/>
    <w:rsid w:val="00945CCD"/>
    <w:rsid w:val="00947D51"/>
    <w:rsid w:val="009503C6"/>
    <w:rsid w:val="00983C60"/>
    <w:rsid w:val="00985E9F"/>
    <w:rsid w:val="00986D94"/>
    <w:rsid w:val="00994CA3"/>
    <w:rsid w:val="00995752"/>
    <w:rsid w:val="009A1B39"/>
    <w:rsid w:val="009B050F"/>
    <w:rsid w:val="009B2A34"/>
    <w:rsid w:val="009C59EB"/>
    <w:rsid w:val="009D67A8"/>
    <w:rsid w:val="009E53FA"/>
    <w:rsid w:val="009F0837"/>
    <w:rsid w:val="00A03DFB"/>
    <w:rsid w:val="00A072B6"/>
    <w:rsid w:val="00A12D4A"/>
    <w:rsid w:val="00A17524"/>
    <w:rsid w:val="00A226E1"/>
    <w:rsid w:val="00A331D6"/>
    <w:rsid w:val="00A44E08"/>
    <w:rsid w:val="00A5044C"/>
    <w:rsid w:val="00A56F1D"/>
    <w:rsid w:val="00A62C1A"/>
    <w:rsid w:val="00A62C42"/>
    <w:rsid w:val="00A741C2"/>
    <w:rsid w:val="00A824B1"/>
    <w:rsid w:val="00A85C82"/>
    <w:rsid w:val="00A87C16"/>
    <w:rsid w:val="00A9282B"/>
    <w:rsid w:val="00A938F7"/>
    <w:rsid w:val="00A95CEC"/>
    <w:rsid w:val="00A96344"/>
    <w:rsid w:val="00AA27C4"/>
    <w:rsid w:val="00AA420B"/>
    <w:rsid w:val="00AB0D3A"/>
    <w:rsid w:val="00AB2C53"/>
    <w:rsid w:val="00AB2CAB"/>
    <w:rsid w:val="00AB665D"/>
    <w:rsid w:val="00AD04C4"/>
    <w:rsid w:val="00AD1638"/>
    <w:rsid w:val="00AE3E76"/>
    <w:rsid w:val="00AE6F6F"/>
    <w:rsid w:val="00B01332"/>
    <w:rsid w:val="00B054D3"/>
    <w:rsid w:val="00B215DE"/>
    <w:rsid w:val="00B46AEB"/>
    <w:rsid w:val="00B4702C"/>
    <w:rsid w:val="00B52578"/>
    <w:rsid w:val="00B52C7D"/>
    <w:rsid w:val="00B726E2"/>
    <w:rsid w:val="00B8477B"/>
    <w:rsid w:val="00B86AD7"/>
    <w:rsid w:val="00B90FE5"/>
    <w:rsid w:val="00B91799"/>
    <w:rsid w:val="00BA1E86"/>
    <w:rsid w:val="00BA2025"/>
    <w:rsid w:val="00BA79E8"/>
    <w:rsid w:val="00BC088D"/>
    <w:rsid w:val="00BC5652"/>
    <w:rsid w:val="00BC6EA5"/>
    <w:rsid w:val="00BD42E5"/>
    <w:rsid w:val="00BD4784"/>
    <w:rsid w:val="00BD6B79"/>
    <w:rsid w:val="00C02D7D"/>
    <w:rsid w:val="00C04C1F"/>
    <w:rsid w:val="00C1218F"/>
    <w:rsid w:val="00C145CD"/>
    <w:rsid w:val="00C15E3E"/>
    <w:rsid w:val="00C20D1E"/>
    <w:rsid w:val="00C21374"/>
    <w:rsid w:val="00C311DE"/>
    <w:rsid w:val="00C32633"/>
    <w:rsid w:val="00C432AB"/>
    <w:rsid w:val="00C55CD9"/>
    <w:rsid w:val="00C6173D"/>
    <w:rsid w:val="00C64DB4"/>
    <w:rsid w:val="00C8263B"/>
    <w:rsid w:val="00C84A5B"/>
    <w:rsid w:val="00C8732B"/>
    <w:rsid w:val="00C9303B"/>
    <w:rsid w:val="00C9344F"/>
    <w:rsid w:val="00C951DD"/>
    <w:rsid w:val="00C96F34"/>
    <w:rsid w:val="00CA1B49"/>
    <w:rsid w:val="00CA3244"/>
    <w:rsid w:val="00CC6B58"/>
    <w:rsid w:val="00CD4ED5"/>
    <w:rsid w:val="00D1042D"/>
    <w:rsid w:val="00D11040"/>
    <w:rsid w:val="00D12262"/>
    <w:rsid w:val="00D23E5D"/>
    <w:rsid w:val="00D23E9D"/>
    <w:rsid w:val="00D351B5"/>
    <w:rsid w:val="00D4383F"/>
    <w:rsid w:val="00D44269"/>
    <w:rsid w:val="00D4676D"/>
    <w:rsid w:val="00D50F7D"/>
    <w:rsid w:val="00D53E45"/>
    <w:rsid w:val="00D73ED9"/>
    <w:rsid w:val="00D7785D"/>
    <w:rsid w:val="00D938B5"/>
    <w:rsid w:val="00D973C9"/>
    <w:rsid w:val="00DA0933"/>
    <w:rsid w:val="00DA2895"/>
    <w:rsid w:val="00DA3090"/>
    <w:rsid w:val="00DA78C1"/>
    <w:rsid w:val="00DB51A9"/>
    <w:rsid w:val="00DB633B"/>
    <w:rsid w:val="00DC2834"/>
    <w:rsid w:val="00DC6A1F"/>
    <w:rsid w:val="00DF2263"/>
    <w:rsid w:val="00DF5A50"/>
    <w:rsid w:val="00DF6B4B"/>
    <w:rsid w:val="00E0080D"/>
    <w:rsid w:val="00E17051"/>
    <w:rsid w:val="00E20B1B"/>
    <w:rsid w:val="00E21802"/>
    <w:rsid w:val="00E22265"/>
    <w:rsid w:val="00E22876"/>
    <w:rsid w:val="00E23684"/>
    <w:rsid w:val="00E24E9C"/>
    <w:rsid w:val="00E33225"/>
    <w:rsid w:val="00E449D6"/>
    <w:rsid w:val="00E462B8"/>
    <w:rsid w:val="00E51357"/>
    <w:rsid w:val="00E57878"/>
    <w:rsid w:val="00E70E01"/>
    <w:rsid w:val="00E76399"/>
    <w:rsid w:val="00E841C0"/>
    <w:rsid w:val="00E90DC8"/>
    <w:rsid w:val="00E966C8"/>
    <w:rsid w:val="00EA11B3"/>
    <w:rsid w:val="00EB3449"/>
    <w:rsid w:val="00EB5F3B"/>
    <w:rsid w:val="00EC0D99"/>
    <w:rsid w:val="00EC6EBD"/>
    <w:rsid w:val="00EE4ED7"/>
    <w:rsid w:val="00EF50DC"/>
    <w:rsid w:val="00F1340B"/>
    <w:rsid w:val="00F16960"/>
    <w:rsid w:val="00F2012F"/>
    <w:rsid w:val="00F228A0"/>
    <w:rsid w:val="00F229E0"/>
    <w:rsid w:val="00F42A78"/>
    <w:rsid w:val="00F629AE"/>
    <w:rsid w:val="00F62F3D"/>
    <w:rsid w:val="00F83A63"/>
    <w:rsid w:val="00FA232C"/>
    <w:rsid w:val="00FB404F"/>
    <w:rsid w:val="00FC1799"/>
    <w:rsid w:val="00FC42DC"/>
    <w:rsid w:val="00FD1D18"/>
    <w:rsid w:val="00FD718A"/>
    <w:rsid w:val="00FF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5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90DC8"/>
    <w:pPr>
      <w:spacing w:after="120"/>
    </w:pPr>
    <w:rPr>
      <w:sz w:val="20"/>
      <w:szCs w:val="20"/>
    </w:rPr>
  </w:style>
  <w:style w:type="character" w:customStyle="1" w:styleId="FootnoteTextChar">
    <w:name w:val="Footnote Text Char"/>
    <w:basedOn w:val="DefaultParagraphFont"/>
    <w:link w:val="FootnoteText"/>
    <w:rsid w:val="00E90DC8"/>
    <w:rPr>
      <w:sz w:val="20"/>
      <w:szCs w:val="20"/>
    </w:rPr>
  </w:style>
  <w:style w:type="character" w:styleId="FootnoteReference">
    <w:name w:val="footnote reference"/>
    <w:basedOn w:val="DefaultParagraphFont"/>
    <w:unhideWhenUsed/>
    <w:rsid w:val="00E24E9C"/>
    <w:rPr>
      <w:vertAlign w:val="superscript"/>
    </w:rPr>
  </w:style>
  <w:style w:type="character" w:styleId="CommentReference">
    <w:name w:val="annotation reference"/>
    <w:basedOn w:val="DefaultParagraphFont"/>
    <w:uiPriority w:val="99"/>
    <w:semiHidden/>
    <w:unhideWhenUsed/>
    <w:rsid w:val="00421512"/>
    <w:rPr>
      <w:sz w:val="16"/>
      <w:szCs w:val="16"/>
    </w:rPr>
  </w:style>
  <w:style w:type="paragraph" w:styleId="CommentText">
    <w:name w:val="annotation text"/>
    <w:basedOn w:val="Normal"/>
    <w:link w:val="CommentTextChar"/>
    <w:uiPriority w:val="99"/>
    <w:semiHidden/>
    <w:unhideWhenUsed/>
    <w:rsid w:val="00421512"/>
    <w:rPr>
      <w:sz w:val="20"/>
      <w:szCs w:val="20"/>
    </w:rPr>
  </w:style>
  <w:style w:type="character" w:customStyle="1" w:styleId="CommentTextChar">
    <w:name w:val="Comment Text Char"/>
    <w:basedOn w:val="DefaultParagraphFont"/>
    <w:link w:val="CommentText"/>
    <w:uiPriority w:val="99"/>
    <w:semiHidden/>
    <w:rsid w:val="00421512"/>
    <w:rPr>
      <w:sz w:val="20"/>
      <w:szCs w:val="20"/>
    </w:rPr>
  </w:style>
  <w:style w:type="paragraph" w:styleId="CommentSubject">
    <w:name w:val="annotation subject"/>
    <w:basedOn w:val="CommentText"/>
    <w:next w:val="CommentText"/>
    <w:link w:val="CommentSubjectChar"/>
    <w:uiPriority w:val="99"/>
    <w:semiHidden/>
    <w:unhideWhenUsed/>
    <w:rsid w:val="00421512"/>
    <w:rPr>
      <w:b/>
      <w:bCs/>
    </w:rPr>
  </w:style>
  <w:style w:type="character" w:customStyle="1" w:styleId="CommentSubjectChar">
    <w:name w:val="Comment Subject Char"/>
    <w:basedOn w:val="CommentTextChar"/>
    <w:link w:val="CommentSubject"/>
    <w:uiPriority w:val="99"/>
    <w:semiHidden/>
    <w:rsid w:val="00421512"/>
    <w:rPr>
      <w:b/>
      <w:bCs/>
      <w:sz w:val="20"/>
      <w:szCs w:val="20"/>
    </w:rPr>
  </w:style>
  <w:style w:type="paragraph" w:styleId="BalloonText">
    <w:name w:val="Balloon Text"/>
    <w:basedOn w:val="Normal"/>
    <w:link w:val="BalloonTextChar"/>
    <w:uiPriority w:val="99"/>
    <w:semiHidden/>
    <w:unhideWhenUsed/>
    <w:rsid w:val="00421512"/>
    <w:rPr>
      <w:rFonts w:ascii="Tahoma" w:hAnsi="Tahoma" w:cs="Tahoma"/>
      <w:sz w:val="16"/>
      <w:szCs w:val="16"/>
    </w:rPr>
  </w:style>
  <w:style w:type="character" w:customStyle="1" w:styleId="BalloonTextChar">
    <w:name w:val="Balloon Text Char"/>
    <w:basedOn w:val="DefaultParagraphFont"/>
    <w:link w:val="BalloonText"/>
    <w:uiPriority w:val="99"/>
    <w:semiHidden/>
    <w:rsid w:val="00421512"/>
    <w:rPr>
      <w:rFonts w:ascii="Tahoma" w:hAnsi="Tahoma" w:cs="Tahoma"/>
      <w:sz w:val="16"/>
      <w:szCs w:val="16"/>
    </w:rPr>
  </w:style>
  <w:style w:type="paragraph" w:styleId="Header">
    <w:name w:val="header"/>
    <w:basedOn w:val="Normal"/>
    <w:link w:val="HeaderChar"/>
    <w:uiPriority w:val="99"/>
    <w:unhideWhenUsed/>
    <w:rsid w:val="001153B2"/>
    <w:pPr>
      <w:tabs>
        <w:tab w:val="center" w:pos="4680"/>
        <w:tab w:val="right" w:pos="9360"/>
      </w:tabs>
    </w:pPr>
  </w:style>
  <w:style w:type="character" w:customStyle="1" w:styleId="HeaderChar">
    <w:name w:val="Header Char"/>
    <w:basedOn w:val="DefaultParagraphFont"/>
    <w:link w:val="Header"/>
    <w:uiPriority w:val="99"/>
    <w:rsid w:val="001153B2"/>
  </w:style>
  <w:style w:type="paragraph" w:styleId="Footer">
    <w:name w:val="footer"/>
    <w:basedOn w:val="Normal"/>
    <w:link w:val="FooterChar"/>
    <w:uiPriority w:val="99"/>
    <w:unhideWhenUsed/>
    <w:rsid w:val="001153B2"/>
    <w:pPr>
      <w:tabs>
        <w:tab w:val="center" w:pos="4680"/>
        <w:tab w:val="right" w:pos="9360"/>
      </w:tabs>
    </w:pPr>
  </w:style>
  <w:style w:type="character" w:customStyle="1" w:styleId="FooterChar">
    <w:name w:val="Footer Char"/>
    <w:basedOn w:val="DefaultParagraphFont"/>
    <w:link w:val="Footer"/>
    <w:uiPriority w:val="99"/>
    <w:rsid w:val="001153B2"/>
  </w:style>
  <w:style w:type="character" w:styleId="Hyperlink">
    <w:name w:val="Hyperlink"/>
    <w:basedOn w:val="DefaultParagraphFont"/>
    <w:uiPriority w:val="99"/>
    <w:unhideWhenUsed/>
    <w:rsid w:val="00D11040"/>
    <w:rPr>
      <w:color w:val="0000FF" w:themeColor="hyperlink"/>
      <w:u w:val="single"/>
    </w:rPr>
  </w:style>
  <w:style w:type="paragraph" w:styleId="ListParagraph">
    <w:name w:val="List Paragraph"/>
    <w:basedOn w:val="Normal"/>
    <w:uiPriority w:val="34"/>
    <w:qFormat/>
    <w:rsid w:val="00113C3F"/>
    <w:pPr>
      <w:ind w:left="720"/>
      <w:contextualSpacing/>
    </w:pPr>
  </w:style>
  <w:style w:type="paragraph" w:styleId="EndnoteText">
    <w:name w:val="endnote text"/>
    <w:basedOn w:val="Normal"/>
    <w:link w:val="EndnoteTextChar"/>
    <w:uiPriority w:val="99"/>
    <w:semiHidden/>
    <w:unhideWhenUsed/>
    <w:rsid w:val="00227540"/>
    <w:rPr>
      <w:sz w:val="20"/>
      <w:szCs w:val="20"/>
    </w:rPr>
  </w:style>
  <w:style w:type="character" w:customStyle="1" w:styleId="EndnoteTextChar">
    <w:name w:val="Endnote Text Char"/>
    <w:basedOn w:val="DefaultParagraphFont"/>
    <w:link w:val="EndnoteText"/>
    <w:uiPriority w:val="99"/>
    <w:semiHidden/>
    <w:rsid w:val="00227540"/>
    <w:rPr>
      <w:sz w:val="20"/>
      <w:szCs w:val="20"/>
    </w:rPr>
  </w:style>
  <w:style w:type="character" w:styleId="EndnoteReference">
    <w:name w:val="endnote reference"/>
    <w:basedOn w:val="DefaultParagraphFont"/>
    <w:uiPriority w:val="99"/>
    <w:semiHidden/>
    <w:unhideWhenUsed/>
    <w:rsid w:val="00227540"/>
    <w:rPr>
      <w:vertAlign w:val="superscript"/>
    </w:rPr>
  </w:style>
  <w:style w:type="paragraph" w:styleId="Revision">
    <w:name w:val="Revision"/>
    <w:hidden/>
    <w:uiPriority w:val="99"/>
    <w:semiHidden/>
    <w:rsid w:val="001A5EA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90DC8"/>
    <w:pPr>
      <w:spacing w:after="120"/>
    </w:pPr>
    <w:rPr>
      <w:sz w:val="20"/>
      <w:szCs w:val="20"/>
    </w:rPr>
  </w:style>
  <w:style w:type="character" w:customStyle="1" w:styleId="FootnoteTextChar">
    <w:name w:val="Footnote Text Char"/>
    <w:basedOn w:val="DefaultParagraphFont"/>
    <w:link w:val="FootnoteText"/>
    <w:rsid w:val="00E90DC8"/>
    <w:rPr>
      <w:sz w:val="20"/>
      <w:szCs w:val="20"/>
    </w:rPr>
  </w:style>
  <w:style w:type="character" w:styleId="FootnoteReference">
    <w:name w:val="footnote reference"/>
    <w:basedOn w:val="DefaultParagraphFont"/>
    <w:unhideWhenUsed/>
    <w:rsid w:val="00E24E9C"/>
    <w:rPr>
      <w:vertAlign w:val="superscript"/>
    </w:rPr>
  </w:style>
  <w:style w:type="character" w:styleId="CommentReference">
    <w:name w:val="annotation reference"/>
    <w:basedOn w:val="DefaultParagraphFont"/>
    <w:uiPriority w:val="99"/>
    <w:semiHidden/>
    <w:unhideWhenUsed/>
    <w:rsid w:val="00421512"/>
    <w:rPr>
      <w:sz w:val="16"/>
      <w:szCs w:val="16"/>
    </w:rPr>
  </w:style>
  <w:style w:type="paragraph" w:styleId="CommentText">
    <w:name w:val="annotation text"/>
    <w:basedOn w:val="Normal"/>
    <w:link w:val="CommentTextChar"/>
    <w:uiPriority w:val="99"/>
    <w:semiHidden/>
    <w:unhideWhenUsed/>
    <w:rsid w:val="00421512"/>
    <w:rPr>
      <w:sz w:val="20"/>
      <w:szCs w:val="20"/>
    </w:rPr>
  </w:style>
  <w:style w:type="character" w:customStyle="1" w:styleId="CommentTextChar">
    <w:name w:val="Comment Text Char"/>
    <w:basedOn w:val="DefaultParagraphFont"/>
    <w:link w:val="CommentText"/>
    <w:uiPriority w:val="99"/>
    <w:semiHidden/>
    <w:rsid w:val="00421512"/>
    <w:rPr>
      <w:sz w:val="20"/>
      <w:szCs w:val="20"/>
    </w:rPr>
  </w:style>
  <w:style w:type="paragraph" w:styleId="CommentSubject">
    <w:name w:val="annotation subject"/>
    <w:basedOn w:val="CommentText"/>
    <w:next w:val="CommentText"/>
    <w:link w:val="CommentSubjectChar"/>
    <w:uiPriority w:val="99"/>
    <w:semiHidden/>
    <w:unhideWhenUsed/>
    <w:rsid w:val="00421512"/>
    <w:rPr>
      <w:b/>
      <w:bCs/>
    </w:rPr>
  </w:style>
  <w:style w:type="character" w:customStyle="1" w:styleId="CommentSubjectChar">
    <w:name w:val="Comment Subject Char"/>
    <w:basedOn w:val="CommentTextChar"/>
    <w:link w:val="CommentSubject"/>
    <w:uiPriority w:val="99"/>
    <w:semiHidden/>
    <w:rsid w:val="00421512"/>
    <w:rPr>
      <w:b/>
      <w:bCs/>
      <w:sz w:val="20"/>
      <w:szCs w:val="20"/>
    </w:rPr>
  </w:style>
  <w:style w:type="paragraph" w:styleId="BalloonText">
    <w:name w:val="Balloon Text"/>
    <w:basedOn w:val="Normal"/>
    <w:link w:val="BalloonTextChar"/>
    <w:uiPriority w:val="99"/>
    <w:semiHidden/>
    <w:unhideWhenUsed/>
    <w:rsid w:val="00421512"/>
    <w:rPr>
      <w:rFonts w:ascii="Tahoma" w:hAnsi="Tahoma" w:cs="Tahoma"/>
      <w:sz w:val="16"/>
      <w:szCs w:val="16"/>
    </w:rPr>
  </w:style>
  <w:style w:type="character" w:customStyle="1" w:styleId="BalloonTextChar">
    <w:name w:val="Balloon Text Char"/>
    <w:basedOn w:val="DefaultParagraphFont"/>
    <w:link w:val="BalloonText"/>
    <w:uiPriority w:val="99"/>
    <w:semiHidden/>
    <w:rsid w:val="00421512"/>
    <w:rPr>
      <w:rFonts w:ascii="Tahoma" w:hAnsi="Tahoma" w:cs="Tahoma"/>
      <w:sz w:val="16"/>
      <w:szCs w:val="16"/>
    </w:rPr>
  </w:style>
  <w:style w:type="paragraph" w:styleId="Header">
    <w:name w:val="header"/>
    <w:basedOn w:val="Normal"/>
    <w:link w:val="HeaderChar"/>
    <w:uiPriority w:val="99"/>
    <w:unhideWhenUsed/>
    <w:rsid w:val="001153B2"/>
    <w:pPr>
      <w:tabs>
        <w:tab w:val="center" w:pos="4680"/>
        <w:tab w:val="right" w:pos="9360"/>
      </w:tabs>
    </w:pPr>
  </w:style>
  <w:style w:type="character" w:customStyle="1" w:styleId="HeaderChar">
    <w:name w:val="Header Char"/>
    <w:basedOn w:val="DefaultParagraphFont"/>
    <w:link w:val="Header"/>
    <w:uiPriority w:val="99"/>
    <w:rsid w:val="001153B2"/>
  </w:style>
  <w:style w:type="paragraph" w:styleId="Footer">
    <w:name w:val="footer"/>
    <w:basedOn w:val="Normal"/>
    <w:link w:val="FooterChar"/>
    <w:uiPriority w:val="99"/>
    <w:unhideWhenUsed/>
    <w:rsid w:val="001153B2"/>
    <w:pPr>
      <w:tabs>
        <w:tab w:val="center" w:pos="4680"/>
        <w:tab w:val="right" w:pos="9360"/>
      </w:tabs>
    </w:pPr>
  </w:style>
  <w:style w:type="character" w:customStyle="1" w:styleId="FooterChar">
    <w:name w:val="Footer Char"/>
    <w:basedOn w:val="DefaultParagraphFont"/>
    <w:link w:val="Footer"/>
    <w:uiPriority w:val="99"/>
    <w:rsid w:val="001153B2"/>
  </w:style>
  <w:style w:type="character" w:styleId="Hyperlink">
    <w:name w:val="Hyperlink"/>
    <w:basedOn w:val="DefaultParagraphFont"/>
    <w:uiPriority w:val="99"/>
    <w:unhideWhenUsed/>
    <w:rsid w:val="00D11040"/>
    <w:rPr>
      <w:color w:val="0000FF" w:themeColor="hyperlink"/>
      <w:u w:val="single"/>
    </w:rPr>
  </w:style>
  <w:style w:type="paragraph" w:styleId="ListParagraph">
    <w:name w:val="List Paragraph"/>
    <w:basedOn w:val="Normal"/>
    <w:uiPriority w:val="34"/>
    <w:qFormat/>
    <w:rsid w:val="00113C3F"/>
    <w:pPr>
      <w:ind w:left="720"/>
      <w:contextualSpacing/>
    </w:pPr>
  </w:style>
  <w:style w:type="paragraph" w:styleId="EndnoteText">
    <w:name w:val="endnote text"/>
    <w:basedOn w:val="Normal"/>
    <w:link w:val="EndnoteTextChar"/>
    <w:uiPriority w:val="99"/>
    <w:semiHidden/>
    <w:unhideWhenUsed/>
    <w:rsid w:val="00227540"/>
    <w:rPr>
      <w:sz w:val="20"/>
      <w:szCs w:val="20"/>
    </w:rPr>
  </w:style>
  <w:style w:type="character" w:customStyle="1" w:styleId="EndnoteTextChar">
    <w:name w:val="Endnote Text Char"/>
    <w:basedOn w:val="DefaultParagraphFont"/>
    <w:link w:val="EndnoteText"/>
    <w:uiPriority w:val="99"/>
    <w:semiHidden/>
    <w:rsid w:val="00227540"/>
    <w:rPr>
      <w:sz w:val="20"/>
      <w:szCs w:val="20"/>
    </w:rPr>
  </w:style>
  <w:style w:type="character" w:styleId="EndnoteReference">
    <w:name w:val="endnote reference"/>
    <w:basedOn w:val="DefaultParagraphFont"/>
    <w:uiPriority w:val="99"/>
    <w:semiHidden/>
    <w:unhideWhenUsed/>
    <w:rsid w:val="00227540"/>
    <w:rPr>
      <w:vertAlign w:val="superscript"/>
    </w:rPr>
  </w:style>
  <w:style w:type="paragraph" w:styleId="Revision">
    <w:name w:val="Revision"/>
    <w:hidden/>
    <w:uiPriority w:val="99"/>
    <w:semiHidden/>
    <w:rsid w:val="001A5E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6684</Characters>
  <Application>Microsoft Office Word</Application>
  <DocSecurity>0</DocSecurity>
  <Lines>88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2014-03-31T19:47:00Z</dcterms:created>
  <dcterms:modified xsi:type="dcterms:W3CDTF">2014-03-31T19:47:00Z</dcterms:modified>
  <cp:category> </cp:category>
  <cp:contentStatus> </cp:contentStatus>
</cp:coreProperties>
</file>