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E84C1" w14:textId="2C09710B" w:rsidR="006E4D4D" w:rsidRPr="00CC15A8" w:rsidRDefault="0050161C" w:rsidP="001F0E4A">
      <w:pPr>
        <w:spacing w:after="240"/>
        <w:jc w:val="center"/>
        <w:rPr>
          <w:rFonts w:cs="Times New Roman"/>
          <w:b/>
        </w:rPr>
      </w:pPr>
      <w:bookmarkStart w:id="0" w:name="_GoBack"/>
      <w:bookmarkEnd w:id="0"/>
      <w:r w:rsidRPr="00CC15A8">
        <w:rPr>
          <w:rFonts w:cs="Times New Roman"/>
          <w:b/>
        </w:rPr>
        <w:t xml:space="preserve">CONCURRING </w:t>
      </w:r>
      <w:r w:rsidR="001F0E4A" w:rsidRPr="00CC15A8">
        <w:rPr>
          <w:rFonts w:cs="Times New Roman"/>
          <w:b/>
        </w:rPr>
        <w:t>STATEMENT OF</w:t>
      </w:r>
      <w:r w:rsidR="00B30185" w:rsidRPr="00CC15A8">
        <w:rPr>
          <w:rFonts w:cs="Times New Roman"/>
          <w:b/>
        </w:rPr>
        <w:br/>
      </w:r>
      <w:r w:rsidR="006E4D4D" w:rsidRPr="00CC15A8">
        <w:rPr>
          <w:rFonts w:cs="Times New Roman"/>
          <w:b/>
        </w:rPr>
        <w:t>COMMISSIONER AJIT PAI</w:t>
      </w:r>
    </w:p>
    <w:p w14:paraId="7879BFF9" w14:textId="77777777" w:rsidR="00AB106C" w:rsidRPr="00CC15A8" w:rsidRDefault="00AB106C" w:rsidP="00AB106C">
      <w:pPr>
        <w:spacing w:after="0"/>
        <w:rPr>
          <w:rFonts w:cs="Times New Roman"/>
          <w:i/>
        </w:rPr>
      </w:pPr>
      <w:r w:rsidRPr="00CC15A8">
        <w:rPr>
          <w:rFonts w:cs="Times New Roman"/>
        </w:rPr>
        <w:t>Re:</w:t>
      </w:r>
      <w:r w:rsidRPr="00CC15A8">
        <w:rPr>
          <w:rFonts w:cs="Times New Roman"/>
        </w:rPr>
        <w:tab/>
      </w:r>
      <w:r w:rsidRPr="00CC15A8">
        <w:rPr>
          <w:rFonts w:cs="Times New Roman"/>
          <w:i/>
        </w:rPr>
        <w:t xml:space="preserve">Amendment of the Commission’s Rules with Regard to Commercial Operations in the </w:t>
      </w:r>
    </w:p>
    <w:p w14:paraId="71C69A55" w14:textId="64814159" w:rsidR="00AB106C" w:rsidRPr="00CC15A8" w:rsidRDefault="00AB106C" w:rsidP="00AB106C">
      <w:pPr>
        <w:spacing w:after="0"/>
        <w:rPr>
          <w:rFonts w:cs="Times New Roman"/>
        </w:rPr>
      </w:pPr>
      <w:r w:rsidRPr="00CC15A8">
        <w:rPr>
          <w:rFonts w:cs="Times New Roman"/>
          <w:i/>
        </w:rPr>
        <w:tab/>
        <w:t>3550-3650 MHz Band</w:t>
      </w:r>
      <w:r w:rsidRPr="00CC15A8">
        <w:rPr>
          <w:rFonts w:cs="Times New Roman"/>
        </w:rPr>
        <w:t>, Further Notice of Proposed Rulemaking, GN Docket No. 12-354</w:t>
      </w:r>
    </w:p>
    <w:p w14:paraId="5520C062" w14:textId="77777777" w:rsidR="00AB106C" w:rsidRPr="00CC15A8" w:rsidRDefault="00AB106C" w:rsidP="00AB106C">
      <w:pPr>
        <w:spacing w:after="0"/>
        <w:rPr>
          <w:rFonts w:cs="Times New Roman"/>
        </w:rPr>
      </w:pPr>
    </w:p>
    <w:p w14:paraId="1CB59011" w14:textId="5EDCBD94" w:rsidR="00D007F5" w:rsidRPr="00CC15A8" w:rsidRDefault="003B28A2" w:rsidP="005A2B70">
      <w:pPr>
        <w:ind w:firstLine="720"/>
        <w:rPr>
          <w:rFonts w:cs="Times New Roman"/>
        </w:rPr>
      </w:pPr>
      <w:r w:rsidRPr="00CC15A8">
        <w:rPr>
          <w:rFonts w:cs="Times New Roman"/>
        </w:rPr>
        <w:t>To those familiar with spectrum policy, it should be no surprise that federal incumbents aren’t the most efficient users.  T</w:t>
      </w:r>
      <w:r w:rsidR="0050161C" w:rsidRPr="00CC15A8">
        <w:rPr>
          <w:rFonts w:cs="Times New Roman"/>
        </w:rPr>
        <w:t>he 3.5 GHz band is</w:t>
      </w:r>
      <w:r w:rsidR="00563C7E" w:rsidRPr="00CC15A8">
        <w:rPr>
          <w:rFonts w:cs="Times New Roman"/>
        </w:rPr>
        <w:t xml:space="preserve"> a</w:t>
      </w:r>
      <w:r w:rsidR="0050161C" w:rsidRPr="00CC15A8">
        <w:rPr>
          <w:rFonts w:cs="Times New Roman"/>
        </w:rPr>
        <w:t xml:space="preserve"> </w:t>
      </w:r>
      <w:r w:rsidRPr="00CC15A8">
        <w:rPr>
          <w:rFonts w:cs="Times New Roman"/>
        </w:rPr>
        <w:t>case in point—relatively minor use of that band along the nation’s coasts has left the majority of this spectrum under-utilized for decades.  Now it’s time to put it to work for consumers</w:t>
      </w:r>
      <w:r w:rsidR="0050161C" w:rsidRPr="00CC15A8">
        <w:rPr>
          <w:rFonts w:cs="Times New Roman"/>
        </w:rPr>
        <w:t xml:space="preserve">.  As </w:t>
      </w:r>
      <w:r w:rsidR="00D007F5" w:rsidRPr="00CC15A8">
        <w:rPr>
          <w:rFonts w:cs="Times New Roman"/>
        </w:rPr>
        <w:t xml:space="preserve">I </w:t>
      </w:r>
      <w:r w:rsidR="00BF18EA" w:rsidRPr="00CC15A8">
        <w:rPr>
          <w:rFonts w:cs="Times New Roman"/>
        </w:rPr>
        <w:t xml:space="preserve">observed </w:t>
      </w:r>
      <w:r w:rsidR="0050161C" w:rsidRPr="00CC15A8">
        <w:rPr>
          <w:rFonts w:cs="Times New Roman"/>
        </w:rPr>
        <w:t>when we launched this proceeding,</w:t>
      </w:r>
      <w:r w:rsidR="00B30185" w:rsidRPr="00CC15A8">
        <w:rPr>
          <w:rStyle w:val="FootnoteReference"/>
          <w:rFonts w:cs="Times New Roman"/>
        </w:rPr>
        <w:footnoteReference w:id="1"/>
      </w:r>
      <w:r w:rsidR="00C55C5F" w:rsidRPr="00CC15A8">
        <w:rPr>
          <w:rFonts w:cs="Times New Roman"/>
        </w:rPr>
        <w:t xml:space="preserve"> </w:t>
      </w:r>
      <w:r w:rsidR="00EF50FC" w:rsidRPr="00CC15A8">
        <w:rPr>
          <w:rFonts w:cs="Times New Roman"/>
        </w:rPr>
        <w:t xml:space="preserve">a simple test must guide </w:t>
      </w:r>
      <w:r w:rsidR="00D007F5" w:rsidRPr="00CC15A8">
        <w:rPr>
          <w:rFonts w:cs="Times New Roman"/>
        </w:rPr>
        <w:t xml:space="preserve">our approach:  </w:t>
      </w:r>
      <w:r w:rsidR="00F26718" w:rsidRPr="00CC15A8">
        <w:rPr>
          <w:rFonts w:cs="Times New Roman"/>
        </w:rPr>
        <w:t>W</w:t>
      </w:r>
      <w:r w:rsidR="00D007F5" w:rsidRPr="00CC15A8">
        <w:rPr>
          <w:rFonts w:cs="Times New Roman"/>
        </w:rPr>
        <w:t xml:space="preserve">hat works?  Can our proposals for the 3.5 GHz band be implemented in the real world?  Can consumer products be brought to market in a timely manner?  We </w:t>
      </w:r>
      <w:r w:rsidR="00E734D1" w:rsidRPr="00CC15A8">
        <w:rPr>
          <w:rFonts w:cs="Times New Roman"/>
        </w:rPr>
        <w:t>must</w:t>
      </w:r>
      <w:r w:rsidR="00D007F5" w:rsidRPr="00CC15A8">
        <w:rPr>
          <w:rFonts w:cs="Times New Roman"/>
        </w:rPr>
        <w:t xml:space="preserve"> approach the 3.5 GHz band from a practical perspective, not merely a theo</w:t>
      </w:r>
      <w:r w:rsidR="00677FAC" w:rsidRPr="00CC15A8">
        <w:rPr>
          <w:rFonts w:cs="Times New Roman"/>
        </w:rPr>
        <w:t>retical one.</w:t>
      </w:r>
    </w:p>
    <w:p w14:paraId="18201C6B" w14:textId="2A7B42DD" w:rsidR="000920C5" w:rsidRPr="00CC15A8" w:rsidRDefault="00D421FD" w:rsidP="00BE0BB5">
      <w:pPr>
        <w:ind w:firstLine="720"/>
        <w:rPr>
          <w:rFonts w:cs="Times New Roman"/>
        </w:rPr>
      </w:pPr>
      <w:r w:rsidRPr="00CC15A8">
        <w:rPr>
          <w:rFonts w:cs="Times New Roman"/>
        </w:rPr>
        <w:t xml:space="preserve">When viewed through this lens, today’s item is a mixed bag, and I therefore will be voting to concur.  </w:t>
      </w:r>
      <w:r w:rsidR="00515AF3" w:rsidRPr="00CC15A8">
        <w:rPr>
          <w:rFonts w:cs="Times New Roman"/>
        </w:rPr>
        <w:t xml:space="preserve">I am pleased that </w:t>
      </w:r>
      <w:r w:rsidRPr="00CC15A8">
        <w:rPr>
          <w:rFonts w:cs="Times New Roman"/>
        </w:rPr>
        <w:t>our proposals have improved in some respects over the course of the last sixteen months.</w:t>
      </w:r>
      <w:r w:rsidR="00A71D32" w:rsidRPr="00CC15A8">
        <w:rPr>
          <w:rFonts w:cs="Times New Roman"/>
        </w:rPr>
        <w:t xml:space="preserve">  For example, </w:t>
      </w:r>
      <w:r w:rsidR="000E662A" w:rsidRPr="00CC15A8">
        <w:rPr>
          <w:rFonts w:cs="Times New Roman"/>
        </w:rPr>
        <w:t xml:space="preserve">while </w:t>
      </w:r>
      <w:r w:rsidR="00A71D32" w:rsidRPr="00CC15A8">
        <w:rPr>
          <w:rFonts w:cs="Times New Roman"/>
        </w:rPr>
        <w:t xml:space="preserve">the 2012 NPRM proposed that the Commission </w:t>
      </w:r>
      <w:r w:rsidR="000920C5" w:rsidRPr="00CC15A8">
        <w:rPr>
          <w:rFonts w:cs="Times New Roman"/>
        </w:rPr>
        <w:t xml:space="preserve">set aside the </w:t>
      </w:r>
      <w:r w:rsidR="00742FE4" w:rsidRPr="00CC15A8">
        <w:rPr>
          <w:rFonts w:cs="Times New Roman"/>
        </w:rPr>
        <w:t xml:space="preserve">entire category of </w:t>
      </w:r>
      <w:r w:rsidR="000920C5" w:rsidRPr="00CC15A8">
        <w:rPr>
          <w:rFonts w:cs="Times New Roman"/>
        </w:rPr>
        <w:t xml:space="preserve">tier two priority access authorizations for a </w:t>
      </w:r>
      <w:r w:rsidR="00A3408F" w:rsidRPr="00CC15A8">
        <w:rPr>
          <w:rFonts w:cs="Times New Roman"/>
        </w:rPr>
        <w:t xml:space="preserve">small and </w:t>
      </w:r>
      <w:r w:rsidR="000920C5" w:rsidRPr="00CC15A8">
        <w:rPr>
          <w:rFonts w:cs="Times New Roman"/>
        </w:rPr>
        <w:t>defined set of preferred users</w:t>
      </w:r>
      <w:r w:rsidR="000E662A" w:rsidRPr="00CC15A8">
        <w:rPr>
          <w:rFonts w:cs="Times New Roman"/>
        </w:rPr>
        <w:t>, t</w:t>
      </w:r>
      <w:r w:rsidR="000920C5" w:rsidRPr="00CC15A8">
        <w:rPr>
          <w:rFonts w:cs="Times New Roman"/>
        </w:rPr>
        <w:t>oday’s item</w:t>
      </w:r>
      <w:r w:rsidR="003C6771" w:rsidRPr="00CC15A8">
        <w:rPr>
          <w:rFonts w:cs="Times New Roman"/>
        </w:rPr>
        <w:t xml:space="preserve"> moves in a different direction.  </w:t>
      </w:r>
      <w:r w:rsidR="000E662A" w:rsidRPr="00CC15A8">
        <w:rPr>
          <w:rFonts w:cs="Times New Roman"/>
        </w:rPr>
        <w:t xml:space="preserve">It </w:t>
      </w:r>
      <w:r w:rsidR="0088069D" w:rsidRPr="00CC15A8">
        <w:rPr>
          <w:rFonts w:cs="Times New Roman"/>
        </w:rPr>
        <w:t xml:space="preserve">liberalizes access to the band </w:t>
      </w:r>
      <w:r w:rsidR="00A3408F" w:rsidRPr="00CC15A8">
        <w:rPr>
          <w:rFonts w:cs="Times New Roman"/>
        </w:rPr>
        <w:t xml:space="preserve">and proposes that any entity should be eligible to hold a priority access authorization.  The item finds that </w:t>
      </w:r>
      <w:r w:rsidR="000920C5" w:rsidRPr="00CC15A8">
        <w:rPr>
          <w:rFonts w:cs="Times New Roman"/>
        </w:rPr>
        <w:t>open eligibility</w:t>
      </w:r>
      <w:r w:rsidR="000920C5" w:rsidRPr="00CC15A8">
        <w:t xml:space="preserve"> </w:t>
      </w:r>
      <w:r w:rsidR="000920C5" w:rsidRPr="00CC15A8">
        <w:rPr>
          <w:rFonts w:cs="Times New Roman"/>
        </w:rPr>
        <w:t>will promote more intensive use of the band and promote investment in new small cell technologies</w:t>
      </w:r>
      <w:r w:rsidR="00B24341" w:rsidRPr="00CC15A8">
        <w:rPr>
          <w:rFonts w:cs="Times New Roman"/>
        </w:rPr>
        <w:t xml:space="preserve"> that could make 3.5 GHz a success</w:t>
      </w:r>
      <w:r w:rsidR="000920C5" w:rsidRPr="00CC15A8">
        <w:rPr>
          <w:rFonts w:cs="Times New Roman"/>
        </w:rPr>
        <w:t>.  That’</w:t>
      </w:r>
      <w:r w:rsidR="00A3408F" w:rsidRPr="00CC15A8">
        <w:rPr>
          <w:rFonts w:cs="Times New Roman"/>
        </w:rPr>
        <w:t>s the right approach.</w:t>
      </w:r>
    </w:p>
    <w:p w14:paraId="4408CAC0" w14:textId="573B671A" w:rsidR="00B56BF4" w:rsidRPr="00CC15A8" w:rsidRDefault="009D618E" w:rsidP="00515AF3">
      <w:pPr>
        <w:ind w:firstLine="720"/>
        <w:rPr>
          <w:rFonts w:cs="Times New Roman"/>
        </w:rPr>
      </w:pPr>
      <w:r w:rsidRPr="00CC15A8">
        <w:rPr>
          <w:rFonts w:cs="Times New Roman"/>
        </w:rPr>
        <w:t xml:space="preserve">Unfortunately, </w:t>
      </w:r>
      <w:r w:rsidR="00407CF5" w:rsidRPr="00CC15A8">
        <w:rPr>
          <w:rFonts w:cs="Times New Roman"/>
        </w:rPr>
        <w:t xml:space="preserve">much of this item is “déjà vu all over again” </w:t>
      </w:r>
      <w:r w:rsidR="007E49BD" w:rsidRPr="00CC15A8">
        <w:rPr>
          <w:rFonts w:cs="Times New Roman"/>
        </w:rPr>
        <w:t xml:space="preserve">as Yogi Berra once put it, </w:t>
      </w:r>
      <w:r w:rsidR="00407CF5" w:rsidRPr="00CC15A8">
        <w:rPr>
          <w:rFonts w:cs="Times New Roman"/>
        </w:rPr>
        <w:t>and represents a disappointing lack of progress.</w:t>
      </w:r>
      <w:r w:rsidR="009D740F" w:rsidRPr="00CC15A8">
        <w:rPr>
          <w:rFonts w:cs="Times New Roman"/>
        </w:rPr>
        <w:t xml:space="preserve">  </w:t>
      </w:r>
      <w:r w:rsidR="00747D89" w:rsidRPr="00CC15A8">
        <w:rPr>
          <w:rFonts w:cs="Times New Roman"/>
        </w:rPr>
        <w:t>T</w:t>
      </w:r>
      <w:r w:rsidR="006E247A" w:rsidRPr="00CC15A8">
        <w:rPr>
          <w:rFonts w:cs="Times New Roman"/>
        </w:rPr>
        <w:t xml:space="preserve">he </w:t>
      </w:r>
      <w:r w:rsidR="00747D89" w:rsidRPr="00CC15A8">
        <w:rPr>
          <w:rFonts w:cs="Times New Roman"/>
        </w:rPr>
        <w:t xml:space="preserve">foremost problem involves </w:t>
      </w:r>
      <w:r w:rsidR="006E247A" w:rsidRPr="00CC15A8">
        <w:rPr>
          <w:rFonts w:cs="Times New Roman"/>
        </w:rPr>
        <w:t>exclusion zones.  Back in 2010</w:t>
      </w:r>
      <w:r w:rsidR="00E227E3" w:rsidRPr="00CC15A8">
        <w:rPr>
          <w:rFonts w:cs="Times New Roman"/>
        </w:rPr>
        <w:t xml:space="preserve">, when the National Telecommunications and Information Administration (NTIA) first identified the 3.5 GHz band for possible commercial use, the agency drew enormously large protection zones around </w:t>
      </w:r>
      <w:r w:rsidR="0053020F" w:rsidRPr="00CC15A8">
        <w:rPr>
          <w:rFonts w:cs="Times New Roman"/>
        </w:rPr>
        <w:t xml:space="preserve">the </w:t>
      </w:r>
      <w:r w:rsidR="00E227E3" w:rsidRPr="00CC15A8">
        <w:rPr>
          <w:rFonts w:cs="Times New Roman"/>
        </w:rPr>
        <w:t>federal incumbent users.</w:t>
      </w:r>
      <w:r w:rsidR="000E662A" w:rsidRPr="00CC15A8">
        <w:rPr>
          <w:rFonts w:cs="Times New Roman"/>
        </w:rPr>
        <w:t xml:space="preserve">  </w:t>
      </w:r>
      <w:r w:rsidR="00B56BF4" w:rsidRPr="00CC15A8">
        <w:rPr>
          <w:rFonts w:cs="Times New Roman"/>
        </w:rPr>
        <w:t xml:space="preserve">It </w:t>
      </w:r>
      <w:r w:rsidR="00515AF3" w:rsidRPr="00CC15A8">
        <w:rPr>
          <w:rFonts w:cs="Times New Roman"/>
        </w:rPr>
        <w:t xml:space="preserve">developed </w:t>
      </w:r>
      <w:r w:rsidR="00B56BF4" w:rsidRPr="00CC15A8">
        <w:rPr>
          <w:rFonts w:cs="Times New Roman"/>
        </w:rPr>
        <w:t>th</w:t>
      </w:r>
      <w:r w:rsidR="00B52CFD" w:rsidRPr="00CC15A8">
        <w:rPr>
          <w:rFonts w:cs="Times New Roman"/>
        </w:rPr>
        <w:t>e</w:t>
      </w:r>
      <w:r w:rsidR="00515AF3" w:rsidRPr="00CC15A8">
        <w:rPr>
          <w:rFonts w:cs="Times New Roman"/>
        </w:rPr>
        <w:t>se</w:t>
      </w:r>
      <w:r w:rsidR="00B52CFD" w:rsidRPr="00CC15A8">
        <w:rPr>
          <w:rFonts w:cs="Times New Roman"/>
        </w:rPr>
        <w:t xml:space="preserve"> zones based on its analysis and modeling of a spec</w:t>
      </w:r>
      <w:r w:rsidR="00B56BF4" w:rsidRPr="00CC15A8">
        <w:rPr>
          <w:rFonts w:cs="Times New Roman"/>
        </w:rPr>
        <w:t>ific type of commercial use</w:t>
      </w:r>
      <w:r w:rsidR="00B52CFD" w:rsidRPr="00CC15A8">
        <w:rPr>
          <w:rFonts w:cs="Times New Roman"/>
        </w:rPr>
        <w:t xml:space="preserve">—one that involved </w:t>
      </w:r>
      <w:r w:rsidR="00F37C77" w:rsidRPr="00CC15A8">
        <w:rPr>
          <w:rFonts w:cs="Times New Roman"/>
        </w:rPr>
        <w:t>high-power, high-site</w:t>
      </w:r>
      <w:r w:rsidR="00B56BF4" w:rsidRPr="00CC15A8">
        <w:rPr>
          <w:rFonts w:cs="Times New Roman"/>
        </w:rPr>
        <w:t>,</w:t>
      </w:r>
      <w:r w:rsidR="00B52CFD" w:rsidRPr="00CC15A8">
        <w:rPr>
          <w:rFonts w:cs="Times New Roman"/>
        </w:rPr>
        <w:t xml:space="preserve"> </w:t>
      </w:r>
      <w:r w:rsidR="00F37C77" w:rsidRPr="00CC15A8">
        <w:rPr>
          <w:rFonts w:cs="Times New Roman"/>
        </w:rPr>
        <w:t xml:space="preserve">macro-cell </w:t>
      </w:r>
      <w:r w:rsidR="00F815F3" w:rsidRPr="00CC15A8">
        <w:rPr>
          <w:rFonts w:cs="Times New Roman"/>
        </w:rPr>
        <w:t>deployments.</w:t>
      </w:r>
    </w:p>
    <w:p w14:paraId="21793A97" w14:textId="6D69B88E" w:rsidR="001B219D" w:rsidRPr="00CC15A8" w:rsidRDefault="00B56BF4" w:rsidP="009277CC">
      <w:pPr>
        <w:ind w:firstLine="720"/>
        <w:rPr>
          <w:rFonts w:cs="Times New Roman"/>
        </w:rPr>
      </w:pPr>
      <w:r w:rsidRPr="00CC15A8">
        <w:rPr>
          <w:rFonts w:cs="Times New Roman"/>
        </w:rPr>
        <w:t>In light of NTIA’s determination</w:t>
      </w:r>
      <w:r w:rsidR="000E662A" w:rsidRPr="00CC15A8">
        <w:rPr>
          <w:rFonts w:cs="Times New Roman"/>
        </w:rPr>
        <w:t xml:space="preserve">, </w:t>
      </w:r>
      <w:r w:rsidRPr="00CC15A8">
        <w:rPr>
          <w:rFonts w:cs="Times New Roman"/>
        </w:rPr>
        <w:t>our 2012 NPRM declined to pursue a macro-cell</w:t>
      </w:r>
      <w:r w:rsidR="00B52CFD" w:rsidRPr="00CC15A8">
        <w:rPr>
          <w:rFonts w:cs="Times New Roman"/>
        </w:rPr>
        <w:t xml:space="preserve"> </w:t>
      </w:r>
      <w:r w:rsidRPr="00CC15A8">
        <w:rPr>
          <w:rFonts w:cs="Times New Roman"/>
        </w:rPr>
        <w:t>approach for the 3.5 GHz band.  I</w:t>
      </w:r>
      <w:r w:rsidR="00F37C77" w:rsidRPr="00CC15A8">
        <w:rPr>
          <w:rFonts w:cs="Times New Roman"/>
        </w:rPr>
        <w:t>nstead</w:t>
      </w:r>
      <w:r w:rsidRPr="00CC15A8">
        <w:rPr>
          <w:rFonts w:cs="Times New Roman"/>
        </w:rPr>
        <w:t>, we</w:t>
      </w:r>
      <w:r w:rsidR="00F37C77" w:rsidRPr="00CC15A8">
        <w:rPr>
          <w:rFonts w:cs="Times New Roman"/>
        </w:rPr>
        <w:t xml:space="preserve"> sought comment on low-power, small cell deployments</w:t>
      </w:r>
      <w:r w:rsidRPr="00CC15A8">
        <w:rPr>
          <w:rFonts w:cs="Times New Roman"/>
        </w:rPr>
        <w:t>.</w:t>
      </w:r>
      <w:r w:rsidRPr="00CC15A8">
        <w:rPr>
          <w:rStyle w:val="FootnoteReference"/>
          <w:rFonts w:cs="Times New Roman"/>
        </w:rPr>
        <w:footnoteReference w:id="2"/>
      </w:r>
      <w:r w:rsidR="009277CC" w:rsidRPr="00CC15A8">
        <w:rPr>
          <w:rFonts w:cs="Times New Roman"/>
        </w:rPr>
        <w:t xml:space="preserve">  </w:t>
      </w:r>
      <w:r w:rsidR="00C42566" w:rsidRPr="00CC15A8">
        <w:rPr>
          <w:rFonts w:cs="Times New Roman"/>
        </w:rPr>
        <w:t>Because this kind of network architecture is vastly different from traditional deployments</w:t>
      </w:r>
      <w:r w:rsidR="007E49BD" w:rsidRPr="00CC15A8">
        <w:rPr>
          <w:rFonts w:cs="Times New Roman"/>
        </w:rPr>
        <w:t xml:space="preserve">, </w:t>
      </w:r>
      <w:r w:rsidR="00F37C77" w:rsidRPr="00CC15A8">
        <w:rPr>
          <w:rFonts w:cs="Times New Roman"/>
        </w:rPr>
        <w:t xml:space="preserve">we </w:t>
      </w:r>
      <w:r w:rsidR="00884A85" w:rsidRPr="00CC15A8">
        <w:rPr>
          <w:rFonts w:cs="Times New Roman"/>
        </w:rPr>
        <w:t xml:space="preserve">noted </w:t>
      </w:r>
      <w:r w:rsidR="001B219D" w:rsidRPr="00CC15A8">
        <w:rPr>
          <w:rFonts w:cs="Times New Roman"/>
        </w:rPr>
        <w:t xml:space="preserve">that some </w:t>
      </w:r>
      <w:r w:rsidR="009277CC" w:rsidRPr="00CC15A8">
        <w:rPr>
          <w:rFonts w:cs="Times New Roman"/>
        </w:rPr>
        <w:t xml:space="preserve">key </w:t>
      </w:r>
      <w:r w:rsidR="001B219D" w:rsidRPr="00CC15A8">
        <w:rPr>
          <w:rFonts w:cs="Times New Roman"/>
        </w:rPr>
        <w:t>NTIA assumptions would “not apply and would need to be revisited.”</w:t>
      </w:r>
      <w:r w:rsidR="001B219D" w:rsidRPr="00CC15A8">
        <w:rPr>
          <w:rStyle w:val="FootnoteReference"/>
          <w:rFonts w:cs="Times New Roman"/>
        </w:rPr>
        <w:footnoteReference w:id="3"/>
      </w:r>
      <w:r w:rsidR="001B219D" w:rsidRPr="00CC15A8">
        <w:rPr>
          <w:rFonts w:cs="Times New Roman"/>
        </w:rPr>
        <w:t xml:space="preserve">  </w:t>
      </w:r>
      <w:r w:rsidR="005F555D" w:rsidRPr="00CC15A8">
        <w:rPr>
          <w:rFonts w:cs="Times New Roman"/>
        </w:rPr>
        <w:t>We indicated our view that those 2010 exclusion zones could be reduced significantly</w:t>
      </w:r>
      <w:r w:rsidR="006465FC" w:rsidRPr="00CC15A8">
        <w:rPr>
          <w:rFonts w:cs="Times New Roman"/>
        </w:rPr>
        <w:t xml:space="preserve"> in light of our small cell proposal</w:t>
      </w:r>
      <w:r w:rsidR="009277CC" w:rsidRPr="00CC15A8">
        <w:rPr>
          <w:rFonts w:cs="Times New Roman"/>
        </w:rPr>
        <w:t xml:space="preserve">. </w:t>
      </w:r>
      <w:r w:rsidR="005F555D" w:rsidRPr="00CC15A8">
        <w:rPr>
          <w:rFonts w:cs="Times New Roman"/>
        </w:rPr>
        <w:t xml:space="preserve"> </w:t>
      </w:r>
      <w:r w:rsidR="009277CC" w:rsidRPr="00CC15A8">
        <w:rPr>
          <w:rFonts w:cs="Times New Roman"/>
        </w:rPr>
        <w:t>A</w:t>
      </w:r>
      <w:r w:rsidR="005F555D" w:rsidRPr="00CC15A8">
        <w:rPr>
          <w:rFonts w:cs="Times New Roman"/>
        </w:rPr>
        <w:t xml:space="preserve">nd we asked commenters to perform and provide </w:t>
      </w:r>
      <w:r w:rsidR="006465FC" w:rsidRPr="00CC15A8">
        <w:rPr>
          <w:rFonts w:cs="Times New Roman"/>
        </w:rPr>
        <w:t xml:space="preserve">the </w:t>
      </w:r>
      <w:r w:rsidR="005F555D" w:rsidRPr="00CC15A8">
        <w:rPr>
          <w:rFonts w:cs="Times New Roman"/>
        </w:rPr>
        <w:t xml:space="preserve">technical </w:t>
      </w:r>
      <w:r w:rsidR="00856B82" w:rsidRPr="00CC15A8">
        <w:rPr>
          <w:rFonts w:cs="Times New Roman"/>
        </w:rPr>
        <w:t>analyse</w:t>
      </w:r>
      <w:r w:rsidR="005F555D" w:rsidRPr="00CC15A8">
        <w:rPr>
          <w:rFonts w:cs="Times New Roman"/>
        </w:rPr>
        <w:t>s</w:t>
      </w:r>
      <w:r w:rsidR="006465FC" w:rsidRPr="00CC15A8">
        <w:rPr>
          <w:rFonts w:cs="Times New Roman"/>
        </w:rPr>
        <w:t xml:space="preserve"> that would be necessary to do so</w:t>
      </w:r>
      <w:r w:rsidR="005F555D" w:rsidRPr="00CC15A8">
        <w:rPr>
          <w:rFonts w:cs="Times New Roman"/>
        </w:rPr>
        <w:t>.</w:t>
      </w:r>
      <w:r w:rsidR="00884A85" w:rsidRPr="00CC15A8">
        <w:rPr>
          <w:rStyle w:val="FootnoteReference"/>
          <w:rFonts w:cs="Times New Roman"/>
        </w:rPr>
        <w:footnoteReference w:id="4"/>
      </w:r>
    </w:p>
    <w:p w14:paraId="3583FD6E" w14:textId="4DA5AE3F" w:rsidR="00A10EF7" w:rsidRPr="00CC15A8" w:rsidRDefault="00BF18EA" w:rsidP="00B52CFD">
      <w:pPr>
        <w:ind w:firstLine="720"/>
        <w:rPr>
          <w:rFonts w:cs="Times New Roman"/>
        </w:rPr>
      </w:pPr>
      <w:r w:rsidRPr="00CC15A8">
        <w:rPr>
          <w:rFonts w:cs="Times New Roman"/>
        </w:rPr>
        <w:t>T</w:t>
      </w:r>
      <w:r w:rsidR="00CC676C" w:rsidRPr="00CC15A8">
        <w:rPr>
          <w:rFonts w:cs="Times New Roman"/>
        </w:rPr>
        <w:t>hey did</w:t>
      </w:r>
      <w:r w:rsidR="00BA45AD" w:rsidRPr="00CC15A8">
        <w:rPr>
          <w:rFonts w:cs="Times New Roman"/>
        </w:rPr>
        <w:t xml:space="preserve">.  </w:t>
      </w:r>
      <w:r w:rsidR="00CC676C" w:rsidRPr="00CC15A8">
        <w:rPr>
          <w:rFonts w:cs="Times New Roman"/>
        </w:rPr>
        <w:t>The private sector</w:t>
      </w:r>
      <w:r w:rsidR="000B7BD9" w:rsidRPr="00CC15A8">
        <w:rPr>
          <w:rFonts w:cs="Times New Roman"/>
        </w:rPr>
        <w:t xml:space="preserve"> </w:t>
      </w:r>
      <w:r w:rsidR="00A17895" w:rsidRPr="00CC15A8">
        <w:rPr>
          <w:rFonts w:cs="Times New Roman"/>
        </w:rPr>
        <w:t xml:space="preserve">took up the Commission’s </w:t>
      </w:r>
      <w:r w:rsidR="000B7BD9" w:rsidRPr="00CC15A8">
        <w:rPr>
          <w:rFonts w:cs="Times New Roman"/>
        </w:rPr>
        <w:t xml:space="preserve">call </w:t>
      </w:r>
      <w:r w:rsidR="00A17895" w:rsidRPr="00CC15A8">
        <w:rPr>
          <w:rFonts w:cs="Times New Roman"/>
        </w:rPr>
        <w:t xml:space="preserve">and </w:t>
      </w:r>
      <w:r w:rsidR="00BA45AD" w:rsidRPr="00CC15A8">
        <w:rPr>
          <w:rFonts w:cs="Times New Roman"/>
        </w:rPr>
        <w:t xml:space="preserve">supplied us </w:t>
      </w:r>
      <w:r w:rsidR="00A17895" w:rsidRPr="00CC15A8">
        <w:rPr>
          <w:rFonts w:cs="Times New Roman"/>
        </w:rPr>
        <w:t>with detailed and unchallenged technical analyses showing that NTIA’s 2010 exclu</w:t>
      </w:r>
      <w:r w:rsidR="000B7BD9" w:rsidRPr="00CC15A8">
        <w:rPr>
          <w:rFonts w:cs="Times New Roman"/>
        </w:rPr>
        <w:t xml:space="preserve">sion zones can be </w:t>
      </w:r>
      <w:r w:rsidR="00515AF3" w:rsidRPr="00CC15A8">
        <w:rPr>
          <w:rFonts w:cs="Times New Roman"/>
        </w:rPr>
        <w:t xml:space="preserve">dramatically </w:t>
      </w:r>
      <w:r w:rsidR="000B7BD9" w:rsidRPr="00CC15A8">
        <w:rPr>
          <w:rFonts w:cs="Times New Roman"/>
        </w:rPr>
        <w:t xml:space="preserve">reduced </w:t>
      </w:r>
      <w:r w:rsidR="005D3B36" w:rsidRPr="00CC15A8">
        <w:rPr>
          <w:rFonts w:cs="Times New Roman"/>
        </w:rPr>
        <w:t>for small cell deployments</w:t>
      </w:r>
      <w:r w:rsidR="00A17895" w:rsidRPr="00CC15A8">
        <w:rPr>
          <w:rFonts w:cs="Times New Roman"/>
        </w:rPr>
        <w:t>.</w:t>
      </w:r>
      <w:r w:rsidR="00A17895" w:rsidRPr="00CC15A8">
        <w:rPr>
          <w:rStyle w:val="FootnoteReference"/>
          <w:rFonts w:cs="Times New Roman"/>
        </w:rPr>
        <w:footnoteReference w:id="5"/>
      </w:r>
      <w:r w:rsidR="003706DC" w:rsidRPr="00CC15A8">
        <w:rPr>
          <w:rFonts w:cs="Times New Roman"/>
        </w:rPr>
        <w:t xml:space="preserve">  </w:t>
      </w:r>
      <w:r w:rsidR="00B24341" w:rsidRPr="00CC15A8">
        <w:rPr>
          <w:rFonts w:cs="Times New Roman"/>
        </w:rPr>
        <w:t xml:space="preserve">The </w:t>
      </w:r>
      <w:r w:rsidR="00A17895" w:rsidRPr="00CC15A8">
        <w:rPr>
          <w:rFonts w:cs="Times New Roman"/>
        </w:rPr>
        <w:t>calculations performed by Qualcomm have been particularly helpful.</w:t>
      </w:r>
      <w:r w:rsidR="00A10EF7" w:rsidRPr="00CC15A8">
        <w:rPr>
          <w:rFonts w:cs="Times New Roman"/>
        </w:rPr>
        <w:t xml:space="preserve">  </w:t>
      </w:r>
      <w:r w:rsidR="00B24341" w:rsidRPr="00CC15A8">
        <w:rPr>
          <w:rFonts w:cs="Times New Roman"/>
        </w:rPr>
        <w:lastRenderedPageBreak/>
        <w:t>They show</w:t>
      </w:r>
      <w:r w:rsidR="005A2B70" w:rsidRPr="00CC15A8">
        <w:rPr>
          <w:rFonts w:cs="Times New Roman"/>
        </w:rPr>
        <w:t xml:space="preserve"> </w:t>
      </w:r>
      <w:r w:rsidR="005D3B36" w:rsidRPr="00CC15A8">
        <w:rPr>
          <w:rFonts w:cs="Times New Roman"/>
        </w:rPr>
        <w:t xml:space="preserve">that </w:t>
      </w:r>
      <w:r w:rsidR="00A10EF7" w:rsidRPr="00CC15A8">
        <w:rPr>
          <w:rFonts w:cs="Times New Roman"/>
        </w:rPr>
        <w:t>NTIA’s exclusion zones</w:t>
      </w:r>
      <w:r w:rsidR="005D3B36" w:rsidRPr="00CC15A8">
        <w:rPr>
          <w:rFonts w:cs="Times New Roman"/>
        </w:rPr>
        <w:t>, which</w:t>
      </w:r>
      <w:r w:rsidR="00A10EF7" w:rsidRPr="00CC15A8">
        <w:rPr>
          <w:rFonts w:cs="Times New Roman"/>
        </w:rPr>
        <w:t xml:space="preserve"> reach</w:t>
      </w:r>
      <w:r w:rsidR="005D3B36" w:rsidRPr="00CC15A8">
        <w:rPr>
          <w:rFonts w:cs="Times New Roman"/>
        </w:rPr>
        <w:t>ed a maximum of 346 miles</w:t>
      </w:r>
      <w:r w:rsidR="00A10EF7" w:rsidRPr="00CC15A8">
        <w:rPr>
          <w:rFonts w:cs="Times New Roman"/>
        </w:rPr>
        <w:t xml:space="preserve">, </w:t>
      </w:r>
      <w:r w:rsidR="005D3B36" w:rsidRPr="00CC15A8">
        <w:rPr>
          <w:rFonts w:cs="Times New Roman"/>
        </w:rPr>
        <w:t xml:space="preserve">can </w:t>
      </w:r>
      <w:r w:rsidR="00A10EF7" w:rsidRPr="00CC15A8">
        <w:rPr>
          <w:rFonts w:cs="Times New Roman"/>
        </w:rPr>
        <w:t xml:space="preserve">be </w:t>
      </w:r>
      <w:r w:rsidR="006465FC" w:rsidRPr="00CC15A8">
        <w:rPr>
          <w:rFonts w:cs="Times New Roman"/>
        </w:rPr>
        <w:t>reduced to less than 10 miles</w:t>
      </w:r>
      <w:r w:rsidR="00B24341" w:rsidRPr="00CC15A8">
        <w:rPr>
          <w:rFonts w:cs="Times New Roman"/>
        </w:rPr>
        <w:t xml:space="preserve"> for small cell deployments</w:t>
      </w:r>
      <w:r w:rsidR="006465FC" w:rsidRPr="00CC15A8">
        <w:rPr>
          <w:rFonts w:cs="Times New Roman"/>
        </w:rPr>
        <w:t>.</w:t>
      </w:r>
      <w:r w:rsidR="006465FC" w:rsidRPr="00CC15A8">
        <w:rPr>
          <w:rStyle w:val="FootnoteReference"/>
          <w:rFonts w:cs="Times New Roman"/>
        </w:rPr>
        <w:footnoteReference w:id="6"/>
      </w:r>
    </w:p>
    <w:p w14:paraId="3C27E5EE" w14:textId="3E91B16A" w:rsidR="00462E08" w:rsidRPr="00CC15A8" w:rsidRDefault="00515AF3" w:rsidP="00462E08">
      <w:pPr>
        <w:ind w:firstLine="720"/>
        <w:rPr>
          <w:rFonts w:cs="Times New Roman"/>
        </w:rPr>
      </w:pPr>
      <w:r w:rsidRPr="00CC15A8">
        <w:rPr>
          <w:rFonts w:cs="Times New Roman"/>
        </w:rPr>
        <w:t>But unfortunately, the</w:t>
      </w:r>
      <w:r w:rsidR="006465FC" w:rsidRPr="00CC15A8">
        <w:rPr>
          <w:rFonts w:cs="Times New Roman"/>
        </w:rPr>
        <w:t xml:space="preserve"> FCC</w:t>
      </w:r>
      <w:r w:rsidR="000B6C29" w:rsidRPr="00CC15A8">
        <w:rPr>
          <w:rFonts w:cs="Times New Roman"/>
        </w:rPr>
        <w:t xml:space="preserve"> has not done its part</w:t>
      </w:r>
      <w:r w:rsidR="00AB3E22" w:rsidRPr="00CC15A8">
        <w:rPr>
          <w:rFonts w:cs="Times New Roman"/>
        </w:rPr>
        <w:t xml:space="preserve">.  </w:t>
      </w:r>
      <w:r w:rsidR="00D91CD8" w:rsidRPr="00CC15A8">
        <w:rPr>
          <w:rFonts w:cs="Times New Roman"/>
        </w:rPr>
        <w:t>Today’s</w:t>
      </w:r>
      <w:r w:rsidR="00742A8E" w:rsidRPr="00CC15A8">
        <w:rPr>
          <w:rFonts w:cs="Times New Roman"/>
        </w:rPr>
        <w:t xml:space="preserve"> </w:t>
      </w:r>
      <w:r w:rsidRPr="00CC15A8">
        <w:rPr>
          <w:rFonts w:cs="Times New Roman"/>
        </w:rPr>
        <w:t xml:space="preserve">item </w:t>
      </w:r>
      <w:r w:rsidR="00BA45AD" w:rsidRPr="00CC15A8">
        <w:rPr>
          <w:rFonts w:cs="Times New Roman"/>
        </w:rPr>
        <w:t xml:space="preserve">does not incorporate </w:t>
      </w:r>
      <w:r w:rsidR="00742A8E" w:rsidRPr="00CC15A8">
        <w:rPr>
          <w:rFonts w:cs="Times New Roman"/>
        </w:rPr>
        <w:t xml:space="preserve">the unrebutted technical evidence showing that the 2010 </w:t>
      </w:r>
      <w:r w:rsidR="00BA45AD" w:rsidRPr="00CC15A8">
        <w:rPr>
          <w:rFonts w:cs="Times New Roman"/>
        </w:rPr>
        <w:t xml:space="preserve">exclusion </w:t>
      </w:r>
      <w:r w:rsidR="00742A8E" w:rsidRPr="00CC15A8">
        <w:rPr>
          <w:rFonts w:cs="Times New Roman"/>
        </w:rPr>
        <w:t>zones can be dramatically reduced</w:t>
      </w:r>
      <w:r w:rsidR="00D91CD8" w:rsidRPr="00CC15A8">
        <w:rPr>
          <w:rFonts w:cs="Times New Roman"/>
        </w:rPr>
        <w:t xml:space="preserve"> while still protecting incumbent federal users</w:t>
      </w:r>
      <w:r w:rsidR="00742A8E" w:rsidRPr="00CC15A8">
        <w:rPr>
          <w:rFonts w:cs="Times New Roman"/>
        </w:rPr>
        <w:t>—evidence we as</w:t>
      </w:r>
      <w:r w:rsidR="00D91CD8" w:rsidRPr="00CC15A8">
        <w:rPr>
          <w:rFonts w:cs="Times New Roman"/>
        </w:rPr>
        <w:t>ked parties to submit</w:t>
      </w:r>
      <w:r w:rsidR="00462E08" w:rsidRPr="00CC15A8">
        <w:rPr>
          <w:rFonts w:cs="Times New Roman"/>
        </w:rPr>
        <w:t xml:space="preserve">.  In fact, the </w:t>
      </w:r>
      <w:r w:rsidRPr="00CC15A8">
        <w:rPr>
          <w:rFonts w:cs="Times New Roman"/>
        </w:rPr>
        <w:t xml:space="preserve">Commission </w:t>
      </w:r>
      <w:r w:rsidR="00D91CD8" w:rsidRPr="00CC15A8">
        <w:rPr>
          <w:rFonts w:cs="Times New Roman"/>
        </w:rPr>
        <w:t>refuses even t</w:t>
      </w:r>
      <w:r w:rsidR="00856B82" w:rsidRPr="00CC15A8">
        <w:rPr>
          <w:rFonts w:cs="Times New Roman"/>
        </w:rPr>
        <w:t>o seek comment on that analys</w:t>
      </w:r>
      <w:r w:rsidRPr="00CC15A8">
        <w:rPr>
          <w:rFonts w:cs="Times New Roman"/>
        </w:rPr>
        <w:t>i</w:t>
      </w:r>
      <w:r w:rsidR="00D91CD8" w:rsidRPr="00CC15A8">
        <w:rPr>
          <w:rFonts w:cs="Times New Roman"/>
        </w:rPr>
        <w:t>s</w:t>
      </w:r>
      <w:r w:rsidR="00CC676C" w:rsidRPr="00CC15A8">
        <w:rPr>
          <w:rFonts w:cs="Times New Roman"/>
        </w:rPr>
        <w:t xml:space="preserve"> and</w:t>
      </w:r>
      <w:r w:rsidR="003D50A6" w:rsidRPr="00CC15A8">
        <w:rPr>
          <w:rFonts w:cs="Times New Roman"/>
        </w:rPr>
        <w:t xml:space="preserve"> simply propose</w:t>
      </w:r>
      <w:r w:rsidR="00BA45AD" w:rsidRPr="00CC15A8">
        <w:rPr>
          <w:rFonts w:cs="Times New Roman"/>
        </w:rPr>
        <w:t>s</w:t>
      </w:r>
      <w:r w:rsidR="003D50A6" w:rsidRPr="00CC15A8">
        <w:rPr>
          <w:rFonts w:cs="Times New Roman"/>
        </w:rPr>
        <w:t xml:space="preserve"> to codify the 2010 exclusion zones.  </w:t>
      </w:r>
      <w:r w:rsidR="00462E08" w:rsidRPr="00CC15A8">
        <w:rPr>
          <w:rFonts w:cs="Times New Roman"/>
        </w:rPr>
        <w:t xml:space="preserve">Instead of </w:t>
      </w:r>
      <w:r w:rsidR="005D3B36" w:rsidRPr="00CC15A8">
        <w:rPr>
          <w:rFonts w:cs="Times New Roman"/>
        </w:rPr>
        <w:t xml:space="preserve">going </w:t>
      </w:r>
      <w:r w:rsidRPr="00CC15A8">
        <w:rPr>
          <w:rFonts w:cs="Times New Roman"/>
        </w:rPr>
        <w:t xml:space="preserve">where the </w:t>
      </w:r>
      <w:r w:rsidR="0005412A" w:rsidRPr="00CC15A8">
        <w:rPr>
          <w:rFonts w:cs="Times New Roman"/>
        </w:rPr>
        <w:t xml:space="preserve">facts </w:t>
      </w:r>
      <w:r w:rsidRPr="00CC15A8">
        <w:rPr>
          <w:rFonts w:cs="Times New Roman"/>
        </w:rPr>
        <w:t>take us</w:t>
      </w:r>
      <w:r w:rsidR="00462E08" w:rsidRPr="00CC15A8">
        <w:rPr>
          <w:rFonts w:cs="Times New Roman"/>
        </w:rPr>
        <w:t xml:space="preserve">, the </w:t>
      </w:r>
      <w:r w:rsidRPr="00CC15A8">
        <w:rPr>
          <w:rFonts w:cs="Times New Roman"/>
        </w:rPr>
        <w:t xml:space="preserve">Commission </w:t>
      </w:r>
      <w:r w:rsidR="000E31DF" w:rsidRPr="00CC15A8">
        <w:rPr>
          <w:rFonts w:cs="Times New Roman"/>
        </w:rPr>
        <w:t>double downs on where they don’t</w:t>
      </w:r>
      <w:r w:rsidR="003D50A6" w:rsidRPr="00CC15A8">
        <w:rPr>
          <w:rFonts w:cs="Times New Roman"/>
        </w:rPr>
        <w:t xml:space="preserve">.  </w:t>
      </w:r>
      <w:r w:rsidR="00462E08" w:rsidRPr="00CC15A8">
        <w:rPr>
          <w:rFonts w:cs="Times New Roman"/>
        </w:rPr>
        <w:t xml:space="preserve">To be clear, the </w:t>
      </w:r>
      <w:r w:rsidR="00407CF5" w:rsidRPr="00CC15A8">
        <w:rPr>
          <w:rFonts w:cs="Times New Roman"/>
        </w:rPr>
        <w:t xml:space="preserve">Commission </w:t>
      </w:r>
      <w:r w:rsidR="00462E08" w:rsidRPr="00CC15A8">
        <w:rPr>
          <w:rFonts w:cs="Times New Roman"/>
        </w:rPr>
        <w:t xml:space="preserve">does not simply seek </w:t>
      </w:r>
      <w:r w:rsidR="005D3B36" w:rsidRPr="00CC15A8">
        <w:rPr>
          <w:rFonts w:cs="Times New Roman"/>
        </w:rPr>
        <w:t>comment on this issue</w:t>
      </w:r>
      <w:r w:rsidR="00910CDB" w:rsidRPr="00CC15A8">
        <w:rPr>
          <w:rFonts w:cs="Times New Roman"/>
        </w:rPr>
        <w:t xml:space="preserve">.  </w:t>
      </w:r>
      <w:r w:rsidR="00CC676C" w:rsidRPr="00CC15A8">
        <w:rPr>
          <w:rFonts w:cs="Times New Roman"/>
        </w:rPr>
        <w:t xml:space="preserve">It </w:t>
      </w:r>
      <w:r w:rsidR="00910CDB" w:rsidRPr="00CC15A8">
        <w:rPr>
          <w:rFonts w:cs="Times New Roman"/>
        </w:rPr>
        <w:t>propose</w:t>
      </w:r>
      <w:r w:rsidR="00CC676C" w:rsidRPr="00CC15A8">
        <w:rPr>
          <w:rFonts w:cs="Times New Roman"/>
        </w:rPr>
        <w:t>s</w:t>
      </w:r>
      <w:r w:rsidR="00910CDB" w:rsidRPr="00CC15A8">
        <w:rPr>
          <w:rFonts w:cs="Times New Roman"/>
        </w:rPr>
        <w:t xml:space="preserve"> to </w:t>
      </w:r>
      <w:r w:rsidR="00BF432A" w:rsidRPr="00CC15A8">
        <w:rPr>
          <w:rFonts w:cs="Times New Roman"/>
        </w:rPr>
        <w:t>adopt those zones as rules</w:t>
      </w:r>
      <w:r w:rsidR="00910CDB" w:rsidRPr="00CC15A8">
        <w:rPr>
          <w:rFonts w:cs="Times New Roman"/>
        </w:rPr>
        <w:t>.</w:t>
      </w:r>
    </w:p>
    <w:p w14:paraId="7961AEE2" w14:textId="683E8A88" w:rsidR="002F3895" w:rsidRPr="00CC15A8" w:rsidRDefault="00910CDB" w:rsidP="00910CDB">
      <w:pPr>
        <w:ind w:firstLine="720"/>
        <w:rPr>
          <w:rFonts w:cs="Times New Roman"/>
        </w:rPr>
      </w:pPr>
      <w:r w:rsidRPr="00CC15A8">
        <w:rPr>
          <w:rFonts w:cs="Times New Roman"/>
        </w:rPr>
        <w:t>T</w:t>
      </w:r>
      <w:r w:rsidR="004A0F3F" w:rsidRPr="00CC15A8">
        <w:rPr>
          <w:rFonts w:cs="Times New Roman"/>
        </w:rPr>
        <w:t xml:space="preserve">his is surprising </w:t>
      </w:r>
      <w:r w:rsidRPr="00CC15A8">
        <w:rPr>
          <w:rFonts w:cs="Times New Roman"/>
        </w:rPr>
        <w:t xml:space="preserve">for </w:t>
      </w:r>
      <w:r w:rsidR="00BF18EA" w:rsidRPr="00CC15A8">
        <w:rPr>
          <w:rFonts w:cs="Times New Roman"/>
        </w:rPr>
        <w:t xml:space="preserve">two basic </w:t>
      </w:r>
      <w:r w:rsidRPr="00CC15A8">
        <w:rPr>
          <w:rFonts w:cs="Times New Roman"/>
        </w:rPr>
        <w:t xml:space="preserve">reasons.  First, </w:t>
      </w:r>
      <w:r w:rsidR="0005412A" w:rsidRPr="00CC15A8">
        <w:rPr>
          <w:rFonts w:cs="Times New Roman"/>
        </w:rPr>
        <w:t xml:space="preserve">I have yet to hear from </w:t>
      </w:r>
      <w:r w:rsidR="00563C7E" w:rsidRPr="00CC15A8">
        <w:rPr>
          <w:rFonts w:cs="Times New Roman"/>
        </w:rPr>
        <w:t>anyone</w:t>
      </w:r>
      <w:r w:rsidR="0005412A" w:rsidRPr="00CC15A8">
        <w:rPr>
          <w:rFonts w:cs="Times New Roman"/>
        </w:rPr>
        <w:t xml:space="preserve"> who </w:t>
      </w:r>
      <w:r w:rsidRPr="00CC15A8">
        <w:rPr>
          <w:rFonts w:cs="Times New Roman"/>
        </w:rPr>
        <w:t>believe</w:t>
      </w:r>
      <w:r w:rsidR="0005412A" w:rsidRPr="00CC15A8">
        <w:rPr>
          <w:rFonts w:cs="Times New Roman"/>
        </w:rPr>
        <w:t xml:space="preserve">s </w:t>
      </w:r>
      <w:r w:rsidR="00BF18EA" w:rsidRPr="00CC15A8">
        <w:rPr>
          <w:rFonts w:cs="Times New Roman"/>
        </w:rPr>
        <w:t xml:space="preserve">NTIA’s </w:t>
      </w:r>
      <w:r w:rsidRPr="00CC15A8">
        <w:rPr>
          <w:rFonts w:cs="Times New Roman"/>
        </w:rPr>
        <w:t xml:space="preserve">2010 </w:t>
      </w:r>
      <w:r w:rsidR="00BF18EA" w:rsidRPr="00CC15A8">
        <w:rPr>
          <w:rFonts w:cs="Times New Roman"/>
        </w:rPr>
        <w:t xml:space="preserve">exclusion </w:t>
      </w:r>
      <w:r w:rsidRPr="00CC15A8">
        <w:rPr>
          <w:rFonts w:cs="Times New Roman"/>
        </w:rPr>
        <w:t>zones are appropriat</w:t>
      </w:r>
      <w:r w:rsidR="005D3B36" w:rsidRPr="00CC15A8">
        <w:rPr>
          <w:rFonts w:cs="Times New Roman"/>
        </w:rPr>
        <w:t xml:space="preserve">e for </w:t>
      </w:r>
      <w:r w:rsidR="00515AF3" w:rsidRPr="00CC15A8">
        <w:rPr>
          <w:rFonts w:cs="Times New Roman"/>
        </w:rPr>
        <w:t>the</w:t>
      </w:r>
      <w:r w:rsidR="00D74D79" w:rsidRPr="00CC15A8">
        <w:rPr>
          <w:rFonts w:cs="Times New Roman"/>
        </w:rPr>
        <w:t xml:space="preserve"> type of small cell uses we’re proposing for this</w:t>
      </w:r>
      <w:r w:rsidR="00515AF3" w:rsidRPr="00CC15A8">
        <w:rPr>
          <w:rFonts w:cs="Times New Roman"/>
        </w:rPr>
        <w:t xml:space="preserve"> band</w:t>
      </w:r>
      <w:r w:rsidRPr="00CC15A8">
        <w:rPr>
          <w:rFonts w:cs="Times New Roman"/>
        </w:rPr>
        <w:t xml:space="preserve">.  </w:t>
      </w:r>
      <w:r w:rsidR="00F328B6" w:rsidRPr="00CC15A8">
        <w:rPr>
          <w:rFonts w:cs="Times New Roman"/>
        </w:rPr>
        <w:t xml:space="preserve">Indeed, even </w:t>
      </w:r>
      <w:r w:rsidR="00BD1AEF" w:rsidRPr="00CC15A8">
        <w:rPr>
          <w:rFonts w:cs="Times New Roman"/>
        </w:rPr>
        <w:t>NTIA</w:t>
      </w:r>
      <w:r w:rsidR="00F328B6" w:rsidRPr="00CC15A8">
        <w:rPr>
          <w:rFonts w:cs="Times New Roman"/>
        </w:rPr>
        <w:t xml:space="preserve"> did not propose that the Commission adopt </w:t>
      </w:r>
      <w:r w:rsidR="00BF18EA" w:rsidRPr="00CC15A8">
        <w:rPr>
          <w:rFonts w:cs="Times New Roman"/>
        </w:rPr>
        <w:t xml:space="preserve">those </w:t>
      </w:r>
      <w:r w:rsidR="00F328B6" w:rsidRPr="00CC15A8">
        <w:rPr>
          <w:rFonts w:cs="Times New Roman"/>
        </w:rPr>
        <w:t xml:space="preserve">zones for small cell use cases.  Its Fast Track Report included the </w:t>
      </w:r>
      <w:r w:rsidR="004A0F3F" w:rsidRPr="00CC15A8">
        <w:rPr>
          <w:rFonts w:cs="Times New Roman"/>
        </w:rPr>
        <w:t xml:space="preserve">express </w:t>
      </w:r>
      <w:r w:rsidR="005E7025" w:rsidRPr="00CC15A8">
        <w:rPr>
          <w:rFonts w:cs="Times New Roman"/>
        </w:rPr>
        <w:t xml:space="preserve">caveat that </w:t>
      </w:r>
      <w:r w:rsidR="00D74D79" w:rsidRPr="00CC15A8">
        <w:rPr>
          <w:rFonts w:cs="Times New Roman"/>
        </w:rPr>
        <w:t xml:space="preserve">NTIA would </w:t>
      </w:r>
      <w:r w:rsidR="005E7025" w:rsidRPr="00CC15A8">
        <w:rPr>
          <w:rFonts w:cs="Times New Roman"/>
        </w:rPr>
        <w:t xml:space="preserve">“need to revise the analysis” </w:t>
      </w:r>
      <w:r w:rsidR="00D74D79" w:rsidRPr="00CC15A8">
        <w:rPr>
          <w:rFonts w:cs="Times New Roman"/>
        </w:rPr>
        <w:t xml:space="preserve">for any use case other </w:t>
      </w:r>
      <w:r w:rsidR="005E7025" w:rsidRPr="00CC15A8">
        <w:rPr>
          <w:rFonts w:cs="Times New Roman"/>
        </w:rPr>
        <w:t xml:space="preserve">than the high-power </w:t>
      </w:r>
      <w:r w:rsidR="00D74D79" w:rsidRPr="00CC15A8">
        <w:rPr>
          <w:rFonts w:cs="Times New Roman"/>
        </w:rPr>
        <w:t xml:space="preserve">one </w:t>
      </w:r>
      <w:r w:rsidR="005E7025" w:rsidRPr="00CC15A8">
        <w:rPr>
          <w:rFonts w:cs="Times New Roman"/>
        </w:rPr>
        <w:t>it studied.</w:t>
      </w:r>
      <w:r w:rsidR="005E7025" w:rsidRPr="00CC15A8">
        <w:rPr>
          <w:rStyle w:val="FootnoteReference"/>
          <w:rFonts w:cs="Times New Roman"/>
        </w:rPr>
        <w:footnoteReference w:id="7"/>
      </w:r>
      <w:r w:rsidR="00A10EF7" w:rsidRPr="00CC15A8">
        <w:rPr>
          <w:rFonts w:cs="Times New Roman"/>
        </w:rPr>
        <w:t xml:space="preserve">  </w:t>
      </w:r>
      <w:r w:rsidR="002A2FD0" w:rsidRPr="00CC15A8">
        <w:rPr>
          <w:rFonts w:cs="Times New Roman"/>
        </w:rPr>
        <w:t xml:space="preserve">Similarly, </w:t>
      </w:r>
      <w:r w:rsidR="002F3895" w:rsidRPr="00CC15A8">
        <w:rPr>
          <w:rFonts w:cs="Times New Roman"/>
        </w:rPr>
        <w:t>the 2012 PCAST Report</w:t>
      </w:r>
      <w:r w:rsidRPr="00CC15A8">
        <w:rPr>
          <w:rFonts w:cs="Times New Roman"/>
        </w:rPr>
        <w:t xml:space="preserve"> explained that </w:t>
      </w:r>
      <w:r w:rsidR="002F3895" w:rsidRPr="00CC15A8">
        <w:rPr>
          <w:rFonts w:cs="Times New Roman"/>
        </w:rPr>
        <w:t>those zones would be necessary for high-power, wide-area uses but conclude</w:t>
      </w:r>
      <w:r w:rsidR="00515AF3" w:rsidRPr="00CC15A8">
        <w:rPr>
          <w:rFonts w:cs="Times New Roman"/>
        </w:rPr>
        <w:t>d</w:t>
      </w:r>
      <w:r w:rsidR="002F3895" w:rsidRPr="00CC15A8">
        <w:rPr>
          <w:rFonts w:cs="Times New Roman"/>
        </w:rPr>
        <w:t xml:space="preserve"> that low-power uses greatly minimize the need for exclusion zones and could even eliminate them entirely.</w:t>
      </w:r>
      <w:r w:rsidR="002F3895" w:rsidRPr="00CC15A8">
        <w:rPr>
          <w:rStyle w:val="FootnoteReference"/>
          <w:rFonts w:cs="Times New Roman"/>
        </w:rPr>
        <w:footnoteReference w:id="8"/>
      </w:r>
    </w:p>
    <w:p w14:paraId="532471F4" w14:textId="07571439" w:rsidR="006E247A" w:rsidRPr="00CC15A8" w:rsidRDefault="00910CDB" w:rsidP="00BE0BB5">
      <w:pPr>
        <w:ind w:firstLine="720"/>
        <w:rPr>
          <w:rFonts w:cs="Times New Roman"/>
        </w:rPr>
      </w:pPr>
      <w:r w:rsidRPr="00CC15A8">
        <w:rPr>
          <w:rFonts w:cs="Times New Roman"/>
        </w:rPr>
        <w:t xml:space="preserve">Second, </w:t>
      </w:r>
      <w:r w:rsidR="003B3954" w:rsidRPr="00CC15A8">
        <w:rPr>
          <w:rFonts w:cs="Times New Roman"/>
        </w:rPr>
        <w:t>I have serious concerns about what the</w:t>
      </w:r>
      <w:r w:rsidR="00D74D79" w:rsidRPr="00CC15A8">
        <w:rPr>
          <w:rFonts w:cs="Times New Roman"/>
        </w:rPr>
        <w:t xml:space="preserve"> item’s</w:t>
      </w:r>
      <w:r w:rsidR="003B3954" w:rsidRPr="00CC15A8">
        <w:rPr>
          <w:rFonts w:cs="Times New Roman"/>
        </w:rPr>
        <w:t xml:space="preserve"> </w:t>
      </w:r>
      <w:r w:rsidR="002C54E6" w:rsidRPr="00CC15A8">
        <w:rPr>
          <w:rFonts w:cs="Times New Roman"/>
        </w:rPr>
        <w:t xml:space="preserve">proposed </w:t>
      </w:r>
      <w:r w:rsidR="003B3954" w:rsidRPr="00CC15A8">
        <w:rPr>
          <w:rFonts w:cs="Times New Roman"/>
        </w:rPr>
        <w:t>exclusion zone</w:t>
      </w:r>
      <w:r w:rsidR="002C54E6" w:rsidRPr="00CC15A8">
        <w:rPr>
          <w:rFonts w:cs="Times New Roman"/>
        </w:rPr>
        <w:t>s</w:t>
      </w:r>
      <w:r w:rsidR="003B3954" w:rsidRPr="00CC15A8">
        <w:rPr>
          <w:rFonts w:cs="Times New Roman"/>
        </w:rPr>
        <w:t xml:space="preserve"> mean for the success of the 3.5 GHz band.  I noted at the outset of this proceeding that a decision to adopt those zones would </w:t>
      </w:r>
      <w:r w:rsidR="00CC676C" w:rsidRPr="00CC15A8">
        <w:rPr>
          <w:rFonts w:cs="Times New Roman"/>
        </w:rPr>
        <w:t>mean that 60 percent of the U.S. population would be prohibited from using 3.5 GHz devices.  I explained that this was particularly troublesome because the substantial majority of spectrum-limited markets in the U.S. would fall within those zones.  And now the record</w:t>
      </w:r>
      <w:r w:rsidR="003B3954" w:rsidRPr="00CC15A8">
        <w:rPr>
          <w:rFonts w:cs="Times New Roman"/>
        </w:rPr>
        <w:t xml:space="preserve"> indicate</w:t>
      </w:r>
      <w:r w:rsidR="007E49BD" w:rsidRPr="00CC15A8">
        <w:rPr>
          <w:rFonts w:cs="Times New Roman"/>
        </w:rPr>
        <w:t>s</w:t>
      </w:r>
      <w:r w:rsidR="003B3954" w:rsidRPr="00CC15A8">
        <w:rPr>
          <w:rFonts w:cs="Times New Roman"/>
        </w:rPr>
        <w:t xml:space="preserve"> that the band simply “would not be commercially viable” were </w:t>
      </w:r>
      <w:r w:rsidR="00CC676C" w:rsidRPr="00CC15A8">
        <w:rPr>
          <w:rFonts w:cs="Times New Roman"/>
        </w:rPr>
        <w:t>the 3.5 GHz band</w:t>
      </w:r>
      <w:r w:rsidR="007E49BD" w:rsidRPr="00CC15A8">
        <w:rPr>
          <w:rFonts w:cs="Times New Roman"/>
        </w:rPr>
        <w:t xml:space="preserve"> </w:t>
      </w:r>
      <w:r w:rsidR="003B3954" w:rsidRPr="00CC15A8">
        <w:rPr>
          <w:rFonts w:cs="Times New Roman"/>
        </w:rPr>
        <w:t>only available for cons</w:t>
      </w:r>
      <w:r w:rsidR="00B24341" w:rsidRPr="00CC15A8">
        <w:rPr>
          <w:rFonts w:cs="Times New Roman"/>
        </w:rPr>
        <w:t xml:space="preserve">umer use outside of those 2010 </w:t>
      </w:r>
      <w:r w:rsidR="003B3954" w:rsidRPr="00CC15A8">
        <w:rPr>
          <w:rFonts w:cs="Times New Roman"/>
        </w:rPr>
        <w:t>zones.</w:t>
      </w:r>
      <w:r w:rsidR="003B3954" w:rsidRPr="00CC15A8">
        <w:rPr>
          <w:rStyle w:val="FootnoteReference"/>
          <w:rFonts w:cs="Times New Roman"/>
        </w:rPr>
        <w:footnoteReference w:id="9"/>
      </w:r>
    </w:p>
    <w:p w14:paraId="40D4DC40" w14:textId="6A6E8C1B" w:rsidR="00143790" w:rsidRPr="00CC15A8" w:rsidRDefault="00BF432A" w:rsidP="00F815F3">
      <w:pPr>
        <w:ind w:firstLine="720"/>
        <w:rPr>
          <w:rFonts w:cs="Times New Roman"/>
        </w:rPr>
      </w:pPr>
      <w:r w:rsidRPr="00CC15A8">
        <w:rPr>
          <w:rFonts w:cs="Times New Roman"/>
        </w:rPr>
        <w:t>So</w:t>
      </w:r>
      <w:r w:rsidR="00A55FA8" w:rsidRPr="00CC15A8">
        <w:rPr>
          <w:rFonts w:cs="Times New Roman"/>
        </w:rPr>
        <w:t>,</w:t>
      </w:r>
      <w:r w:rsidR="00856B82" w:rsidRPr="00CC15A8">
        <w:rPr>
          <w:rFonts w:cs="Times New Roman"/>
        </w:rPr>
        <w:t xml:space="preserve"> </w:t>
      </w:r>
      <w:r w:rsidR="00F46792" w:rsidRPr="00CC15A8">
        <w:rPr>
          <w:rFonts w:cs="Times New Roman"/>
        </w:rPr>
        <w:t>to summarize:</w:t>
      </w:r>
      <w:r w:rsidR="00856B82" w:rsidRPr="00CC15A8">
        <w:rPr>
          <w:rFonts w:cs="Times New Roman"/>
        </w:rPr>
        <w:t xml:space="preserve"> </w:t>
      </w:r>
      <w:r w:rsidR="00F46792" w:rsidRPr="00CC15A8">
        <w:rPr>
          <w:rFonts w:cs="Times New Roman"/>
        </w:rPr>
        <w:t xml:space="preserve"> T</w:t>
      </w:r>
      <w:r w:rsidR="00856B82" w:rsidRPr="00CC15A8">
        <w:rPr>
          <w:rFonts w:cs="Times New Roman"/>
        </w:rPr>
        <w:t xml:space="preserve">he entity that drew the 2010 </w:t>
      </w:r>
      <w:r w:rsidR="00F46792" w:rsidRPr="00CC15A8">
        <w:rPr>
          <w:rFonts w:cs="Times New Roman"/>
        </w:rPr>
        <w:t xml:space="preserve">exclusion </w:t>
      </w:r>
      <w:r w:rsidR="00856B82" w:rsidRPr="00CC15A8">
        <w:rPr>
          <w:rFonts w:cs="Times New Roman"/>
        </w:rPr>
        <w:t xml:space="preserve">zones did not </w:t>
      </w:r>
      <w:r w:rsidR="00143790" w:rsidRPr="00CC15A8">
        <w:rPr>
          <w:rFonts w:cs="Times New Roman"/>
        </w:rPr>
        <w:t>recommend that they</w:t>
      </w:r>
      <w:r w:rsidR="00856B82" w:rsidRPr="00CC15A8">
        <w:rPr>
          <w:rFonts w:cs="Times New Roman"/>
        </w:rPr>
        <w:t xml:space="preserve"> apply here</w:t>
      </w:r>
      <w:r w:rsidR="00F46792" w:rsidRPr="00CC15A8">
        <w:rPr>
          <w:rFonts w:cs="Times New Roman"/>
        </w:rPr>
        <w:t>;</w:t>
      </w:r>
      <w:r w:rsidR="00856B82" w:rsidRPr="00CC15A8">
        <w:rPr>
          <w:rFonts w:cs="Times New Roman"/>
        </w:rPr>
        <w:t xml:space="preserve"> PCAST found </w:t>
      </w:r>
      <w:r w:rsidR="00143790" w:rsidRPr="00CC15A8">
        <w:rPr>
          <w:rFonts w:cs="Times New Roman"/>
        </w:rPr>
        <w:t>that they are not needed for small cell deployments</w:t>
      </w:r>
      <w:r w:rsidR="00F46792" w:rsidRPr="00CC15A8">
        <w:rPr>
          <w:rFonts w:cs="Times New Roman"/>
        </w:rPr>
        <w:t>;</w:t>
      </w:r>
      <w:r w:rsidR="00143790" w:rsidRPr="00CC15A8">
        <w:rPr>
          <w:rFonts w:cs="Times New Roman"/>
        </w:rPr>
        <w:t xml:space="preserve"> the unchallenged record evidence shows that they’re unnecessary to protect federal incumbents</w:t>
      </w:r>
      <w:r w:rsidR="00F46792" w:rsidRPr="00CC15A8">
        <w:rPr>
          <w:rFonts w:cs="Times New Roman"/>
        </w:rPr>
        <w:t>;</w:t>
      </w:r>
      <w:r w:rsidR="00143790" w:rsidRPr="00CC15A8">
        <w:rPr>
          <w:rFonts w:cs="Times New Roman"/>
        </w:rPr>
        <w:t xml:space="preserve"> and no one </w:t>
      </w:r>
      <w:r w:rsidR="005731FE" w:rsidRPr="00CC15A8">
        <w:rPr>
          <w:rFonts w:cs="Times New Roman"/>
        </w:rPr>
        <w:t xml:space="preserve">that I’m aware of </w:t>
      </w:r>
      <w:r w:rsidR="00143790" w:rsidRPr="00CC15A8">
        <w:rPr>
          <w:rFonts w:cs="Times New Roman"/>
        </w:rPr>
        <w:t xml:space="preserve">believes that they </w:t>
      </w:r>
      <w:r w:rsidR="00451158" w:rsidRPr="00CC15A8">
        <w:rPr>
          <w:rFonts w:cs="Times New Roman"/>
        </w:rPr>
        <w:t xml:space="preserve">make sense for </w:t>
      </w:r>
      <w:r w:rsidR="005731FE" w:rsidRPr="00CC15A8">
        <w:rPr>
          <w:rFonts w:cs="Times New Roman"/>
        </w:rPr>
        <w:t xml:space="preserve">the use cases we’re </w:t>
      </w:r>
      <w:r w:rsidR="00497AAA" w:rsidRPr="00CC15A8">
        <w:rPr>
          <w:rFonts w:cs="Times New Roman"/>
        </w:rPr>
        <w:t>considering.</w:t>
      </w:r>
      <w:r w:rsidR="00143790" w:rsidRPr="00CC15A8">
        <w:rPr>
          <w:rFonts w:cs="Times New Roman"/>
        </w:rPr>
        <w:t xml:space="preserve">  </w:t>
      </w:r>
      <w:r w:rsidR="00F46792" w:rsidRPr="00CC15A8">
        <w:rPr>
          <w:rFonts w:cs="Times New Roman"/>
        </w:rPr>
        <w:t>Nonetheless</w:t>
      </w:r>
      <w:r w:rsidR="00143790" w:rsidRPr="00CC15A8">
        <w:rPr>
          <w:rFonts w:cs="Times New Roman"/>
        </w:rPr>
        <w:t xml:space="preserve">, </w:t>
      </w:r>
      <w:r w:rsidR="00497AAA" w:rsidRPr="00CC15A8">
        <w:rPr>
          <w:rFonts w:cs="Times New Roman"/>
        </w:rPr>
        <w:t xml:space="preserve">we once again </w:t>
      </w:r>
      <w:r w:rsidR="00143790" w:rsidRPr="00CC15A8">
        <w:rPr>
          <w:rFonts w:cs="Times New Roman"/>
        </w:rPr>
        <w:t>propos</w:t>
      </w:r>
      <w:r w:rsidR="005731FE" w:rsidRPr="00CC15A8">
        <w:rPr>
          <w:rFonts w:cs="Times New Roman"/>
        </w:rPr>
        <w:t>e</w:t>
      </w:r>
      <w:r w:rsidR="0050161C" w:rsidRPr="00CC15A8">
        <w:rPr>
          <w:rFonts w:cs="Times New Roman"/>
        </w:rPr>
        <w:t xml:space="preserve"> to codify them.</w:t>
      </w:r>
    </w:p>
    <w:p w14:paraId="68023FD4" w14:textId="571C8039" w:rsidR="007C6DD1" w:rsidRPr="00CC15A8" w:rsidRDefault="00143790" w:rsidP="00F815F3">
      <w:pPr>
        <w:ind w:firstLine="720"/>
        <w:rPr>
          <w:rFonts w:cs="Times New Roman"/>
        </w:rPr>
      </w:pPr>
      <w:r w:rsidRPr="00CC15A8">
        <w:rPr>
          <w:rFonts w:cs="Times New Roman"/>
        </w:rPr>
        <w:t>Going forward, the success of the 3.5 GHz</w:t>
      </w:r>
      <w:r w:rsidR="00BF432A" w:rsidRPr="00CC15A8">
        <w:rPr>
          <w:rFonts w:cs="Times New Roman"/>
        </w:rPr>
        <w:t xml:space="preserve"> band depends on shrinking the proposed exclusion</w:t>
      </w:r>
      <w:r w:rsidRPr="00CC15A8">
        <w:rPr>
          <w:rFonts w:cs="Times New Roman"/>
        </w:rPr>
        <w:t xml:space="preserve"> zones.  I </w:t>
      </w:r>
      <w:r w:rsidR="00C8454F" w:rsidRPr="00CC15A8">
        <w:rPr>
          <w:rFonts w:cs="Times New Roman"/>
        </w:rPr>
        <w:t xml:space="preserve">hope </w:t>
      </w:r>
      <w:r w:rsidRPr="00CC15A8">
        <w:rPr>
          <w:rFonts w:cs="Times New Roman"/>
        </w:rPr>
        <w:t xml:space="preserve">interested parties </w:t>
      </w:r>
      <w:r w:rsidR="00C8454F" w:rsidRPr="00CC15A8">
        <w:rPr>
          <w:rFonts w:cs="Times New Roman"/>
        </w:rPr>
        <w:t>take advantage of the Commission’s characterization of this proposal as a “starting point” and</w:t>
      </w:r>
      <w:r w:rsidR="00B736F3" w:rsidRPr="00CC15A8">
        <w:rPr>
          <w:rFonts w:cs="Times New Roman"/>
        </w:rPr>
        <w:t>, once again,</w:t>
      </w:r>
      <w:r w:rsidR="00C8454F" w:rsidRPr="00CC15A8">
        <w:rPr>
          <w:rFonts w:cs="Times New Roman"/>
        </w:rPr>
        <w:t xml:space="preserve"> share their ideas </w:t>
      </w:r>
      <w:r w:rsidR="00B736F3" w:rsidRPr="00CC15A8">
        <w:rPr>
          <w:rFonts w:cs="Times New Roman"/>
        </w:rPr>
        <w:t xml:space="preserve">and analysis </w:t>
      </w:r>
      <w:r w:rsidR="00C8454F" w:rsidRPr="00CC15A8">
        <w:rPr>
          <w:rFonts w:cs="Times New Roman"/>
        </w:rPr>
        <w:t>on how to accomplish that goal</w:t>
      </w:r>
      <w:r w:rsidR="0050161C" w:rsidRPr="00CC15A8">
        <w:rPr>
          <w:rFonts w:cs="Times New Roman"/>
        </w:rPr>
        <w:t>.</w:t>
      </w:r>
    </w:p>
    <w:p w14:paraId="767AE976" w14:textId="133D2F79" w:rsidR="007C6DD1" w:rsidRPr="00CC15A8" w:rsidRDefault="00BF432A" w:rsidP="00F815F3">
      <w:pPr>
        <w:ind w:firstLine="720"/>
        <w:rPr>
          <w:rFonts w:cs="Times New Roman"/>
        </w:rPr>
      </w:pPr>
      <w:r w:rsidRPr="00CC15A8">
        <w:rPr>
          <w:rFonts w:cs="Times New Roman"/>
        </w:rPr>
        <w:t xml:space="preserve">Beyond the exclusion zones, I have additional concerns regarding some of </w:t>
      </w:r>
      <w:r w:rsidR="0037029A" w:rsidRPr="00CC15A8">
        <w:rPr>
          <w:rFonts w:cs="Times New Roman"/>
        </w:rPr>
        <w:t>today’s</w:t>
      </w:r>
      <w:r w:rsidRPr="00CC15A8">
        <w:rPr>
          <w:rFonts w:cs="Times New Roman"/>
        </w:rPr>
        <w:t xml:space="preserve"> proposals</w:t>
      </w:r>
      <w:r w:rsidR="000C367E" w:rsidRPr="00CC15A8">
        <w:rPr>
          <w:rFonts w:cs="Times New Roman"/>
        </w:rPr>
        <w:t xml:space="preserve">.  For instance, I question </w:t>
      </w:r>
      <w:r w:rsidR="00167A91" w:rsidRPr="00CC15A8">
        <w:rPr>
          <w:rFonts w:cs="Times New Roman"/>
        </w:rPr>
        <w:t>the proposal to</w:t>
      </w:r>
      <w:r w:rsidR="000C367E" w:rsidRPr="00CC15A8">
        <w:rPr>
          <w:rFonts w:cs="Times New Roman"/>
        </w:rPr>
        <w:t xml:space="preserve"> impose a hard, 30 MHz cap on the amount of priority access spectrum that any one entity can hold.  Similarly, I </w:t>
      </w:r>
      <w:r w:rsidR="00145264" w:rsidRPr="00CC15A8">
        <w:rPr>
          <w:rFonts w:cs="Times New Roman"/>
        </w:rPr>
        <w:t xml:space="preserve">question </w:t>
      </w:r>
      <w:r w:rsidR="000C367E" w:rsidRPr="00CC15A8">
        <w:rPr>
          <w:rFonts w:cs="Times New Roman"/>
        </w:rPr>
        <w:t>the item’s proposal to carve out 20 MHz of spectrum as a set aside for certain group</w:t>
      </w:r>
      <w:r w:rsidR="00145264" w:rsidRPr="00CC15A8">
        <w:rPr>
          <w:rFonts w:cs="Times New Roman"/>
        </w:rPr>
        <w:t>s</w:t>
      </w:r>
      <w:r w:rsidR="000C367E" w:rsidRPr="00CC15A8">
        <w:rPr>
          <w:rFonts w:cs="Times New Roman"/>
        </w:rPr>
        <w:t xml:space="preserve"> of preferred users.</w:t>
      </w:r>
      <w:r w:rsidR="00145264" w:rsidRPr="00CC15A8">
        <w:rPr>
          <w:rFonts w:cs="Times New Roman"/>
        </w:rPr>
        <w:t xml:space="preserve">  I am skeptical that these attempts to pick winners and losers will </w:t>
      </w:r>
      <w:r w:rsidR="00451158" w:rsidRPr="00CC15A8">
        <w:rPr>
          <w:rFonts w:cs="Times New Roman"/>
        </w:rPr>
        <w:t>serve the public interest</w:t>
      </w:r>
      <w:r w:rsidR="00145264" w:rsidRPr="00CC15A8">
        <w:rPr>
          <w:rFonts w:cs="Times New Roman"/>
        </w:rPr>
        <w:t>.</w:t>
      </w:r>
    </w:p>
    <w:p w14:paraId="2B5CD714" w14:textId="13BC1D79" w:rsidR="00451158" w:rsidRPr="00CC15A8" w:rsidRDefault="00451158" w:rsidP="00F815F3">
      <w:pPr>
        <w:ind w:firstLine="720"/>
        <w:rPr>
          <w:rFonts w:cs="Times New Roman"/>
        </w:rPr>
      </w:pPr>
      <w:r w:rsidRPr="00CC15A8">
        <w:rPr>
          <w:rFonts w:cs="Times New Roman"/>
        </w:rPr>
        <w:t xml:space="preserve">Notwithstanding these concerns, I </w:t>
      </w:r>
      <w:r w:rsidR="003045F9" w:rsidRPr="00CC15A8">
        <w:rPr>
          <w:rFonts w:cs="Times New Roman"/>
        </w:rPr>
        <w:t xml:space="preserve">look forward </w:t>
      </w:r>
      <w:r w:rsidRPr="00CC15A8">
        <w:rPr>
          <w:rFonts w:cs="Times New Roman"/>
        </w:rPr>
        <w:t>to learn</w:t>
      </w:r>
      <w:r w:rsidR="003045F9" w:rsidRPr="00CC15A8">
        <w:rPr>
          <w:rFonts w:cs="Times New Roman"/>
        </w:rPr>
        <w:t>ing</w:t>
      </w:r>
      <w:r w:rsidRPr="00CC15A8">
        <w:rPr>
          <w:rFonts w:cs="Times New Roman"/>
        </w:rPr>
        <w:t xml:space="preserve"> from the record that will be compiled as a result of today’s item</w:t>
      </w:r>
      <w:r w:rsidR="003045F9" w:rsidRPr="00CC15A8">
        <w:rPr>
          <w:rFonts w:cs="Times New Roman"/>
        </w:rPr>
        <w:t xml:space="preserve">.  And I hope we </w:t>
      </w:r>
      <w:r w:rsidRPr="00CC15A8">
        <w:rPr>
          <w:rFonts w:cs="Times New Roman"/>
        </w:rPr>
        <w:t>meaningfully im</w:t>
      </w:r>
      <w:r w:rsidR="00CE4623" w:rsidRPr="00CC15A8">
        <w:rPr>
          <w:rFonts w:cs="Times New Roman"/>
        </w:rPr>
        <w:t xml:space="preserve">prove our proposals so that </w:t>
      </w:r>
      <w:r w:rsidRPr="00CC15A8">
        <w:rPr>
          <w:rFonts w:cs="Times New Roman"/>
        </w:rPr>
        <w:t xml:space="preserve">American </w:t>
      </w:r>
      <w:r w:rsidR="00407CF5" w:rsidRPr="00CC15A8">
        <w:rPr>
          <w:rFonts w:cs="Times New Roman"/>
        </w:rPr>
        <w:t>consumers will be able to benefit from</w:t>
      </w:r>
      <w:r w:rsidRPr="00CC15A8">
        <w:rPr>
          <w:rFonts w:cs="Times New Roman"/>
        </w:rPr>
        <w:t xml:space="preserve"> the 3.5 GHz band.  In this </w:t>
      </w:r>
      <w:r w:rsidR="00407CF5" w:rsidRPr="00CC15A8">
        <w:rPr>
          <w:rFonts w:cs="Times New Roman"/>
        </w:rPr>
        <w:t>sentiment</w:t>
      </w:r>
      <w:r w:rsidRPr="00CC15A8">
        <w:rPr>
          <w:rFonts w:cs="Times New Roman"/>
        </w:rPr>
        <w:t>, I take inspiration from another of Yogi Berra’s wise aphorisms, “It ain’t over ‘til it’s over.”</w:t>
      </w:r>
    </w:p>
    <w:sectPr w:rsidR="00451158" w:rsidRPr="00CC15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4C3EF5" w15:done="0"/>
  <w15:commentEx w15:paraId="0A414C75" w15:done="0"/>
  <w15:commentEx w15:paraId="65DB12B0" w15:done="0"/>
  <w15:commentEx w15:paraId="4101F9EE" w15:done="0"/>
  <w15:commentEx w15:paraId="4AA6A280" w15:done="0"/>
  <w15:commentEx w15:paraId="17C6F5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2AD36" w14:textId="77777777" w:rsidR="009125C0" w:rsidRDefault="009125C0" w:rsidP="006E4D4D">
      <w:pPr>
        <w:spacing w:after="0"/>
      </w:pPr>
      <w:r>
        <w:separator/>
      </w:r>
    </w:p>
  </w:endnote>
  <w:endnote w:type="continuationSeparator" w:id="0">
    <w:p w14:paraId="164C9F44" w14:textId="77777777" w:rsidR="009125C0" w:rsidRDefault="009125C0" w:rsidP="006E4D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F1FB" w14:textId="77777777" w:rsidR="006F411D" w:rsidRDefault="006F4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4"/>
        <w:szCs w:val="24"/>
      </w:rPr>
      <w:id w:val="-697394707"/>
      <w:docPartObj>
        <w:docPartGallery w:val="Page Numbers (Bottom of Page)"/>
        <w:docPartUnique/>
      </w:docPartObj>
    </w:sdtPr>
    <w:sdtEndPr>
      <w:rPr>
        <w:noProof/>
      </w:rPr>
    </w:sdtEndPr>
    <w:sdtContent>
      <w:p w14:paraId="152D5FEA" w14:textId="77777777" w:rsidR="006E4D4D" w:rsidRPr="009D2480" w:rsidRDefault="006E4D4D">
        <w:pPr>
          <w:pStyle w:val="Footer"/>
          <w:jc w:val="center"/>
          <w:rPr>
            <w:rFonts w:cs="Times New Roman"/>
            <w:sz w:val="24"/>
            <w:szCs w:val="24"/>
          </w:rPr>
        </w:pPr>
        <w:r w:rsidRPr="009D2480">
          <w:rPr>
            <w:rFonts w:cs="Times New Roman"/>
            <w:sz w:val="24"/>
            <w:szCs w:val="24"/>
          </w:rPr>
          <w:fldChar w:fldCharType="begin"/>
        </w:r>
        <w:r w:rsidRPr="009D2480">
          <w:rPr>
            <w:rFonts w:cs="Times New Roman"/>
            <w:sz w:val="24"/>
            <w:szCs w:val="24"/>
          </w:rPr>
          <w:instrText xml:space="preserve"> PAGE   \* MERGEFORMAT </w:instrText>
        </w:r>
        <w:r w:rsidRPr="009D2480">
          <w:rPr>
            <w:rFonts w:cs="Times New Roman"/>
            <w:sz w:val="24"/>
            <w:szCs w:val="24"/>
          </w:rPr>
          <w:fldChar w:fldCharType="separate"/>
        </w:r>
        <w:r w:rsidR="009B292A">
          <w:rPr>
            <w:rFonts w:cs="Times New Roman"/>
            <w:noProof/>
            <w:sz w:val="24"/>
            <w:szCs w:val="24"/>
          </w:rPr>
          <w:t>1</w:t>
        </w:r>
        <w:r w:rsidRPr="009D2480">
          <w:rPr>
            <w:rFonts w:cs="Times New Roman"/>
            <w:noProof/>
            <w:sz w:val="24"/>
            <w:szCs w:val="24"/>
          </w:rPr>
          <w:fldChar w:fldCharType="end"/>
        </w:r>
      </w:p>
    </w:sdtContent>
  </w:sdt>
  <w:p w14:paraId="08C55A72" w14:textId="77777777" w:rsidR="006E4D4D" w:rsidRPr="009D2480" w:rsidRDefault="006E4D4D">
    <w:pPr>
      <w:pStyle w:val="Footer"/>
      <w:rPr>
        <w:rFonts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9F38" w14:textId="77777777" w:rsidR="006F411D" w:rsidRDefault="006F4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2D92A" w14:textId="77777777" w:rsidR="009125C0" w:rsidRDefault="009125C0" w:rsidP="006E4D4D">
      <w:pPr>
        <w:spacing w:after="0"/>
      </w:pPr>
      <w:r>
        <w:separator/>
      </w:r>
    </w:p>
  </w:footnote>
  <w:footnote w:type="continuationSeparator" w:id="0">
    <w:p w14:paraId="41787BC6" w14:textId="77777777" w:rsidR="009125C0" w:rsidRDefault="009125C0" w:rsidP="006E4D4D">
      <w:pPr>
        <w:spacing w:after="0"/>
      </w:pPr>
      <w:r>
        <w:continuationSeparator/>
      </w:r>
    </w:p>
  </w:footnote>
  <w:footnote w:id="1">
    <w:p w14:paraId="1E5D6068" w14:textId="1344D9D8" w:rsidR="00B30185" w:rsidRDefault="00B30185" w:rsidP="00B30185">
      <w:pPr>
        <w:pStyle w:val="FootnoteText"/>
        <w:spacing w:after="120"/>
      </w:pPr>
      <w:r>
        <w:rPr>
          <w:rStyle w:val="FootnoteReference"/>
        </w:rPr>
        <w:footnoteRef/>
      </w:r>
      <w:r>
        <w:t xml:space="preserve"> </w:t>
      </w:r>
      <w:r>
        <w:rPr>
          <w:i/>
        </w:rPr>
        <w:t xml:space="preserve">See </w:t>
      </w:r>
      <w:r w:rsidRPr="00071EF7">
        <w:rPr>
          <w:i/>
        </w:rPr>
        <w:t>Amendment of the Commission’s Rules with Regard to Commercial Opera</w:t>
      </w:r>
      <w:r>
        <w:rPr>
          <w:i/>
        </w:rPr>
        <w:t>tions in the 3550–3650 MHz Band</w:t>
      </w:r>
      <w:r>
        <w:t>,</w:t>
      </w:r>
      <w:r w:rsidRPr="00071EF7">
        <w:rPr>
          <w:i/>
        </w:rPr>
        <w:t xml:space="preserve"> </w:t>
      </w:r>
      <w:r w:rsidRPr="00071EF7">
        <w:t>GN Docket No. 12-354</w:t>
      </w:r>
      <w:r>
        <w:t>, Notice of Proposed Rulemaking, 27 FCC Rcd 15594, 15658 (2012) (Statement of Commissioner Ajit Pai).</w:t>
      </w:r>
    </w:p>
  </w:footnote>
  <w:footnote w:id="2">
    <w:p w14:paraId="42FA3652" w14:textId="13FEF9B5" w:rsidR="00B56BF4" w:rsidRPr="00B56BF4" w:rsidRDefault="00B56BF4" w:rsidP="0050161C">
      <w:pPr>
        <w:pStyle w:val="FootnoteText"/>
        <w:spacing w:after="120"/>
      </w:pPr>
      <w:r>
        <w:rPr>
          <w:rStyle w:val="FootnoteReference"/>
        </w:rPr>
        <w:footnoteRef/>
      </w:r>
      <w:r>
        <w:t xml:space="preserve"> </w:t>
      </w:r>
      <w:r>
        <w:rPr>
          <w:i/>
        </w:rPr>
        <w:t>See</w:t>
      </w:r>
      <w:r w:rsidR="00077178">
        <w:rPr>
          <w:i/>
        </w:rPr>
        <w:t>, e.g.</w:t>
      </w:r>
      <w:r w:rsidR="00077178">
        <w:t>,</w:t>
      </w:r>
      <w:r>
        <w:rPr>
          <w:i/>
        </w:rPr>
        <w:t xml:space="preserve"> </w:t>
      </w:r>
      <w:r w:rsidR="0050161C">
        <w:rPr>
          <w:i/>
        </w:rPr>
        <w:t>id.</w:t>
      </w:r>
      <w:r w:rsidR="00077178">
        <w:t xml:space="preserve"> at 15597</w:t>
      </w:r>
      <w:r w:rsidR="0050161C">
        <w:t>,</w:t>
      </w:r>
      <w:r w:rsidR="00077178">
        <w:t xml:space="preserve"> para. 6.</w:t>
      </w:r>
    </w:p>
  </w:footnote>
  <w:footnote w:id="3">
    <w:p w14:paraId="45965E4D" w14:textId="4BA8562E" w:rsidR="001B219D" w:rsidRDefault="001B219D" w:rsidP="0050161C">
      <w:pPr>
        <w:pStyle w:val="FootnoteText"/>
        <w:spacing w:after="120"/>
      </w:pPr>
      <w:r>
        <w:rPr>
          <w:rStyle w:val="FootnoteReference"/>
        </w:rPr>
        <w:footnoteRef/>
      </w:r>
      <w:r>
        <w:t xml:space="preserve"> </w:t>
      </w:r>
      <w:r w:rsidR="0050161C">
        <w:rPr>
          <w:i/>
        </w:rPr>
        <w:t>Id.</w:t>
      </w:r>
      <w:r>
        <w:t xml:space="preserve"> at 15633</w:t>
      </w:r>
      <w:r w:rsidR="0050161C">
        <w:t>,</w:t>
      </w:r>
      <w:r>
        <w:t xml:space="preserve"> para. 118.</w:t>
      </w:r>
    </w:p>
  </w:footnote>
  <w:footnote w:id="4">
    <w:p w14:paraId="08D9F2E6" w14:textId="070B8170" w:rsidR="00884A85" w:rsidRPr="00884A85" w:rsidRDefault="00884A85" w:rsidP="0050161C">
      <w:pPr>
        <w:pStyle w:val="FootnoteText"/>
        <w:spacing w:after="120"/>
      </w:pPr>
      <w:r>
        <w:rPr>
          <w:rStyle w:val="FootnoteReference"/>
        </w:rPr>
        <w:footnoteRef/>
      </w:r>
      <w:r>
        <w:t xml:space="preserve"> </w:t>
      </w:r>
      <w:r>
        <w:rPr>
          <w:i/>
        </w:rPr>
        <w:t>See</w:t>
      </w:r>
      <w:r w:rsidR="005F555D">
        <w:rPr>
          <w:i/>
        </w:rPr>
        <w:t>, e.g.</w:t>
      </w:r>
      <w:r w:rsidR="005F555D">
        <w:t>,</w:t>
      </w:r>
      <w:r>
        <w:rPr>
          <w:i/>
        </w:rPr>
        <w:t xml:space="preserve"> </w:t>
      </w:r>
      <w:r w:rsidR="0050161C">
        <w:rPr>
          <w:i/>
        </w:rPr>
        <w:t>id.</w:t>
      </w:r>
      <w:r w:rsidR="0050161C">
        <w:t xml:space="preserve"> at 15629–</w:t>
      </w:r>
      <w:r w:rsidR="00D678C5">
        <w:t>34</w:t>
      </w:r>
      <w:r w:rsidR="0050161C">
        <w:t>,</w:t>
      </w:r>
      <w:r w:rsidR="00D678C5">
        <w:t xml:space="preserve"> </w:t>
      </w:r>
      <w:r>
        <w:t>paras. 109</w:t>
      </w:r>
      <w:r w:rsidR="0050161C">
        <w:t>–</w:t>
      </w:r>
      <w:r>
        <w:t>18.</w:t>
      </w:r>
    </w:p>
  </w:footnote>
  <w:footnote w:id="5">
    <w:p w14:paraId="5E064D8F" w14:textId="6BB0AAB4" w:rsidR="00A17895" w:rsidRPr="00A17895" w:rsidRDefault="00A17895" w:rsidP="0050161C">
      <w:pPr>
        <w:pStyle w:val="FootnoteText"/>
        <w:spacing w:after="120"/>
      </w:pPr>
      <w:r>
        <w:rPr>
          <w:rStyle w:val="FootnoteReference"/>
        </w:rPr>
        <w:footnoteRef/>
      </w:r>
      <w:r>
        <w:t xml:space="preserve"> </w:t>
      </w:r>
      <w:r>
        <w:rPr>
          <w:i/>
        </w:rPr>
        <w:t>See, e.g.</w:t>
      </w:r>
      <w:r w:rsidR="0050161C">
        <w:t xml:space="preserve">, Letter from John W. Kuzin, Senior Director of Government Affairs – Regulatory, </w:t>
      </w:r>
      <w:r>
        <w:t xml:space="preserve">Qualcomm, to Marlene </w:t>
      </w:r>
      <w:r w:rsidR="0050161C">
        <w:t xml:space="preserve">H. </w:t>
      </w:r>
      <w:r>
        <w:t xml:space="preserve">Dortch, </w:t>
      </w:r>
      <w:r w:rsidR="0050161C">
        <w:t xml:space="preserve">Secretary, </w:t>
      </w:r>
      <w:r>
        <w:t>FCC</w:t>
      </w:r>
      <w:r w:rsidR="0050161C">
        <w:t>, GN Docket No. 12-354</w:t>
      </w:r>
      <w:r>
        <w:t xml:space="preserve"> (Apr. 15, 2014)</w:t>
      </w:r>
      <w:r w:rsidR="0050161C">
        <w:t xml:space="preserve"> (</w:t>
      </w:r>
      <w:r w:rsidR="00D678C5">
        <w:t xml:space="preserve">Qualcomm </w:t>
      </w:r>
      <w:r w:rsidR="0050161C" w:rsidRPr="0050161C">
        <w:rPr>
          <w:i/>
        </w:rPr>
        <w:t>Ex Parte</w:t>
      </w:r>
      <w:r w:rsidR="0050161C">
        <w:t xml:space="preserve"> Letter</w:t>
      </w:r>
      <w:r w:rsidR="00D678C5">
        <w:t>)</w:t>
      </w:r>
      <w:r>
        <w:t xml:space="preserve">; </w:t>
      </w:r>
      <w:r>
        <w:rPr>
          <w:i/>
        </w:rPr>
        <w:t>see also</w:t>
      </w:r>
      <w:r>
        <w:t xml:space="preserve"> Qualcomm Comments at iii, 17</w:t>
      </w:r>
      <w:r w:rsidR="0050161C">
        <w:t xml:space="preserve"> (Feb. 20, 2013)</w:t>
      </w:r>
      <w:r>
        <w:t>.</w:t>
      </w:r>
    </w:p>
  </w:footnote>
  <w:footnote w:id="6">
    <w:p w14:paraId="677C84F5" w14:textId="452FB89C" w:rsidR="006465FC" w:rsidRPr="006465FC" w:rsidRDefault="006465FC" w:rsidP="0050161C">
      <w:pPr>
        <w:pStyle w:val="FootnoteText"/>
        <w:spacing w:after="120"/>
      </w:pPr>
      <w:r>
        <w:rPr>
          <w:rStyle w:val="FootnoteReference"/>
        </w:rPr>
        <w:footnoteRef/>
      </w:r>
      <w:r>
        <w:t xml:space="preserve"> </w:t>
      </w:r>
      <w:r>
        <w:rPr>
          <w:i/>
        </w:rPr>
        <w:t xml:space="preserve">See </w:t>
      </w:r>
      <w:r>
        <w:t>Qualcomm Comments at 17</w:t>
      </w:r>
      <w:r w:rsidR="0050161C">
        <w:t xml:space="preserve"> (Feb. 20, 2013)</w:t>
      </w:r>
      <w:r>
        <w:t>.</w:t>
      </w:r>
    </w:p>
  </w:footnote>
  <w:footnote w:id="7">
    <w:p w14:paraId="12059E7A" w14:textId="794CD2ED" w:rsidR="005E7025" w:rsidRDefault="005E7025" w:rsidP="0050161C">
      <w:pPr>
        <w:pStyle w:val="FootnoteText"/>
        <w:spacing w:after="120"/>
      </w:pPr>
      <w:r>
        <w:rPr>
          <w:rStyle w:val="FootnoteReference"/>
        </w:rPr>
        <w:footnoteRef/>
      </w:r>
      <w:r>
        <w:t xml:space="preserve"> </w:t>
      </w:r>
      <w:r>
        <w:rPr>
          <w:i/>
        </w:rPr>
        <w:t xml:space="preserve">See </w:t>
      </w:r>
      <w:r w:rsidRPr="005E7025">
        <w:t>NTIA, An Assessment of the Near-Term Viability of Accommodating Wireless Broadband Systems in the 1675</w:t>
      </w:r>
      <w:r w:rsidR="0050161C">
        <w:t>–</w:t>
      </w:r>
      <w:r w:rsidRPr="005E7025">
        <w:t>1710 MHz, 1755</w:t>
      </w:r>
      <w:r w:rsidR="0050161C">
        <w:t>–</w:t>
      </w:r>
      <w:r w:rsidRPr="005E7025">
        <w:t>1780 MHz, 3500</w:t>
      </w:r>
      <w:r w:rsidR="0050161C">
        <w:t>–</w:t>
      </w:r>
      <w:r w:rsidRPr="005E7025">
        <w:t>3650 MHz, 4200</w:t>
      </w:r>
      <w:r w:rsidR="0050161C">
        <w:t>–</w:t>
      </w:r>
      <w:r w:rsidRPr="005E7025">
        <w:t>4220 MHz, and 4380</w:t>
      </w:r>
      <w:r w:rsidR="0050161C">
        <w:t>–</w:t>
      </w:r>
      <w:r w:rsidRPr="005E7025">
        <w:t>4400 MHz Bands</w:t>
      </w:r>
      <w:r w:rsidR="00F328B6">
        <w:t xml:space="preserve"> at</w:t>
      </w:r>
      <w:r w:rsidR="0050161C">
        <w:t xml:space="preserve"> 1–</w:t>
      </w:r>
      <w:r w:rsidR="00F328B6">
        <w:t>7</w:t>
      </w:r>
      <w:r w:rsidRPr="005E7025">
        <w:t xml:space="preserve"> (2010)</w:t>
      </w:r>
      <w:r>
        <w:t>.</w:t>
      </w:r>
    </w:p>
  </w:footnote>
  <w:footnote w:id="8">
    <w:p w14:paraId="5575C3A4" w14:textId="4ED985CF" w:rsidR="002F3895" w:rsidRPr="002F3895" w:rsidRDefault="002F3895" w:rsidP="0050161C">
      <w:pPr>
        <w:pStyle w:val="FootnoteText"/>
        <w:spacing w:after="120"/>
      </w:pPr>
      <w:r>
        <w:rPr>
          <w:rStyle w:val="FootnoteReference"/>
        </w:rPr>
        <w:footnoteRef/>
      </w:r>
      <w:r>
        <w:t xml:space="preserve"> </w:t>
      </w:r>
      <w:r>
        <w:rPr>
          <w:i/>
        </w:rPr>
        <w:t xml:space="preserve">See </w:t>
      </w:r>
      <w:r w:rsidR="00CC676C">
        <w:t xml:space="preserve">President’s Council of Advisors on Science and Technology, Report to the President: Realizing the Full Potential of Government-Held Spectrum to Spur Economic Growth </w:t>
      </w:r>
      <w:r>
        <w:t>at 7 n.33</w:t>
      </w:r>
      <w:r w:rsidR="00CC676C">
        <w:t xml:space="preserve"> (July 20, 2012)</w:t>
      </w:r>
      <w:r>
        <w:t xml:space="preserve">; </w:t>
      </w:r>
      <w:r>
        <w:rPr>
          <w:i/>
        </w:rPr>
        <w:t>see id</w:t>
      </w:r>
      <w:r>
        <w:t>. at 51.</w:t>
      </w:r>
    </w:p>
  </w:footnote>
  <w:footnote w:id="9">
    <w:p w14:paraId="1DBB4AC0" w14:textId="2DF2B4BA" w:rsidR="003B3954" w:rsidRPr="003B3954" w:rsidRDefault="003B3954" w:rsidP="0050161C">
      <w:pPr>
        <w:pStyle w:val="FootnoteText"/>
        <w:spacing w:after="120"/>
      </w:pPr>
      <w:r>
        <w:rPr>
          <w:rStyle w:val="FootnoteReference"/>
        </w:rPr>
        <w:footnoteRef/>
      </w:r>
      <w:r>
        <w:t xml:space="preserve"> </w:t>
      </w:r>
      <w:r>
        <w:rPr>
          <w:i/>
        </w:rPr>
        <w:t>See, e.g.</w:t>
      </w:r>
      <w:r>
        <w:t xml:space="preserve">, </w:t>
      </w:r>
      <w:r w:rsidR="0050161C">
        <w:t xml:space="preserve">Qualcomm </w:t>
      </w:r>
      <w:r w:rsidR="0050161C" w:rsidRPr="0050161C">
        <w:rPr>
          <w:i/>
        </w:rPr>
        <w:t>Ex Parte</w:t>
      </w:r>
      <w:r w:rsidR="0050161C">
        <w:t xml:space="preserve"> Letter</w:t>
      </w:r>
      <w:r>
        <w:t xml:space="preserve"> 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679C8" w14:textId="77777777" w:rsidR="006F411D" w:rsidRDefault="006F4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8DB51" w14:textId="77777777" w:rsidR="006F411D" w:rsidRDefault="006F4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1FF32" w14:textId="77777777" w:rsidR="006F411D" w:rsidRDefault="006F4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10946"/>
    <w:multiLevelType w:val="hybridMultilevel"/>
    <w:tmpl w:val="B560D972"/>
    <w:lvl w:ilvl="0" w:tplc="98A0B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A9"/>
    <w:rsid w:val="0005030B"/>
    <w:rsid w:val="000517F1"/>
    <w:rsid w:val="0005412A"/>
    <w:rsid w:val="000559A2"/>
    <w:rsid w:val="00071EF7"/>
    <w:rsid w:val="00074E3D"/>
    <w:rsid w:val="00077178"/>
    <w:rsid w:val="00077D13"/>
    <w:rsid w:val="0008590D"/>
    <w:rsid w:val="000866B5"/>
    <w:rsid w:val="0009040F"/>
    <w:rsid w:val="000920C5"/>
    <w:rsid w:val="000A0783"/>
    <w:rsid w:val="000B6C29"/>
    <w:rsid w:val="000B7BD9"/>
    <w:rsid w:val="000C367E"/>
    <w:rsid w:val="000D7719"/>
    <w:rsid w:val="000E13F4"/>
    <w:rsid w:val="000E31DF"/>
    <w:rsid w:val="000E662A"/>
    <w:rsid w:val="00102114"/>
    <w:rsid w:val="00110824"/>
    <w:rsid w:val="00111FAC"/>
    <w:rsid w:val="0011749F"/>
    <w:rsid w:val="00130655"/>
    <w:rsid w:val="001335A9"/>
    <w:rsid w:val="00135428"/>
    <w:rsid w:val="00143790"/>
    <w:rsid w:val="00145264"/>
    <w:rsid w:val="001460E1"/>
    <w:rsid w:val="00167A91"/>
    <w:rsid w:val="001825A6"/>
    <w:rsid w:val="001A08BB"/>
    <w:rsid w:val="001A1026"/>
    <w:rsid w:val="001A5605"/>
    <w:rsid w:val="001A772F"/>
    <w:rsid w:val="001B219D"/>
    <w:rsid w:val="001B32E5"/>
    <w:rsid w:val="001B3523"/>
    <w:rsid w:val="001B6C30"/>
    <w:rsid w:val="001B758E"/>
    <w:rsid w:val="001C13E3"/>
    <w:rsid w:val="001C1D95"/>
    <w:rsid w:val="001C2A2E"/>
    <w:rsid w:val="001C3717"/>
    <w:rsid w:val="001C57E6"/>
    <w:rsid w:val="001D31AF"/>
    <w:rsid w:val="001D65FD"/>
    <w:rsid w:val="001D7F44"/>
    <w:rsid w:val="001E4824"/>
    <w:rsid w:val="001F0E4A"/>
    <w:rsid w:val="00203127"/>
    <w:rsid w:val="0020422D"/>
    <w:rsid w:val="002806A4"/>
    <w:rsid w:val="00294EEF"/>
    <w:rsid w:val="00297F6D"/>
    <w:rsid w:val="002A2FD0"/>
    <w:rsid w:val="002A3182"/>
    <w:rsid w:val="002A34C8"/>
    <w:rsid w:val="002A7C69"/>
    <w:rsid w:val="002C54E6"/>
    <w:rsid w:val="002E5176"/>
    <w:rsid w:val="002F2023"/>
    <w:rsid w:val="002F3895"/>
    <w:rsid w:val="002F3AA2"/>
    <w:rsid w:val="0030361E"/>
    <w:rsid w:val="003045F9"/>
    <w:rsid w:val="003069F4"/>
    <w:rsid w:val="003476EC"/>
    <w:rsid w:val="0037029A"/>
    <w:rsid w:val="003706DC"/>
    <w:rsid w:val="003707E0"/>
    <w:rsid w:val="00394DF6"/>
    <w:rsid w:val="003A2841"/>
    <w:rsid w:val="003A5CF7"/>
    <w:rsid w:val="003B04E0"/>
    <w:rsid w:val="003B28A2"/>
    <w:rsid w:val="003B3954"/>
    <w:rsid w:val="003C6771"/>
    <w:rsid w:val="003D19FC"/>
    <w:rsid w:val="003D50A6"/>
    <w:rsid w:val="004058F0"/>
    <w:rsid w:val="00407CF5"/>
    <w:rsid w:val="00417308"/>
    <w:rsid w:val="00421A22"/>
    <w:rsid w:val="00425DA5"/>
    <w:rsid w:val="00451158"/>
    <w:rsid w:val="00456FB9"/>
    <w:rsid w:val="00462E08"/>
    <w:rsid w:val="00470934"/>
    <w:rsid w:val="00470FC5"/>
    <w:rsid w:val="0047343C"/>
    <w:rsid w:val="0047497C"/>
    <w:rsid w:val="00475994"/>
    <w:rsid w:val="0047795E"/>
    <w:rsid w:val="00480262"/>
    <w:rsid w:val="00492640"/>
    <w:rsid w:val="00493F45"/>
    <w:rsid w:val="00497AAA"/>
    <w:rsid w:val="004A0F3F"/>
    <w:rsid w:val="004A6796"/>
    <w:rsid w:val="004A6EAA"/>
    <w:rsid w:val="004B43FD"/>
    <w:rsid w:val="004D050D"/>
    <w:rsid w:val="004E547E"/>
    <w:rsid w:val="004E76C3"/>
    <w:rsid w:val="004F087F"/>
    <w:rsid w:val="0050161C"/>
    <w:rsid w:val="00515AF3"/>
    <w:rsid w:val="00515E11"/>
    <w:rsid w:val="00520E39"/>
    <w:rsid w:val="005220BD"/>
    <w:rsid w:val="0053020F"/>
    <w:rsid w:val="005421C4"/>
    <w:rsid w:val="00547598"/>
    <w:rsid w:val="005553BA"/>
    <w:rsid w:val="005561D2"/>
    <w:rsid w:val="00556509"/>
    <w:rsid w:val="00563C7E"/>
    <w:rsid w:val="005731FE"/>
    <w:rsid w:val="005742E5"/>
    <w:rsid w:val="0059147A"/>
    <w:rsid w:val="00593971"/>
    <w:rsid w:val="00593B56"/>
    <w:rsid w:val="0059741D"/>
    <w:rsid w:val="005A2B70"/>
    <w:rsid w:val="005B3F98"/>
    <w:rsid w:val="005B4D89"/>
    <w:rsid w:val="005C26BE"/>
    <w:rsid w:val="005C4762"/>
    <w:rsid w:val="005D3B36"/>
    <w:rsid w:val="005E3141"/>
    <w:rsid w:val="005E6A83"/>
    <w:rsid w:val="005E7025"/>
    <w:rsid w:val="005F555D"/>
    <w:rsid w:val="005F6194"/>
    <w:rsid w:val="006009D7"/>
    <w:rsid w:val="00605EE6"/>
    <w:rsid w:val="00616BAE"/>
    <w:rsid w:val="00623022"/>
    <w:rsid w:val="006445F2"/>
    <w:rsid w:val="00645AD5"/>
    <w:rsid w:val="006465FC"/>
    <w:rsid w:val="006470CB"/>
    <w:rsid w:val="00677FAC"/>
    <w:rsid w:val="0068182B"/>
    <w:rsid w:val="0068203C"/>
    <w:rsid w:val="00683555"/>
    <w:rsid w:val="006A5F11"/>
    <w:rsid w:val="006D6A6A"/>
    <w:rsid w:val="006E247A"/>
    <w:rsid w:val="006E4D4D"/>
    <w:rsid w:val="006F411D"/>
    <w:rsid w:val="00712A0D"/>
    <w:rsid w:val="00716E32"/>
    <w:rsid w:val="00735931"/>
    <w:rsid w:val="00742A8E"/>
    <w:rsid w:val="00742FE4"/>
    <w:rsid w:val="007449F6"/>
    <w:rsid w:val="00747D89"/>
    <w:rsid w:val="00750AF8"/>
    <w:rsid w:val="007525D4"/>
    <w:rsid w:val="00760AE7"/>
    <w:rsid w:val="007611E6"/>
    <w:rsid w:val="00773921"/>
    <w:rsid w:val="0078072E"/>
    <w:rsid w:val="00782421"/>
    <w:rsid w:val="007B3975"/>
    <w:rsid w:val="007C6DD1"/>
    <w:rsid w:val="007D2A4C"/>
    <w:rsid w:val="007E49BD"/>
    <w:rsid w:val="007F21E6"/>
    <w:rsid w:val="00812D25"/>
    <w:rsid w:val="008340F7"/>
    <w:rsid w:val="008425BB"/>
    <w:rsid w:val="00853CFF"/>
    <w:rsid w:val="00856B82"/>
    <w:rsid w:val="00864912"/>
    <w:rsid w:val="00877287"/>
    <w:rsid w:val="00877F97"/>
    <w:rsid w:val="0088069D"/>
    <w:rsid w:val="00884A85"/>
    <w:rsid w:val="008906B8"/>
    <w:rsid w:val="0089490D"/>
    <w:rsid w:val="008A1EC3"/>
    <w:rsid w:val="008B0BBF"/>
    <w:rsid w:val="008B1986"/>
    <w:rsid w:val="008B69C6"/>
    <w:rsid w:val="008D358A"/>
    <w:rsid w:val="008D5049"/>
    <w:rsid w:val="008F0DF5"/>
    <w:rsid w:val="008F4759"/>
    <w:rsid w:val="008F5191"/>
    <w:rsid w:val="008F6BB3"/>
    <w:rsid w:val="00910CDB"/>
    <w:rsid w:val="009125C0"/>
    <w:rsid w:val="0091322A"/>
    <w:rsid w:val="00915031"/>
    <w:rsid w:val="00922C4F"/>
    <w:rsid w:val="00924B49"/>
    <w:rsid w:val="009277CC"/>
    <w:rsid w:val="00937CA5"/>
    <w:rsid w:val="00941E01"/>
    <w:rsid w:val="0095586A"/>
    <w:rsid w:val="00962958"/>
    <w:rsid w:val="00981129"/>
    <w:rsid w:val="00986F9D"/>
    <w:rsid w:val="009879B3"/>
    <w:rsid w:val="009A31F8"/>
    <w:rsid w:val="009B1845"/>
    <w:rsid w:val="009B292A"/>
    <w:rsid w:val="009D2480"/>
    <w:rsid w:val="009D618E"/>
    <w:rsid w:val="009D740F"/>
    <w:rsid w:val="009E02B9"/>
    <w:rsid w:val="009E060C"/>
    <w:rsid w:val="009E1C97"/>
    <w:rsid w:val="00A10EF7"/>
    <w:rsid w:val="00A140A4"/>
    <w:rsid w:val="00A16FFA"/>
    <w:rsid w:val="00A17895"/>
    <w:rsid w:val="00A23FEE"/>
    <w:rsid w:val="00A3408F"/>
    <w:rsid w:val="00A35C47"/>
    <w:rsid w:val="00A436F2"/>
    <w:rsid w:val="00A44F12"/>
    <w:rsid w:val="00A467A2"/>
    <w:rsid w:val="00A55FA8"/>
    <w:rsid w:val="00A565B2"/>
    <w:rsid w:val="00A71D32"/>
    <w:rsid w:val="00A866C6"/>
    <w:rsid w:val="00A962E4"/>
    <w:rsid w:val="00AA545E"/>
    <w:rsid w:val="00AB106C"/>
    <w:rsid w:val="00AB3E22"/>
    <w:rsid w:val="00AB69E7"/>
    <w:rsid w:val="00AC775A"/>
    <w:rsid w:val="00AE3C6F"/>
    <w:rsid w:val="00AE637A"/>
    <w:rsid w:val="00AE74C1"/>
    <w:rsid w:val="00AF241B"/>
    <w:rsid w:val="00B071FC"/>
    <w:rsid w:val="00B24341"/>
    <w:rsid w:val="00B30185"/>
    <w:rsid w:val="00B315DC"/>
    <w:rsid w:val="00B32428"/>
    <w:rsid w:val="00B36EA9"/>
    <w:rsid w:val="00B43B18"/>
    <w:rsid w:val="00B51765"/>
    <w:rsid w:val="00B51B0A"/>
    <w:rsid w:val="00B52CFD"/>
    <w:rsid w:val="00B540AB"/>
    <w:rsid w:val="00B56BF4"/>
    <w:rsid w:val="00B634E4"/>
    <w:rsid w:val="00B71C30"/>
    <w:rsid w:val="00B736F3"/>
    <w:rsid w:val="00B876D7"/>
    <w:rsid w:val="00B9531B"/>
    <w:rsid w:val="00BA4552"/>
    <w:rsid w:val="00BA45AD"/>
    <w:rsid w:val="00BC51D2"/>
    <w:rsid w:val="00BD1AEF"/>
    <w:rsid w:val="00BD53E8"/>
    <w:rsid w:val="00BE0BB5"/>
    <w:rsid w:val="00BE40C4"/>
    <w:rsid w:val="00BE58BD"/>
    <w:rsid w:val="00BF18EA"/>
    <w:rsid w:val="00BF432A"/>
    <w:rsid w:val="00C0263A"/>
    <w:rsid w:val="00C133CF"/>
    <w:rsid w:val="00C25D13"/>
    <w:rsid w:val="00C35F48"/>
    <w:rsid w:val="00C42566"/>
    <w:rsid w:val="00C55C5F"/>
    <w:rsid w:val="00C669F0"/>
    <w:rsid w:val="00C7560A"/>
    <w:rsid w:val="00C82D76"/>
    <w:rsid w:val="00C8454F"/>
    <w:rsid w:val="00C96E9B"/>
    <w:rsid w:val="00CA65E7"/>
    <w:rsid w:val="00CC15A8"/>
    <w:rsid w:val="00CC1F59"/>
    <w:rsid w:val="00CC676C"/>
    <w:rsid w:val="00CC7D89"/>
    <w:rsid w:val="00CD4BAA"/>
    <w:rsid w:val="00CE34FB"/>
    <w:rsid w:val="00CE4623"/>
    <w:rsid w:val="00D007F5"/>
    <w:rsid w:val="00D00980"/>
    <w:rsid w:val="00D079AA"/>
    <w:rsid w:val="00D1444B"/>
    <w:rsid w:val="00D14FC3"/>
    <w:rsid w:val="00D27EB2"/>
    <w:rsid w:val="00D421FD"/>
    <w:rsid w:val="00D53893"/>
    <w:rsid w:val="00D66AB4"/>
    <w:rsid w:val="00D678C5"/>
    <w:rsid w:val="00D74D79"/>
    <w:rsid w:val="00D91CD8"/>
    <w:rsid w:val="00D942CB"/>
    <w:rsid w:val="00DA1817"/>
    <w:rsid w:val="00DB00F0"/>
    <w:rsid w:val="00DC2453"/>
    <w:rsid w:val="00DE4B1D"/>
    <w:rsid w:val="00DE52F0"/>
    <w:rsid w:val="00DF1665"/>
    <w:rsid w:val="00E15CC7"/>
    <w:rsid w:val="00E202A1"/>
    <w:rsid w:val="00E202FC"/>
    <w:rsid w:val="00E227E3"/>
    <w:rsid w:val="00E30DD6"/>
    <w:rsid w:val="00E51B10"/>
    <w:rsid w:val="00E5437E"/>
    <w:rsid w:val="00E55D89"/>
    <w:rsid w:val="00E70261"/>
    <w:rsid w:val="00E734D1"/>
    <w:rsid w:val="00E814CE"/>
    <w:rsid w:val="00E82541"/>
    <w:rsid w:val="00E847D7"/>
    <w:rsid w:val="00E964C5"/>
    <w:rsid w:val="00EA2E29"/>
    <w:rsid w:val="00EA31E6"/>
    <w:rsid w:val="00EE2FC9"/>
    <w:rsid w:val="00EF50FC"/>
    <w:rsid w:val="00EF69E4"/>
    <w:rsid w:val="00F009B2"/>
    <w:rsid w:val="00F02DC1"/>
    <w:rsid w:val="00F26662"/>
    <w:rsid w:val="00F26718"/>
    <w:rsid w:val="00F328B6"/>
    <w:rsid w:val="00F37C77"/>
    <w:rsid w:val="00F37CEE"/>
    <w:rsid w:val="00F425D1"/>
    <w:rsid w:val="00F44543"/>
    <w:rsid w:val="00F45042"/>
    <w:rsid w:val="00F46792"/>
    <w:rsid w:val="00F54561"/>
    <w:rsid w:val="00F77AC3"/>
    <w:rsid w:val="00F815F3"/>
    <w:rsid w:val="00F83FBD"/>
    <w:rsid w:val="00F96B74"/>
    <w:rsid w:val="00FB52E8"/>
    <w:rsid w:val="00FB7BD9"/>
    <w:rsid w:val="00FC0081"/>
    <w:rsid w:val="00FD28C9"/>
    <w:rsid w:val="00FE2661"/>
    <w:rsid w:val="00FE52F9"/>
    <w:rsid w:val="00FF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C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4BAA"/>
    <w:rPr>
      <w:sz w:val="16"/>
      <w:szCs w:val="16"/>
    </w:rPr>
  </w:style>
  <w:style w:type="paragraph" w:styleId="CommentText">
    <w:name w:val="annotation text"/>
    <w:basedOn w:val="Normal"/>
    <w:link w:val="CommentTextChar"/>
    <w:uiPriority w:val="99"/>
    <w:unhideWhenUsed/>
    <w:rsid w:val="00CD4BAA"/>
    <w:rPr>
      <w:sz w:val="20"/>
      <w:szCs w:val="20"/>
    </w:rPr>
  </w:style>
  <w:style w:type="character" w:customStyle="1" w:styleId="CommentTextChar">
    <w:name w:val="Comment Text Char"/>
    <w:basedOn w:val="DefaultParagraphFont"/>
    <w:link w:val="CommentText"/>
    <w:uiPriority w:val="99"/>
    <w:rsid w:val="00CD4BAA"/>
    <w:rPr>
      <w:sz w:val="20"/>
      <w:szCs w:val="20"/>
    </w:rPr>
  </w:style>
  <w:style w:type="paragraph" w:styleId="CommentSubject">
    <w:name w:val="annotation subject"/>
    <w:basedOn w:val="CommentText"/>
    <w:next w:val="CommentText"/>
    <w:link w:val="CommentSubjectChar"/>
    <w:uiPriority w:val="99"/>
    <w:semiHidden/>
    <w:unhideWhenUsed/>
    <w:rsid w:val="00CD4BAA"/>
    <w:rPr>
      <w:b/>
      <w:bCs/>
    </w:rPr>
  </w:style>
  <w:style w:type="character" w:customStyle="1" w:styleId="CommentSubjectChar">
    <w:name w:val="Comment Subject Char"/>
    <w:basedOn w:val="CommentTextChar"/>
    <w:link w:val="CommentSubject"/>
    <w:uiPriority w:val="99"/>
    <w:semiHidden/>
    <w:rsid w:val="00CD4BAA"/>
    <w:rPr>
      <w:b/>
      <w:bCs/>
      <w:sz w:val="20"/>
      <w:szCs w:val="20"/>
    </w:rPr>
  </w:style>
  <w:style w:type="paragraph" w:styleId="BalloonText">
    <w:name w:val="Balloon Text"/>
    <w:basedOn w:val="Normal"/>
    <w:link w:val="BalloonTextChar"/>
    <w:uiPriority w:val="99"/>
    <w:semiHidden/>
    <w:unhideWhenUsed/>
    <w:rsid w:val="00CD4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AA"/>
    <w:rPr>
      <w:rFonts w:ascii="Tahoma" w:hAnsi="Tahoma" w:cs="Tahoma"/>
      <w:sz w:val="16"/>
      <w:szCs w:val="16"/>
    </w:rPr>
  </w:style>
  <w:style w:type="paragraph" w:styleId="Header">
    <w:name w:val="header"/>
    <w:basedOn w:val="Normal"/>
    <w:link w:val="HeaderChar"/>
    <w:uiPriority w:val="99"/>
    <w:unhideWhenUsed/>
    <w:rsid w:val="006E4D4D"/>
    <w:pPr>
      <w:tabs>
        <w:tab w:val="center" w:pos="4680"/>
        <w:tab w:val="right" w:pos="9360"/>
      </w:tabs>
      <w:spacing w:after="0"/>
    </w:pPr>
  </w:style>
  <w:style w:type="character" w:customStyle="1" w:styleId="HeaderChar">
    <w:name w:val="Header Char"/>
    <w:basedOn w:val="DefaultParagraphFont"/>
    <w:link w:val="Header"/>
    <w:uiPriority w:val="99"/>
    <w:rsid w:val="006E4D4D"/>
  </w:style>
  <w:style w:type="paragraph" w:styleId="Footer">
    <w:name w:val="footer"/>
    <w:basedOn w:val="Normal"/>
    <w:link w:val="FooterChar"/>
    <w:uiPriority w:val="99"/>
    <w:unhideWhenUsed/>
    <w:rsid w:val="006E4D4D"/>
    <w:pPr>
      <w:tabs>
        <w:tab w:val="center" w:pos="4680"/>
        <w:tab w:val="right" w:pos="9360"/>
      </w:tabs>
      <w:spacing w:after="0"/>
    </w:pPr>
  </w:style>
  <w:style w:type="character" w:customStyle="1" w:styleId="FooterChar">
    <w:name w:val="Footer Char"/>
    <w:basedOn w:val="DefaultParagraphFont"/>
    <w:link w:val="Footer"/>
    <w:uiPriority w:val="99"/>
    <w:rsid w:val="006E4D4D"/>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f,fn,Foo"/>
    <w:basedOn w:val="Normal"/>
    <w:link w:val="FootnoteTextChar"/>
    <w:semiHidden/>
    <w:unhideWhenUsed/>
    <w:rsid w:val="00E30DD6"/>
    <w:pPr>
      <w:spacing w:after="0"/>
    </w:pPr>
    <w:rPr>
      <w:sz w:val="20"/>
      <w:szCs w:val="20"/>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f Char1"/>
    <w:basedOn w:val="DefaultParagraphFont"/>
    <w:link w:val="FootnoteText"/>
    <w:uiPriority w:val="99"/>
    <w:semiHidden/>
    <w:rsid w:val="00E30DD6"/>
    <w:rPr>
      <w:sz w:val="20"/>
      <w:szCs w:val="20"/>
    </w:r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unhideWhenUsed/>
    <w:rsid w:val="00E30DD6"/>
    <w:rPr>
      <w:vertAlign w:val="superscript"/>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semiHidden/>
    <w:locked/>
    <w:rsid w:val="001D65FD"/>
  </w:style>
  <w:style w:type="paragraph" w:styleId="ListParagraph">
    <w:name w:val="List Paragraph"/>
    <w:basedOn w:val="Normal"/>
    <w:uiPriority w:val="34"/>
    <w:qFormat/>
    <w:rsid w:val="00B43B18"/>
    <w:pPr>
      <w:ind w:left="720"/>
      <w:contextualSpacing/>
    </w:pPr>
  </w:style>
  <w:style w:type="character" w:styleId="Hyperlink">
    <w:name w:val="Hyperlink"/>
    <w:basedOn w:val="DefaultParagraphFont"/>
    <w:uiPriority w:val="99"/>
    <w:unhideWhenUsed/>
    <w:rsid w:val="00DA1817"/>
    <w:rPr>
      <w:color w:val="0000FF" w:themeColor="hyperlink"/>
      <w:u w:val="single"/>
    </w:rPr>
  </w:style>
  <w:style w:type="character" w:styleId="FollowedHyperlink">
    <w:name w:val="FollowedHyperlink"/>
    <w:basedOn w:val="DefaultParagraphFont"/>
    <w:uiPriority w:val="99"/>
    <w:semiHidden/>
    <w:unhideWhenUsed/>
    <w:rsid w:val="007F21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4BAA"/>
    <w:rPr>
      <w:sz w:val="16"/>
      <w:szCs w:val="16"/>
    </w:rPr>
  </w:style>
  <w:style w:type="paragraph" w:styleId="CommentText">
    <w:name w:val="annotation text"/>
    <w:basedOn w:val="Normal"/>
    <w:link w:val="CommentTextChar"/>
    <w:uiPriority w:val="99"/>
    <w:unhideWhenUsed/>
    <w:rsid w:val="00CD4BAA"/>
    <w:rPr>
      <w:sz w:val="20"/>
      <w:szCs w:val="20"/>
    </w:rPr>
  </w:style>
  <w:style w:type="character" w:customStyle="1" w:styleId="CommentTextChar">
    <w:name w:val="Comment Text Char"/>
    <w:basedOn w:val="DefaultParagraphFont"/>
    <w:link w:val="CommentText"/>
    <w:uiPriority w:val="99"/>
    <w:rsid w:val="00CD4BAA"/>
    <w:rPr>
      <w:sz w:val="20"/>
      <w:szCs w:val="20"/>
    </w:rPr>
  </w:style>
  <w:style w:type="paragraph" w:styleId="CommentSubject">
    <w:name w:val="annotation subject"/>
    <w:basedOn w:val="CommentText"/>
    <w:next w:val="CommentText"/>
    <w:link w:val="CommentSubjectChar"/>
    <w:uiPriority w:val="99"/>
    <w:semiHidden/>
    <w:unhideWhenUsed/>
    <w:rsid w:val="00CD4BAA"/>
    <w:rPr>
      <w:b/>
      <w:bCs/>
    </w:rPr>
  </w:style>
  <w:style w:type="character" w:customStyle="1" w:styleId="CommentSubjectChar">
    <w:name w:val="Comment Subject Char"/>
    <w:basedOn w:val="CommentTextChar"/>
    <w:link w:val="CommentSubject"/>
    <w:uiPriority w:val="99"/>
    <w:semiHidden/>
    <w:rsid w:val="00CD4BAA"/>
    <w:rPr>
      <w:b/>
      <w:bCs/>
      <w:sz w:val="20"/>
      <w:szCs w:val="20"/>
    </w:rPr>
  </w:style>
  <w:style w:type="paragraph" w:styleId="BalloonText">
    <w:name w:val="Balloon Text"/>
    <w:basedOn w:val="Normal"/>
    <w:link w:val="BalloonTextChar"/>
    <w:uiPriority w:val="99"/>
    <w:semiHidden/>
    <w:unhideWhenUsed/>
    <w:rsid w:val="00CD4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AA"/>
    <w:rPr>
      <w:rFonts w:ascii="Tahoma" w:hAnsi="Tahoma" w:cs="Tahoma"/>
      <w:sz w:val="16"/>
      <w:szCs w:val="16"/>
    </w:rPr>
  </w:style>
  <w:style w:type="paragraph" w:styleId="Header">
    <w:name w:val="header"/>
    <w:basedOn w:val="Normal"/>
    <w:link w:val="HeaderChar"/>
    <w:uiPriority w:val="99"/>
    <w:unhideWhenUsed/>
    <w:rsid w:val="006E4D4D"/>
    <w:pPr>
      <w:tabs>
        <w:tab w:val="center" w:pos="4680"/>
        <w:tab w:val="right" w:pos="9360"/>
      </w:tabs>
      <w:spacing w:after="0"/>
    </w:pPr>
  </w:style>
  <w:style w:type="character" w:customStyle="1" w:styleId="HeaderChar">
    <w:name w:val="Header Char"/>
    <w:basedOn w:val="DefaultParagraphFont"/>
    <w:link w:val="Header"/>
    <w:uiPriority w:val="99"/>
    <w:rsid w:val="006E4D4D"/>
  </w:style>
  <w:style w:type="paragraph" w:styleId="Footer">
    <w:name w:val="footer"/>
    <w:basedOn w:val="Normal"/>
    <w:link w:val="FooterChar"/>
    <w:uiPriority w:val="99"/>
    <w:unhideWhenUsed/>
    <w:rsid w:val="006E4D4D"/>
    <w:pPr>
      <w:tabs>
        <w:tab w:val="center" w:pos="4680"/>
        <w:tab w:val="right" w:pos="9360"/>
      </w:tabs>
      <w:spacing w:after="0"/>
    </w:pPr>
  </w:style>
  <w:style w:type="character" w:customStyle="1" w:styleId="FooterChar">
    <w:name w:val="Footer Char"/>
    <w:basedOn w:val="DefaultParagraphFont"/>
    <w:link w:val="Footer"/>
    <w:uiPriority w:val="99"/>
    <w:rsid w:val="006E4D4D"/>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f,fn,Foo"/>
    <w:basedOn w:val="Normal"/>
    <w:link w:val="FootnoteTextChar"/>
    <w:semiHidden/>
    <w:unhideWhenUsed/>
    <w:rsid w:val="00E30DD6"/>
    <w:pPr>
      <w:spacing w:after="0"/>
    </w:pPr>
    <w:rPr>
      <w:sz w:val="20"/>
      <w:szCs w:val="20"/>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f Char1"/>
    <w:basedOn w:val="DefaultParagraphFont"/>
    <w:link w:val="FootnoteText"/>
    <w:uiPriority w:val="99"/>
    <w:semiHidden/>
    <w:rsid w:val="00E30DD6"/>
    <w:rPr>
      <w:sz w:val="20"/>
      <w:szCs w:val="20"/>
    </w:rPr>
  </w:style>
  <w:style w:type="character" w:styleId="FootnoteReference">
    <w:name w:val="footnote reference"/>
    <w:aliases w:val="Appel note de bas de p,Style 4,Style 12,(NECG) Footnote Reference,Style 124,Style 13,o,fr,Style 3,Footnote Reference1,Footnote Reference/,FR,Style 17,Style 6"/>
    <w:basedOn w:val="DefaultParagraphFont"/>
    <w:semiHidden/>
    <w:unhideWhenUsed/>
    <w:rsid w:val="00E30DD6"/>
    <w:rPr>
      <w:vertAlign w:val="superscript"/>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semiHidden/>
    <w:locked/>
    <w:rsid w:val="001D65FD"/>
  </w:style>
  <w:style w:type="paragraph" w:styleId="ListParagraph">
    <w:name w:val="List Paragraph"/>
    <w:basedOn w:val="Normal"/>
    <w:uiPriority w:val="34"/>
    <w:qFormat/>
    <w:rsid w:val="00B43B18"/>
    <w:pPr>
      <w:ind w:left="720"/>
      <w:contextualSpacing/>
    </w:pPr>
  </w:style>
  <w:style w:type="character" w:styleId="Hyperlink">
    <w:name w:val="Hyperlink"/>
    <w:basedOn w:val="DefaultParagraphFont"/>
    <w:uiPriority w:val="99"/>
    <w:unhideWhenUsed/>
    <w:rsid w:val="00DA1817"/>
    <w:rPr>
      <w:color w:val="0000FF" w:themeColor="hyperlink"/>
      <w:u w:val="single"/>
    </w:rPr>
  </w:style>
  <w:style w:type="character" w:styleId="FollowedHyperlink">
    <w:name w:val="FollowedHyperlink"/>
    <w:basedOn w:val="DefaultParagraphFont"/>
    <w:uiPriority w:val="99"/>
    <w:semiHidden/>
    <w:unhideWhenUsed/>
    <w:rsid w:val="007F2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5577</Characters>
  <Application>Microsoft Office Word</Application>
  <DocSecurity>0</DocSecurity>
  <Lines>74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2014-04-23T18:16:00Z</dcterms:created>
  <dcterms:modified xsi:type="dcterms:W3CDTF">2014-04-23T18:16:00Z</dcterms:modified>
  <cp:category> </cp:category>
  <cp:contentStatus> </cp:contentStatus>
</cp:coreProperties>
</file>