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Tr="00792828">
        <w:trPr>
          <w:trHeight w:val="1620"/>
        </w:trPr>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792828" w:rsidP="00792828">
            <w:pPr>
              <w:tabs>
                <w:tab w:val="center" w:pos="4680"/>
              </w:tabs>
              <w:suppressAutoHyphens/>
              <w:rPr>
                <w:spacing w:val="-2"/>
              </w:rPr>
            </w:pPr>
            <w:r w:rsidRPr="00792828">
              <w:rPr>
                <w:spacing w:val="-2"/>
              </w:rPr>
              <w:t xml:space="preserve">Expanding the Economic and Innovation Opportunities of Spectrum Through Incentive Auctions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92DD1"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97089" w:rsidP="00792828">
            <w:pPr>
              <w:tabs>
                <w:tab w:val="center" w:pos="4680"/>
              </w:tabs>
              <w:suppressAutoHyphens/>
              <w:rPr>
                <w:spacing w:val="-2"/>
              </w:rPr>
            </w:pPr>
            <w:r w:rsidRPr="00616049">
              <w:rPr>
                <w:spacing w:val="-2"/>
              </w:rPr>
              <w:t xml:space="preserve">GN Docket No. </w:t>
            </w:r>
            <w:r w:rsidR="00792828">
              <w:rPr>
                <w:spacing w:val="-2"/>
              </w:rPr>
              <w:t>12-268</w:t>
            </w:r>
          </w:p>
        </w:tc>
      </w:tr>
    </w:tbl>
    <w:p w:rsidR="004C2EE3" w:rsidRDefault="004C2EE3" w:rsidP="0070224F"/>
    <w:p w:rsidR="004C2A61" w:rsidRDefault="004C2A61" w:rsidP="0070224F"/>
    <w:p w:rsidR="00841AB1" w:rsidRDefault="00DB59C2" w:rsidP="00F021FA">
      <w:pPr>
        <w:pStyle w:val="StyleBoldCentered"/>
      </w:pPr>
      <w:r>
        <w:t>E</w:t>
      </w:r>
      <w:r w:rsidR="00636D3C">
        <w:t>rrat</w:t>
      </w:r>
      <w:r w:rsidR="006D41BD">
        <w:t>UM</w:t>
      </w:r>
    </w:p>
    <w:p w:rsidR="004C2EE3" w:rsidRDefault="004C2EE3">
      <w:pPr>
        <w:tabs>
          <w:tab w:val="left" w:pos="-720"/>
        </w:tabs>
        <w:suppressAutoHyphens/>
        <w:spacing w:line="227" w:lineRule="auto"/>
        <w:rPr>
          <w:spacing w:val="-2"/>
        </w:rPr>
      </w:pPr>
    </w:p>
    <w:p w:rsidR="004C2EE3" w:rsidRDefault="007A25C3" w:rsidP="00133F79">
      <w:pPr>
        <w:tabs>
          <w:tab w:val="left" w:pos="720"/>
          <w:tab w:val="right" w:pos="9360"/>
        </w:tabs>
        <w:suppressAutoHyphens/>
        <w:spacing w:line="227" w:lineRule="auto"/>
        <w:rPr>
          <w:spacing w:val="-2"/>
        </w:rPr>
      </w:pPr>
      <w:r>
        <w:rPr>
          <w:b/>
          <w:spacing w:val="-2"/>
        </w:rPr>
        <w:tab/>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AB5DE2">
        <w:rPr>
          <w:b/>
          <w:spacing w:val="-2"/>
        </w:rPr>
        <w:t>June 26</w:t>
      </w:r>
      <w:r w:rsidR="002F2B5B">
        <w:rPr>
          <w:b/>
          <w:spacing w:val="-2"/>
        </w:rPr>
        <w:t>, 2014</w:t>
      </w:r>
    </w:p>
    <w:p w:rsidR="00822CE0" w:rsidRDefault="00822CE0"/>
    <w:p w:rsidR="004C2EE3" w:rsidRDefault="004C2EE3">
      <w:pPr>
        <w:rPr>
          <w:spacing w:val="-2"/>
        </w:rPr>
      </w:pPr>
      <w:r>
        <w:t xml:space="preserve">By </w:t>
      </w:r>
      <w:r w:rsidR="004E4A22">
        <w:t>the</w:t>
      </w:r>
      <w:r w:rsidR="00244CBC">
        <w:t xml:space="preserve"> </w:t>
      </w:r>
      <w:r w:rsidR="00AF54EA">
        <w:t xml:space="preserve">Chief, </w:t>
      </w:r>
      <w:r w:rsidR="00244CBC">
        <w:t>Wireless Telecommunications Bureau</w:t>
      </w:r>
      <w:r w:rsidR="000201DB">
        <w:t xml:space="preserve"> and the Chief, Media Bureau</w:t>
      </w:r>
      <w:r>
        <w:rPr>
          <w:spacing w:val="-2"/>
        </w:rPr>
        <w:t>:</w:t>
      </w:r>
    </w:p>
    <w:p w:rsidR="00412FC5" w:rsidRDefault="00412FC5" w:rsidP="00412FC5"/>
    <w:p w:rsidR="001C0FE8" w:rsidRDefault="00907911" w:rsidP="00DC41E1">
      <w:pPr>
        <w:ind w:firstLine="720"/>
      </w:pPr>
      <w:r w:rsidRPr="008202BE">
        <w:t xml:space="preserve">On </w:t>
      </w:r>
      <w:r w:rsidR="006D41BD">
        <w:t>June 2, 2014</w:t>
      </w:r>
      <w:r w:rsidRPr="008202BE">
        <w:t xml:space="preserve">, the Commission </w:t>
      </w:r>
      <w:r w:rsidR="006D41BD">
        <w:t>releas</w:t>
      </w:r>
      <w:r w:rsidR="00E15F95">
        <w:t xml:space="preserve">ed </w:t>
      </w:r>
      <w:r w:rsidRPr="008202BE">
        <w:t xml:space="preserve">a </w:t>
      </w:r>
      <w:r w:rsidRPr="008202BE">
        <w:rPr>
          <w:i/>
        </w:rPr>
        <w:t>Report and Order</w:t>
      </w:r>
      <w:r w:rsidRPr="008202BE">
        <w:t xml:space="preserve"> </w:t>
      </w:r>
      <w:r w:rsidR="00F17BF1" w:rsidRPr="008202BE">
        <w:t>(</w:t>
      </w:r>
      <w:r w:rsidR="00792828">
        <w:rPr>
          <w:i/>
        </w:rPr>
        <w:t>Incentive Auction</w:t>
      </w:r>
      <w:r w:rsidR="00F17BF1" w:rsidRPr="008202BE">
        <w:rPr>
          <w:i/>
        </w:rPr>
        <w:t xml:space="preserve"> R&amp;O</w:t>
      </w:r>
      <w:r w:rsidR="008C4DB6">
        <w:t>), FCC 14-</w:t>
      </w:r>
      <w:r w:rsidR="00792828">
        <w:t>50</w:t>
      </w:r>
      <w:r w:rsidR="008C4DB6">
        <w:t>, in the above-</w:t>
      </w:r>
      <w:r w:rsidR="00F17BF1" w:rsidRPr="008202BE">
        <w:t xml:space="preserve">captioned proceeding.  This </w:t>
      </w:r>
      <w:r w:rsidR="00F17BF1" w:rsidRPr="005855EA">
        <w:t>Erratum</w:t>
      </w:r>
      <w:r w:rsidR="00F17BF1" w:rsidRPr="00C20D9F">
        <w:t xml:space="preserve"> </w:t>
      </w:r>
      <w:r w:rsidR="00F17BF1" w:rsidRPr="008202BE">
        <w:t xml:space="preserve">amends </w:t>
      </w:r>
      <w:r w:rsidR="00D82D19" w:rsidRPr="008202BE">
        <w:t xml:space="preserve">the </w:t>
      </w:r>
      <w:r w:rsidR="00792828">
        <w:rPr>
          <w:i/>
        </w:rPr>
        <w:t>Incentive Auction</w:t>
      </w:r>
      <w:r w:rsidR="00D82D19" w:rsidRPr="0006019A">
        <w:rPr>
          <w:i/>
        </w:rPr>
        <w:t xml:space="preserve"> R&amp;O</w:t>
      </w:r>
      <w:r w:rsidR="00D82D19" w:rsidRPr="0006019A">
        <w:t xml:space="preserve"> as indicated below</w:t>
      </w:r>
      <w:r w:rsidR="00C20D9F">
        <w:t>:</w:t>
      </w:r>
      <w:r w:rsidR="00D82D19" w:rsidRPr="0006019A">
        <w:t xml:space="preserve">  </w:t>
      </w:r>
    </w:p>
    <w:p w:rsidR="00DC41E1" w:rsidRPr="0006019A" w:rsidRDefault="00DC41E1" w:rsidP="00DC41E1">
      <w:pPr>
        <w:ind w:firstLine="720"/>
      </w:pPr>
    </w:p>
    <w:p w:rsidR="003B29A8" w:rsidRDefault="003B29A8" w:rsidP="00032A10">
      <w:pPr>
        <w:pStyle w:val="ParaNum"/>
        <w:numPr>
          <w:ilvl w:val="0"/>
          <w:numId w:val="21"/>
        </w:numPr>
        <w:ind w:left="0" w:firstLine="360"/>
      </w:pPr>
      <w:r>
        <w:t xml:space="preserve">In the Table of Contents, </w:t>
      </w:r>
      <w:r w:rsidR="006D41BD">
        <w:t>for “Section V.C. Transition Procedures…,” replace</w:t>
      </w:r>
      <w:r>
        <w:t xml:space="preserve"> paragraph number “532” </w:t>
      </w:r>
      <w:r w:rsidR="006D41BD">
        <w:t>with “</w:t>
      </w:r>
      <w:r>
        <w:t>539</w:t>
      </w:r>
      <w:r w:rsidR="006D41BD">
        <w:t>.”</w:t>
      </w:r>
    </w:p>
    <w:p w:rsidR="00EF5EB4" w:rsidRDefault="002F2AA8" w:rsidP="00032A10">
      <w:pPr>
        <w:pStyle w:val="ParaNum"/>
        <w:numPr>
          <w:ilvl w:val="0"/>
          <w:numId w:val="21"/>
        </w:numPr>
        <w:ind w:left="0" w:firstLine="360"/>
      </w:pPr>
      <w:r>
        <w:t xml:space="preserve">In </w:t>
      </w:r>
      <w:r w:rsidR="004549F4">
        <w:t>F</w:t>
      </w:r>
      <w:r w:rsidR="00EF5EB4">
        <w:t>ootnote 8</w:t>
      </w:r>
      <w:r>
        <w:t xml:space="preserve">, </w:t>
      </w:r>
      <w:r w:rsidR="006D41BD">
        <w:t xml:space="preserve">the first sentence is </w:t>
      </w:r>
      <w:r w:rsidR="00EF5EB4">
        <w:t>correct</w:t>
      </w:r>
      <w:r w:rsidR="006D41BD">
        <w:t>ed</w:t>
      </w:r>
      <w:r>
        <w:t xml:space="preserve"> </w:t>
      </w:r>
      <w:r w:rsidR="00EF5EB4">
        <w:t>to read as follows:</w:t>
      </w:r>
    </w:p>
    <w:p w:rsidR="00EF5EB4" w:rsidRDefault="006D41BD" w:rsidP="00EF5EB4">
      <w:pPr>
        <w:pStyle w:val="ParaNum"/>
        <w:numPr>
          <w:ilvl w:val="0"/>
          <w:numId w:val="0"/>
        </w:numPr>
        <w:ind w:left="720"/>
      </w:pPr>
      <w:r>
        <w:rPr>
          <w:i/>
          <w:iCs/>
        </w:rPr>
        <w:t>“</w:t>
      </w:r>
      <w:r w:rsidR="00EF5EB4" w:rsidRPr="00CF0D1E">
        <w:rPr>
          <w:i/>
          <w:iCs/>
        </w:rPr>
        <w:t>See, e.g.</w:t>
      </w:r>
      <w:r w:rsidR="00EF5EB4" w:rsidRPr="00E84E25">
        <w:rPr>
          <w:i/>
        </w:rPr>
        <w:t>,</w:t>
      </w:r>
      <w:r w:rsidR="00EF5EB4" w:rsidRPr="00CF0D1E">
        <w:t xml:space="preserve"> </w:t>
      </w:r>
      <w:r w:rsidR="00EF5EB4" w:rsidRPr="00CF0D1E">
        <w:rPr>
          <w:i/>
          <w:iCs/>
        </w:rPr>
        <w:t>FCC Announces Panelists for September 30, 2013, Workshop on Issues Surrounding the Reassignment of TV Stations After the Incentive Auction</w:t>
      </w:r>
      <w:r w:rsidR="00EF5EB4">
        <w:rPr>
          <w:iCs/>
        </w:rPr>
        <w:t>,</w:t>
      </w:r>
      <w:r w:rsidR="00EF5EB4">
        <w:rPr>
          <w:i/>
          <w:iCs/>
        </w:rPr>
        <w:t xml:space="preserve"> </w:t>
      </w:r>
      <w:r w:rsidR="00EF5EB4" w:rsidRPr="00CF0D1E">
        <w:t>GN Docket No. 12-268</w:t>
      </w:r>
      <w:r w:rsidR="00EF5EB4">
        <w:t>,</w:t>
      </w:r>
      <w:r w:rsidR="00EF5EB4" w:rsidRPr="00CF0D1E">
        <w:t xml:space="preserve"> Public Notice, </w:t>
      </w:r>
      <w:r w:rsidR="00EF5EB4">
        <w:t>28 FCC Rcd 13805 (2013)</w:t>
      </w:r>
      <w:r w:rsidR="00EF5EB4" w:rsidRPr="00CF0D1E">
        <w:t xml:space="preserve">; </w:t>
      </w:r>
      <w:r w:rsidR="00EF5EB4" w:rsidRPr="00CF0D1E">
        <w:rPr>
          <w:i/>
          <w:iCs/>
        </w:rPr>
        <w:t>FCC Announces Details for June 25, 2012 TV Broadcaster Relocation Fund Workshop</w:t>
      </w:r>
      <w:r w:rsidR="00EF5EB4" w:rsidRPr="00CF0D1E">
        <w:t>, GN Docket No. 12-268</w:t>
      </w:r>
      <w:r w:rsidR="00EF5EB4">
        <w:t>, News Release, 2012 WL 1965368</w:t>
      </w:r>
      <w:r w:rsidR="00EF5EB4" w:rsidRPr="00CF0D1E">
        <w:t xml:space="preserve"> (</w:t>
      </w:r>
      <w:r w:rsidR="00EF5EB4">
        <w:t xml:space="preserve">rel. </w:t>
      </w:r>
      <w:r w:rsidR="00EF5EB4" w:rsidRPr="00CF0D1E">
        <w:t xml:space="preserve">June 1, 2012); </w:t>
      </w:r>
      <w:r w:rsidR="00EF5EB4" w:rsidRPr="00CF0D1E">
        <w:rPr>
          <w:i/>
          <w:iCs/>
        </w:rPr>
        <w:t>FCC Announces Details for May 22, 2012 Channel Sharing Workshop</w:t>
      </w:r>
      <w:r w:rsidR="00EF5EB4" w:rsidRPr="00CF0D1E">
        <w:t>, GN Docket No. 12-268</w:t>
      </w:r>
      <w:r w:rsidR="00EF5EB4">
        <w:t>, News Release, 2012 WL 1524622</w:t>
      </w:r>
      <w:r w:rsidR="00EF5EB4" w:rsidRPr="00CF0D1E">
        <w:t xml:space="preserve"> (</w:t>
      </w:r>
      <w:r w:rsidR="00EF5EB4">
        <w:t xml:space="preserve">rel. </w:t>
      </w:r>
      <w:r w:rsidR="00EF5EB4" w:rsidRPr="00CF0D1E">
        <w:t>May 1, 2012)</w:t>
      </w:r>
      <w:r w:rsidR="00EF5EB4">
        <w:t>.</w:t>
      </w:r>
      <w:r>
        <w:t>”</w:t>
      </w:r>
      <w:r w:rsidR="00EF5EB4" w:rsidRPr="00CF0D1E">
        <w:t> </w:t>
      </w:r>
    </w:p>
    <w:p w:rsidR="00EF5EB4" w:rsidRDefault="004549F4" w:rsidP="00032A10">
      <w:pPr>
        <w:pStyle w:val="ParaNum"/>
        <w:numPr>
          <w:ilvl w:val="0"/>
          <w:numId w:val="21"/>
        </w:numPr>
        <w:ind w:left="0" w:firstLine="360"/>
      </w:pPr>
      <w:r>
        <w:t>F</w:t>
      </w:r>
      <w:r w:rsidR="00EF5EB4">
        <w:t xml:space="preserve">ootnote 13 </w:t>
      </w:r>
      <w:r>
        <w:t>is</w:t>
      </w:r>
      <w:r w:rsidR="00EF5EB4">
        <w:t xml:space="preserve"> correct</w:t>
      </w:r>
      <w:r>
        <w:t>ed</w:t>
      </w:r>
      <w:r w:rsidR="00EF5EB4">
        <w:t xml:space="preserve"> to read as follows:</w:t>
      </w:r>
    </w:p>
    <w:p w:rsidR="00EF5EB4" w:rsidRDefault="004549F4" w:rsidP="00EF5EB4">
      <w:pPr>
        <w:pStyle w:val="ParaNum"/>
        <w:numPr>
          <w:ilvl w:val="0"/>
          <w:numId w:val="0"/>
        </w:numPr>
        <w:ind w:left="720"/>
      </w:pPr>
      <w:r>
        <w:rPr>
          <w:i/>
        </w:rPr>
        <w:t>“</w:t>
      </w:r>
      <w:r w:rsidR="00EF5EB4" w:rsidRPr="00CF0D1E">
        <w:rPr>
          <w:i/>
        </w:rPr>
        <w:t xml:space="preserve">See </w:t>
      </w:r>
      <w:r w:rsidR="00EF5EB4" w:rsidRPr="00CF0D1E">
        <w:rPr>
          <w:color w:val="000000"/>
        </w:rPr>
        <w:t>Spectrum Act § 6403(b)(2) (requiring “all reasonable efforts to preserve, as of the date of the enactment of this Act, the coverage area and population served of each broadcast television licensee, as determined using the methodology described in OET Bulletin 69”)</w:t>
      </w:r>
      <w:r w:rsidR="00EF5EB4" w:rsidRPr="00CF0D1E">
        <w:t>.</w:t>
      </w:r>
      <w:r>
        <w:rPr>
          <w:color w:val="000000"/>
        </w:rPr>
        <w:t>”</w:t>
      </w:r>
    </w:p>
    <w:p w:rsidR="004B6654" w:rsidRDefault="00EF5EB4" w:rsidP="00032A10">
      <w:pPr>
        <w:pStyle w:val="ParaNum"/>
        <w:numPr>
          <w:ilvl w:val="0"/>
          <w:numId w:val="21"/>
        </w:numPr>
        <w:ind w:left="0" w:firstLine="360"/>
      </w:pPr>
      <w:r>
        <w:t xml:space="preserve">In </w:t>
      </w:r>
      <w:r w:rsidR="004549F4">
        <w:t>F</w:t>
      </w:r>
      <w:r>
        <w:t>ootnote 179</w:t>
      </w:r>
      <w:r w:rsidR="004549F4">
        <w:t>,</w:t>
      </w:r>
      <w:r>
        <w:t xml:space="preserve"> </w:t>
      </w:r>
      <w:r w:rsidR="00AD2E62">
        <w:t xml:space="preserve">add a comma between </w:t>
      </w:r>
      <w:r>
        <w:t>the last “</w:t>
      </w:r>
      <w:r>
        <w:rPr>
          <w:i/>
        </w:rPr>
        <w:t>See e.g.</w:t>
      </w:r>
      <w:r w:rsidR="00AD2E62">
        <w:rPr>
          <w:i/>
        </w:rPr>
        <w:t>,</w:t>
      </w:r>
      <w:r>
        <w:t>”</w:t>
      </w:r>
    </w:p>
    <w:p w:rsidR="00EF5EB4" w:rsidRDefault="00EF5EB4" w:rsidP="00032A10">
      <w:pPr>
        <w:pStyle w:val="ParaNum"/>
        <w:numPr>
          <w:ilvl w:val="0"/>
          <w:numId w:val="21"/>
        </w:numPr>
        <w:ind w:left="0" w:firstLine="360"/>
      </w:pPr>
      <w:r>
        <w:t xml:space="preserve">In </w:t>
      </w:r>
      <w:r w:rsidR="004B6654">
        <w:t>F</w:t>
      </w:r>
      <w:r>
        <w:t xml:space="preserve">ootnote 234, </w:t>
      </w:r>
      <w:r w:rsidR="00AD2E62">
        <w:t xml:space="preserve">add a comma between </w:t>
      </w:r>
      <w:r>
        <w:t>the first “</w:t>
      </w:r>
      <w:r w:rsidRPr="00AD2E62">
        <w:rPr>
          <w:i/>
        </w:rPr>
        <w:t>See e.g.</w:t>
      </w:r>
      <w:r>
        <w:t>”</w:t>
      </w:r>
    </w:p>
    <w:p w:rsidR="00EF5EB4" w:rsidRDefault="00EF5EB4" w:rsidP="00032A10">
      <w:pPr>
        <w:pStyle w:val="ParaNum"/>
        <w:numPr>
          <w:ilvl w:val="0"/>
          <w:numId w:val="21"/>
        </w:numPr>
        <w:ind w:left="0" w:firstLine="360"/>
      </w:pPr>
      <w:r>
        <w:t xml:space="preserve">In </w:t>
      </w:r>
      <w:r w:rsidR="004549F4">
        <w:t>F</w:t>
      </w:r>
      <w:r>
        <w:t>ootnote</w:t>
      </w:r>
      <w:r w:rsidR="004549F4">
        <w:t>s</w:t>
      </w:r>
      <w:r>
        <w:t xml:space="preserve"> 332</w:t>
      </w:r>
      <w:r w:rsidR="004549F4">
        <w:t>, 335, 340, and 341</w:t>
      </w:r>
      <w:r>
        <w:t xml:space="preserve">, </w:t>
      </w:r>
      <w:r w:rsidR="00AD2E62">
        <w:t xml:space="preserve">add a comma between </w:t>
      </w:r>
      <w:r>
        <w:t>“</w:t>
      </w:r>
      <w:r>
        <w:rPr>
          <w:i/>
        </w:rPr>
        <w:t>See e.g.</w:t>
      </w:r>
      <w:r>
        <w:t>”</w:t>
      </w:r>
    </w:p>
    <w:p w:rsidR="002F3CB8" w:rsidRDefault="004549F4" w:rsidP="00032A10">
      <w:pPr>
        <w:pStyle w:val="ParaNum"/>
        <w:numPr>
          <w:ilvl w:val="0"/>
          <w:numId w:val="21"/>
        </w:numPr>
        <w:ind w:left="0" w:firstLine="360"/>
      </w:pPr>
      <w:r>
        <w:t>F</w:t>
      </w:r>
      <w:r w:rsidR="002F3CB8">
        <w:t xml:space="preserve">ootnote 346 </w:t>
      </w:r>
      <w:r>
        <w:t>is</w:t>
      </w:r>
      <w:r w:rsidR="004127D5">
        <w:t xml:space="preserve"> </w:t>
      </w:r>
      <w:r w:rsidR="002F3CB8">
        <w:t>correct</w:t>
      </w:r>
      <w:r>
        <w:t>ed</w:t>
      </w:r>
      <w:r w:rsidR="002F3CB8">
        <w:t xml:space="preserve"> to read as follows:</w:t>
      </w:r>
    </w:p>
    <w:p w:rsidR="002F3CB8" w:rsidRDefault="004549F4" w:rsidP="002F3CB8">
      <w:pPr>
        <w:pStyle w:val="ParaNum"/>
        <w:numPr>
          <w:ilvl w:val="0"/>
          <w:numId w:val="0"/>
        </w:numPr>
        <w:ind w:left="720"/>
      </w:pPr>
      <w:r>
        <w:rPr>
          <w:i/>
        </w:rPr>
        <w:t>“</w:t>
      </w:r>
      <w:r w:rsidR="002F3CB8" w:rsidRPr="00CF0D1E">
        <w:rPr>
          <w:i/>
        </w:rPr>
        <w:t>See, e.g.</w:t>
      </w:r>
      <w:r w:rsidR="002F3CB8" w:rsidRPr="00CF0D1E">
        <w:t>, Alcatel</w:t>
      </w:r>
      <w:r w:rsidR="002F3CB8">
        <w:t>-</w:t>
      </w:r>
      <w:r w:rsidR="002F3CB8" w:rsidRPr="00CF0D1E">
        <w:t>Lucent Comments at 13 (“Considering the body loss for both terminals, a new entrant’s terminal transmitting, for example, at 650 MHz at 200 MWatts (23</w:t>
      </w:r>
      <w:r w:rsidR="002F3CB8">
        <w:t xml:space="preserve"> </w:t>
      </w:r>
      <w:r w:rsidR="002F3CB8" w:rsidRPr="00CF0D1E">
        <w:t>dBm) can inject -26dBm into a nearby PCS terminal’s receive antenna.”).</w:t>
      </w:r>
      <w:r>
        <w:t>”</w:t>
      </w:r>
      <w:r w:rsidR="002F3CB8" w:rsidRPr="00CF0D1E">
        <w:t xml:space="preserve"> </w:t>
      </w:r>
      <w:r w:rsidR="002F3CB8" w:rsidRPr="00CF0D1E" w:rsidDel="00E23E86">
        <w:t xml:space="preserve"> </w:t>
      </w:r>
    </w:p>
    <w:p w:rsidR="002F3CB8" w:rsidRDefault="00740CE0" w:rsidP="00032A10">
      <w:pPr>
        <w:pStyle w:val="ParaNum"/>
        <w:numPr>
          <w:ilvl w:val="0"/>
          <w:numId w:val="21"/>
        </w:numPr>
        <w:ind w:left="0" w:firstLine="360"/>
      </w:pPr>
      <w:r>
        <w:t>F</w:t>
      </w:r>
      <w:r w:rsidR="002F3CB8">
        <w:t xml:space="preserve">ootnote 347 </w:t>
      </w:r>
      <w:r>
        <w:t>is</w:t>
      </w:r>
      <w:r w:rsidR="004127D5">
        <w:t xml:space="preserve"> </w:t>
      </w:r>
      <w:r w:rsidR="002F3CB8">
        <w:t>correct</w:t>
      </w:r>
      <w:r>
        <w:t>ed</w:t>
      </w:r>
      <w:r w:rsidR="002F3CB8">
        <w:t xml:space="preserve"> to read as:</w:t>
      </w:r>
      <w:r w:rsidR="00D130CB">
        <w:t xml:space="preserve">  </w:t>
      </w:r>
      <w:r>
        <w:t>“</w:t>
      </w:r>
      <w:r w:rsidR="002F3CB8" w:rsidRPr="00CF0D1E">
        <w:t>Alcatel</w:t>
      </w:r>
      <w:r w:rsidR="002F3CB8">
        <w:t>-</w:t>
      </w:r>
      <w:r w:rsidR="002F3CB8" w:rsidRPr="00CF0D1E">
        <w:t>Lucent Comments at 3, 13-14; AT&amp;T Comments at 19, 24-27; CTIA Comments at 26; Ericsson Reply at 31-32; Nokia Comments at 13-14; Verizon Comments at 14.</w:t>
      </w:r>
      <w:r>
        <w:t>”</w:t>
      </w:r>
    </w:p>
    <w:p w:rsidR="002F3CB8" w:rsidRDefault="00740CE0" w:rsidP="00032A10">
      <w:pPr>
        <w:pStyle w:val="ParaNum"/>
        <w:numPr>
          <w:ilvl w:val="0"/>
          <w:numId w:val="21"/>
        </w:numPr>
        <w:ind w:left="0" w:firstLine="360"/>
      </w:pPr>
      <w:r>
        <w:t>F</w:t>
      </w:r>
      <w:r w:rsidR="002F3CB8">
        <w:t xml:space="preserve">ootnote 348 </w:t>
      </w:r>
      <w:r>
        <w:t xml:space="preserve">is </w:t>
      </w:r>
      <w:r w:rsidR="002F3CB8">
        <w:t>correct</w:t>
      </w:r>
      <w:r>
        <w:t>ed</w:t>
      </w:r>
      <w:r w:rsidR="002F3CB8">
        <w:t xml:space="preserve"> to read as:</w:t>
      </w:r>
      <w:r>
        <w:t xml:space="preserve">  “</w:t>
      </w:r>
      <w:r w:rsidR="002F3CB8" w:rsidRPr="00CF0D1E">
        <w:t>Alcatel</w:t>
      </w:r>
      <w:r w:rsidR="002F3CB8">
        <w:t>-</w:t>
      </w:r>
      <w:r w:rsidR="002F3CB8" w:rsidRPr="00CF0D1E">
        <w:t xml:space="preserve">Lucent Comments at 17; DISH Reply at 8-9; </w:t>
      </w:r>
      <w:r w:rsidR="002F3CB8" w:rsidRPr="00CF0D1E">
        <w:lastRenderedPageBreak/>
        <w:t>Sprint Comments at 25; T-Mobile Reply at 23-26.</w:t>
      </w:r>
      <w:r>
        <w:t>”</w:t>
      </w:r>
    </w:p>
    <w:p w:rsidR="002F3CB8" w:rsidRDefault="00740CE0" w:rsidP="00032A10">
      <w:pPr>
        <w:pStyle w:val="ParaNum"/>
        <w:numPr>
          <w:ilvl w:val="0"/>
          <w:numId w:val="21"/>
        </w:numPr>
        <w:ind w:left="0" w:firstLine="360"/>
      </w:pPr>
      <w:r>
        <w:t>F</w:t>
      </w:r>
      <w:r w:rsidR="002F3CB8">
        <w:t xml:space="preserve">ootnote 349 </w:t>
      </w:r>
      <w:r>
        <w:t>is</w:t>
      </w:r>
      <w:r w:rsidR="004127D5">
        <w:t xml:space="preserve"> </w:t>
      </w:r>
      <w:r w:rsidR="002F3CB8">
        <w:t>correct</w:t>
      </w:r>
      <w:r>
        <w:t>ed</w:t>
      </w:r>
      <w:r w:rsidR="002F3CB8">
        <w:t xml:space="preserve"> to read as:</w:t>
      </w:r>
      <w:r>
        <w:t xml:space="preserve">  “</w:t>
      </w:r>
      <w:r w:rsidR="002F3CB8" w:rsidRPr="00CF0D1E">
        <w:t>Alcatel</w:t>
      </w:r>
      <w:r w:rsidR="002F3CB8">
        <w:t>-</w:t>
      </w:r>
      <w:r w:rsidR="002F3CB8" w:rsidRPr="00CF0D1E">
        <w:t>Lucent Comments at 17.</w:t>
      </w:r>
      <w:r>
        <w:t>”</w:t>
      </w:r>
    </w:p>
    <w:p w:rsidR="003B29A8" w:rsidRDefault="00740CE0" w:rsidP="00032A10">
      <w:pPr>
        <w:pStyle w:val="ParaNum"/>
        <w:numPr>
          <w:ilvl w:val="0"/>
          <w:numId w:val="21"/>
        </w:numPr>
        <w:ind w:left="0" w:firstLine="360"/>
      </w:pPr>
      <w:r>
        <w:t>F</w:t>
      </w:r>
      <w:r w:rsidR="003B29A8">
        <w:t xml:space="preserve">ootnote 918 </w:t>
      </w:r>
      <w:r>
        <w:t>is corrected</w:t>
      </w:r>
      <w:r w:rsidR="002F2AA8">
        <w:t xml:space="preserve"> </w:t>
      </w:r>
      <w:r w:rsidR="003B29A8">
        <w:t>to read as follows:</w:t>
      </w:r>
    </w:p>
    <w:p w:rsidR="003B29A8" w:rsidRDefault="00740CE0" w:rsidP="00032A10">
      <w:pPr>
        <w:pStyle w:val="ParaNum"/>
        <w:numPr>
          <w:ilvl w:val="0"/>
          <w:numId w:val="0"/>
        </w:numPr>
        <w:spacing w:after="240"/>
        <w:ind w:left="720"/>
      </w:pPr>
      <w:r>
        <w:t>“</w:t>
      </w:r>
      <w:r w:rsidR="003B29A8">
        <w:t xml:space="preserve">Concurrent with our release of this Order, we will be releasing an order in the wireless microphones proceeding that provides for limited expansion of Part 74 licensee eligibility for certain unlicensed wireless microphone users.  </w:t>
      </w:r>
      <w:r w:rsidR="003B29A8" w:rsidRPr="002433AC">
        <w:rPr>
          <w:i/>
        </w:rPr>
        <w:t xml:space="preserve">See Revisions to Rules Authorizing the Operation of Low Power Auxiliary Stations in the 698-806 MHz Band, </w:t>
      </w:r>
      <w:r w:rsidR="003B29A8" w:rsidRPr="002C5532">
        <w:t xml:space="preserve">WT Docket No. 08-166, WT Docket No. 08-167, ET Docket No. 10-24, Report and Order and Further Notice of Proposed Rulemaking, </w:t>
      </w:r>
      <w:r w:rsidR="003B29A8">
        <w:t>FCC 14-50 (adopted May 15, 2014)</w:t>
      </w:r>
      <w:r w:rsidR="003B29A8" w:rsidRPr="002433AC">
        <w:rPr>
          <w:i/>
        </w:rPr>
        <w:t xml:space="preserve"> </w:t>
      </w:r>
      <w:r w:rsidR="003B29A8">
        <w:t>(</w:t>
      </w:r>
      <w:r w:rsidR="003B29A8" w:rsidRPr="002433AC">
        <w:rPr>
          <w:i/>
        </w:rPr>
        <w:t>Wireless Microphones Second Report and Order</w:t>
      </w:r>
      <w:r w:rsidR="003B29A8">
        <w:t>).</w:t>
      </w:r>
      <w:r>
        <w:t>”</w:t>
      </w:r>
    </w:p>
    <w:p w:rsidR="003B29A8" w:rsidRPr="00032A10" w:rsidRDefault="00740CE0" w:rsidP="00032A10">
      <w:pPr>
        <w:pStyle w:val="ParaNum"/>
        <w:numPr>
          <w:ilvl w:val="0"/>
          <w:numId w:val="21"/>
        </w:numPr>
        <w:ind w:left="0" w:firstLine="360"/>
        <w:rPr>
          <w:i/>
          <w:szCs w:val="22"/>
        </w:rPr>
      </w:pPr>
      <w:r>
        <w:t>F</w:t>
      </w:r>
      <w:r w:rsidR="003B29A8">
        <w:rPr>
          <w:szCs w:val="22"/>
        </w:rPr>
        <w:t>ootnote</w:t>
      </w:r>
      <w:r w:rsidR="00D130CB">
        <w:rPr>
          <w:szCs w:val="22"/>
        </w:rPr>
        <w:t>s</w:t>
      </w:r>
      <w:r w:rsidR="003B29A8">
        <w:rPr>
          <w:szCs w:val="22"/>
        </w:rPr>
        <w:t xml:space="preserve"> 935</w:t>
      </w:r>
      <w:r w:rsidR="00D130CB">
        <w:rPr>
          <w:szCs w:val="22"/>
        </w:rPr>
        <w:t xml:space="preserve"> and 945</w:t>
      </w:r>
      <w:r w:rsidR="003B29A8">
        <w:rPr>
          <w:szCs w:val="22"/>
        </w:rPr>
        <w:t xml:space="preserve"> </w:t>
      </w:r>
      <w:r w:rsidR="00D130CB">
        <w:rPr>
          <w:szCs w:val="22"/>
        </w:rPr>
        <w:t>are</w:t>
      </w:r>
      <w:r>
        <w:rPr>
          <w:szCs w:val="22"/>
        </w:rPr>
        <w:t xml:space="preserve"> corrected</w:t>
      </w:r>
      <w:r w:rsidR="003B29A8">
        <w:rPr>
          <w:szCs w:val="22"/>
        </w:rPr>
        <w:t xml:space="preserve"> to read as:</w:t>
      </w:r>
      <w:r>
        <w:rPr>
          <w:szCs w:val="22"/>
        </w:rPr>
        <w:t xml:space="preserve">  </w:t>
      </w:r>
      <w:r w:rsidRPr="00032A10">
        <w:rPr>
          <w:i/>
          <w:szCs w:val="22"/>
        </w:rPr>
        <w:t>“</w:t>
      </w:r>
      <w:r w:rsidR="003B29A8" w:rsidRPr="00032A10">
        <w:rPr>
          <w:i/>
          <w:szCs w:val="22"/>
        </w:rPr>
        <w:t>See generally Wireless Microphones Second Report and Order.</w:t>
      </w:r>
      <w:r>
        <w:rPr>
          <w:i/>
          <w:szCs w:val="22"/>
        </w:rPr>
        <w:t>”</w:t>
      </w:r>
    </w:p>
    <w:p w:rsidR="003B29A8" w:rsidRDefault="00740CE0" w:rsidP="00032A10">
      <w:pPr>
        <w:pStyle w:val="ParaNum"/>
        <w:numPr>
          <w:ilvl w:val="0"/>
          <w:numId w:val="21"/>
        </w:numPr>
        <w:ind w:left="0" w:firstLine="360"/>
        <w:rPr>
          <w:szCs w:val="22"/>
        </w:rPr>
      </w:pPr>
      <w:r>
        <w:rPr>
          <w:szCs w:val="22"/>
        </w:rPr>
        <w:t>F</w:t>
      </w:r>
      <w:r w:rsidR="003B29A8">
        <w:rPr>
          <w:szCs w:val="22"/>
        </w:rPr>
        <w:t xml:space="preserve">ootnote 958 </w:t>
      </w:r>
      <w:r>
        <w:rPr>
          <w:szCs w:val="22"/>
        </w:rPr>
        <w:t>is corrected</w:t>
      </w:r>
      <w:r w:rsidR="003B29A8">
        <w:rPr>
          <w:szCs w:val="22"/>
        </w:rPr>
        <w:t xml:space="preserve"> to read as follows:</w:t>
      </w:r>
    </w:p>
    <w:p w:rsidR="003B29A8" w:rsidRDefault="00740CE0" w:rsidP="00032A10">
      <w:pPr>
        <w:pStyle w:val="ParaNum"/>
        <w:numPr>
          <w:ilvl w:val="0"/>
          <w:numId w:val="0"/>
        </w:numPr>
        <w:ind w:left="720"/>
      </w:pPr>
      <w:r>
        <w:t>“</w:t>
      </w:r>
      <w:r w:rsidR="003B29A8" w:rsidRPr="00CF0D1E">
        <w:t>We note that in recent years wireless microphone users have been turning increasingly to frequency bands outside of the UHF band to address some types of their needs, including uses on a</w:t>
      </w:r>
      <w:r w:rsidR="003B29A8">
        <w:t>n</w:t>
      </w:r>
      <w:r w:rsidR="003B29A8" w:rsidRPr="00CF0D1E">
        <w:t xml:space="preserve"> unlicensed basis in the 902-928 MHz and 2.</w:t>
      </w:r>
      <w:r w:rsidR="003B29A8">
        <w:t>4</w:t>
      </w:r>
      <w:r w:rsidR="003B29A8" w:rsidRPr="00CF0D1E">
        <w:t xml:space="preserve"> GHz bands.</w:t>
      </w:r>
      <w:r>
        <w:t>”</w:t>
      </w:r>
    </w:p>
    <w:p w:rsidR="003B29A8" w:rsidRDefault="003B29A8" w:rsidP="00032A10">
      <w:pPr>
        <w:pStyle w:val="ParaNum"/>
        <w:numPr>
          <w:ilvl w:val="0"/>
          <w:numId w:val="21"/>
        </w:numPr>
        <w:ind w:left="0" w:firstLine="360"/>
      </w:pPr>
      <w:r>
        <w:t xml:space="preserve">In </w:t>
      </w:r>
      <w:r w:rsidR="00740CE0">
        <w:t>P</w:t>
      </w:r>
      <w:r>
        <w:t xml:space="preserve">aragraph </w:t>
      </w:r>
      <w:r w:rsidRPr="00A16C76">
        <w:t>325</w:t>
      </w:r>
      <w:r>
        <w:t xml:space="preserve">, </w:t>
      </w:r>
      <w:r w:rsidR="004B6654">
        <w:t xml:space="preserve">correct </w:t>
      </w:r>
      <w:r w:rsidR="00D130CB">
        <w:t xml:space="preserve">the </w:t>
      </w:r>
      <w:r>
        <w:t>spacing between the second and third sentence</w:t>
      </w:r>
      <w:r w:rsidR="004B6654">
        <w:t xml:space="preserve"> </w:t>
      </w:r>
      <w:r>
        <w:t>as follows:</w:t>
      </w:r>
      <w:r w:rsidR="00D130CB">
        <w:t xml:space="preserve"> </w:t>
      </w:r>
      <w:r w:rsidR="004B6654">
        <w:t xml:space="preserve"> </w:t>
      </w:r>
      <w:r w:rsidR="00D130CB">
        <w:t>“...</w:t>
      </w:r>
      <w:r w:rsidR="00D130CB" w:rsidRPr="005842F0">
        <w:t xml:space="preserve">usage rights. </w:t>
      </w:r>
      <w:r w:rsidR="00D130CB">
        <w:t xml:space="preserve"> </w:t>
      </w:r>
      <w:r w:rsidR="00D130CB" w:rsidRPr="005842F0">
        <w:t>The forward auction</w:t>
      </w:r>
      <w:r w:rsidR="00D130CB">
        <w:t>….”</w:t>
      </w:r>
    </w:p>
    <w:p w:rsidR="002F3CB8" w:rsidRDefault="002F3CB8" w:rsidP="00032A10">
      <w:pPr>
        <w:pStyle w:val="ParaNum"/>
        <w:numPr>
          <w:ilvl w:val="0"/>
          <w:numId w:val="21"/>
        </w:numPr>
        <w:ind w:left="0" w:firstLine="360"/>
      </w:pPr>
      <w:r>
        <w:t xml:space="preserve">In </w:t>
      </w:r>
      <w:r w:rsidR="00D130CB">
        <w:t>F</w:t>
      </w:r>
      <w:r w:rsidRPr="00A16C76">
        <w:t>ootnote</w:t>
      </w:r>
      <w:r w:rsidR="00D130CB">
        <w:t>s</w:t>
      </w:r>
      <w:r w:rsidRPr="00A16C76">
        <w:t xml:space="preserve"> 991</w:t>
      </w:r>
      <w:r>
        <w:t xml:space="preserve"> </w:t>
      </w:r>
      <w:r w:rsidR="00D130CB">
        <w:t>and 998</w:t>
      </w:r>
      <w:r w:rsidRPr="00A16C76">
        <w:t xml:space="preserve">, </w:t>
      </w:r>
      <w:r w:rsidR="00320D7F">
        <w:t xml:space="preserve">add a comma between </w:t>
      </w:r>
      <w:r>
        <w:t>“</w:t>
      </w:r>
      <w:r>
        <w:rPr>
          <w:i/>
        </w:rPr>
        <w:t>See e.g.</w:t>
      </w:r>
      <w:r>
        <w:t>”</w:t>
      </w:r>
    </w:p>
    <w:p w:rsidR="003B29A8" w:rsidRDefault="003B29A8" w:rsidP="00032A10">
      <w:pPr>
        <w:pStyle w:val="ParaNum"/>
        <w:numPr>
          <w:ilvl w:val="0"/>
          <w:numId w:val="21"/>
        </w:numPr>
        <w:ind w:left="0" w:firstLine="360"/>
      </w:pPr>
      <w:r>
        <w:t xml:space="preserve">In </w:t>
      </w:r>
      <w:r w:rsidR="00D130CB">
        <w:t>P</w:t>
      </w:r>
      <w:r w:rsidRPr="00A16C76">
        <w:t xml:space="preserve">aragraph 334, </w:t>
      </w:r>
      <w:r w:rsidR="004B6654" w:rsidRPr="00A16C76">
        <w:t>correct</w:t>
      </w:r>
      <w:r w:rsidR="004B6654">
        <w:t xml:space="preserve"> </w:t>
      </w:r>
      <w:r>
        <w:t>the first sentence to read as:</w:t>
      </w:r>
      <w:r w:rsidR="00D130CB">
        <w:t xml:space="preserve">  “</w:t>
      </w:r>
      <w:r>
        <w:t>Once the initial spectrum clearing target is determined, establishing the initial target for the first stage of the incentive auction, the reverse auction bidding process will begin.</w:t>
      </w:r>
      <w:r w:rsidR="00D130CB">
        <w:t>”</w:t>
      </w:r>
    </w:p>
    <w:p w:rsidR="003B29A8" w:rsidRDefault="003B29A8" w:rsidP="00032A10">
      <w:pPr>
        <w:pStyle w:val="ParaNum"/>
        <w:numPr>
          <w:ilvl w:val="0"/>
          <w:numId w:val="21"/>
        </w:numPr>
        <w:ind w:left="0" w:firstLine="360"/>
      </w:pPr>
      <w:r w:rsidRPr="00A16C76">
        <w:t xml:space="preserve">In </w:t>
      </w:r>
      <w:r w:rsidR="00D130CB">
        <w:t>P</w:t>
      </w:r>
      <w:r w:rsidRPr="00A16C76">
        <w:t>aragraph 335, correct</w:t>
      </w:r>
      <w:r>
        <w:t xml:space="preserve"> the last sentence to read as:</w:t>
      </w:r>
      <w:r w:rsidR="00D130CB">
        <w:t xml:space="preserve">  “</w:t>
      </w:r>
      <w:r w:rsidRPr="00564B45">
        <w:t xml:space="preserve">Details of the operation of any dynamic reserve price would be established in the </w:t>
      </w:r>
      <w:r w:rsidRPr="00D130CB">
        <w:rPr>
          <w:i/>
          <w:iCs/>
        </w:rPr>
        <w:t>Incentive Auction Procedures PN</w:t>
      </w:r>
      <w:r w:rsidRPr="00564B45">
        <w:t xml:space="preserve"> after an opportunity for comment.</w:t>
      </w:r>
      <w:r w:rsidR="00D130CB">
        <w:t>”</w:t>
      </w:r>
    </w:p>
    <w:p w:rsidR="002F3CB8" w:rsidRDefault="002F3CB8" w:rsidP="00032A10">
      <w:pPr>
        <w:pStyle w:val="ParaNum"/>
        <w:numPr>
          <w:ilvl w:val="0"/>
          <w:numId w:val="21"/>
        </w:numPr>
        <w:ind w:left="0" w:firstLine="360"/>
      </w:pPr>
      <w:r>
        <w:t xml:space="preserve">In </w:t>
      </w:r>
      <w:r w:rsidR="00D130CB">
        <w:t>F</w:t>
      </w:r>
      <w:r w:rsidRPr="00A16C76">
        <w:t>ootnote 1023, correct</w:t>
      </w:r>
      <w:r>
        <w:t xml:space="preserve"> the first sentence to read as:</w:t>
      </w:r>
      <w:r w:rsidR="00D130CB">
        <w:t xml:space="preserve">  </w:t>
      </w:r>
      <w:r w:rsidR="00D130CB" w:rsidRPr="00D130CB">
        <w:rPr>
          <w:i/>
        </w:rPr>
        <w:t>“</w:t>
      </w:r>
      <w:r w:rsidRPr="00D130CB">
        <w:rPr>
          <w:i/>
        </w:rPr>
        <w:t>See FDA v. Brown and Williamson Tobacco Corp.</w:t>
      </w:r>
      <w:r w:rsidRPr="00F70FE8">
        <w:t>,</w:t>
      </w:r>
      <w:r w:rsidRPr="00D130CB">
        <w:rPr>
          <w:i/>
        </w:rPr>
        <w:t xml:space="preserve"> </w:t>
      </w:r>
      <w:r w:rsidRPr="00CF0D1E">
        <w:t>529 U.S. 120, 132–33 (2000).</w:t>
      </w:r>
      <w:r w:rsidR="00D130CB">
        <w:t>”</w:t>
      </w:r>
    </w:p>
    <w:p w:rsidR="002F3CB8" w:rsidRDefault="002F3CB8" w:rsidP="00032A10">
      <w:pPr>
        <w:pStyle w:val="ParaNum"/>
        <w:numPr>
          <w:ilvl w:val="0"/>
          <w:numId w:val="21"/>
        </w:numPr>
        <w:ind w:left="0" w:firstLine="360"/>
      </w:pPr>
      <w:r>
        <w:t xml:space="preserve">In </w:t>
      </w:r>
      <w:r w:rsidR="00D130CB">
        <w:t>F</w:t>
      </w:r>
      <w:r>
        <w:t xml:space="preserve">ootnote </w:t>
      </w:r>
      <w:r w:rsidRPr="000803BE">
        <w:t>1038</w:t>
      </w:r>
      <w:r>
        <w:t xml:space="preserve">, the fifth sentence </w:t>
      </w:r>
      <w:r w:rsidR="00D130CB">
        <w:t xml:space="preserve">is corrected </w:t>
      </w:r>
      <w:r>
        <w:t>to read as follows:</w:t>
      </w:r>
    </w:p>
    <w:p w:rsidR="002F3CB8" w:rsidRPr="008762EB" w:rsidRDefault="00D130CB" w:rsidP="002F3CB8">
      <w:pPr>
        <w:pStyle w:val="ParaNum"/>
        <w:numPr>
          <w:ilvl w:val="0"/>
          <w:numId w:val="0"/>
        </w:numPr>
        <w:ind w:left="720"/>
      </w:pPr>
      <w:r>
        <w:rPr>
          <w:i/>
          <w:color w:val="000000"/>
        </w:rPr>
        <w:t>“</w:t>
      </w:r>
      <w:r w:rsidR="002F3CB8" w:rsidRPr="00CF0D1E">
        <w:rPr>
          <w:i/>
          <w:color w:val="000000"/>
        </w:rPr>
        <w:t xml:space="preserve">Id. </w:t>
      </w:r>
      <w:r w:rsidR="002F3CB8" w:rsidRPr="00CF0D1E">
        <w:rPr>
          <w:color w:val="000000"/>
        </w:rPr>
        <w:t>§ 309(j)(2)(C</w:t>
      </w:r>
      <w:r w:rsidR="002F3CB8" w:rsidRPr="00CF0D1E">
        <w:t xml:space="preserve">); </w:t>
      </w:r>
      <w:r w:rsidR="002F3CB8" w:rsidRPr="00CF0D1E">
        <w:rPr>
          <w:i/>
        </w:rPr>
        <w:t xml:space="preserve">see </w:t>
      </w:r>
      <w:r w:rsidR="002F3CB8" w:rsidRPr="00CF0D1E">
        <w:rPr>
          <w:i/>
          <w:iCs/>
        </w:rPr>
        <w:t>NPR v. FCC</w:t>
      </w:r>
      <w:r w:rsidR="002F3CB8" w:rsidRPr="00CF0D1E">
        <w:t xml:space="preserve">, 254 F.3d 226, </w:t>
      </w:r>
      <w:r w:rsidR="002F3CB8">
        <w:t>228</w:t>
      </w:r>
      <w:r w:rsidR="002F3CB8" w:rsidRPr="00CF0D1E">
        <w:t>–29 (D.C. Cir. 2001) (“</w:t>
      </w:r>
      <w:r w:rsidR="002F3CB8">
        <w:t>[T]</w:t>
      </w:r>
      <w:r w:rsidR="002F3CB8" w:rsidRPr="00CF0D1E">
        <w:t>he [Communications] Act unambiguously forbids the Commission</w:t>
      </w:r>
      <w:r w:rsidR="002F3CB8" w:rsidRPr="00CF0D1E">
        <w:rPr>
          <w:b/>
          <w:bCs/>
        </w:rPr>
        <w:t xml:space="preserve"> </w:t>
      </w:r>
      <w:r w:rsidR="002F3CB8" w:rsidRPr="00CF0D1E">
        <w:t>from requiring NCEs to participate in auctions to obtain licenses for any channel, reserved or unreserved.”).</w:t>
      </w:r>
      <w:r>
        <w:t>”</w:t>
      </w:r>
    </w:p>
    <w:p w:rsidR="002F3CB8" w:rsidRDefault="002F3CB8" w:rsidP="00032A10">
      <w:pPr>
        <w:pStyle w:val="ParaNum"/>
        <w:numPr>
          <w:ilvl w:val="0"/>
          <w:numId w:val="21"/>
        </w:numPr>
        <w:ind w:left="0" w:firstLine="360"/>
      </w:pPr>
      <w:r>
        <w:t xml:space="preserve">In </w:t>
      </w:r>
      <w:r w:rsidR="00320D7F">
        <w:t>F</w:t>
      </w:r>
      <w:r>
        <w:t>ootnote 1057, correct the second sentence to read as follows:</w:t>
      </w:r>
    </w:p>
    <w:p w:rsidR="002F3CB8" w:rsidRDefault="00320D7F" w:rsidP="002F3CB8">
      <w:pPr>
        <w:pStyle w:val="ParaNum"/>
        <w:numPr>
          <w:ilvl w:val="0"/>
          <w:numId w:val="0"/>
        </w:numPr>
        <w:ind w:left="720"/>
      </w:pPr>
      <w:r>
        <w:t>“</w:t>
      </w:r>
      <w:r w:rsidR="002F3CB8" w:rsidRPr="00CF0D1E">
        <w:t>To maintain consistency with our repacking approach, we will recognize for relinquishment, even if they are not licensed by the Pre-Auction Licensing Deadline, the facilities authorized in a construction permit to modify the existing license</w:t>
      </w:r>
      <w:r w:rsidR="002F3CB8">
        <w:t>s</w:t>
      </w:r>
      <w:r w:rsidR="002F3CB8" w:rsidRPr="00CF0D1E">
        <w:t xml:space="preserve"> of station</w:t>
      </w:r>
      <w:r w:rsidR="002F3CB8">
        <w:t>s</w:t>
      </w:r>
      <w:r w:rsidR="002F3CB8" w:rsidRPr="00CF0D1E">
        <w:t xml:space="preserve"> affected by the destruction of the World Trade Center that seek to relocate to the new 1 World Trade Center site if the</w:t>
      </w:r>
      <w:r w:rsidR="002F3CB8">
        <w:t>y</w:t>
      </w:r>
      <w:r w:rsidR="002F3CB8" w:rsidRPr="00CF0D1E">
        <w:t xml:space="preserve"> elect to </w:t>
      </w:r>
      <w:r w:rsidR="002F3CB8">
        <w:t>have</w:t>
      </w:r>
      <w:r w:rsidR="002F3CB8" w:rsidRPr="00CF0D1E">
        <w:t xml:space="preserve"> such facility </w:t>
      </w:r>
      <w:r w:rsidR="002F3CB8">
        <w:t xml:space="preserve">protected </w:t>
      </w:r>
      <w:r w:rsidR="002F3CB8" w:rsidRPr="00CF0D1E">
        <w:t xml:space="preserve">in the repacking process and </w:t>
      </w:r>
      <w:r w:rsidR="002F3CB8">
        <w:t>a construction permit for a new full power station on</w:t>
      </w:r>
      <w:r w:rsidR="002F3CB8" w:rsidRPr="00CF0D1E">
        <w:t xml:space="preserve"> channel 3 at Middletown Township, New Jersey</w:t>
      </w:r>
      <w:r w:rsidR="002F3CB8">
        <w:t xml:space="preserve"> that was allotted</w:t>
      </w:r>
      <w:r w:rsidR="002F3CB8" w:rsidRPr="00CF0D1E">
        <w:t xml:space="preserve"> pursuant to a court order.</w:t>
      </w:r>
      <w:r>
        <w:t>”</w:t>
      </w:r>
      <w:r w:rsidR="002F3CB8" w:rsidRPr="00CF0D1E">
        <w:t xml:space="preserve"> </w:t>
      </w:r>
    </w:p>
    <w:p w:rsidR="002F3CB8" w:rsidRDefault="00320D7F" w:rsidP="00032A10">
      <w:pPr>
        <w:pStyle w:val="ParaNum"/>
        <w:numPr>
          <w:ilvl w:val="0"/>
          <w:numId w:val="21"/>
        </w:numPr>
        <w:ind w:left="0" w:firstLine="360"/>
      </w:pPr>
      <w:r>
        <w:t>F</w:t>
      </w:r>
      <w:r w:rsidR="002F3CB8" w:rsidRPr="00A16C76">
        <w:t>ootnote 1276</w:t>
      </w:r>
      <w:r w:rsidR="002F3CB8">
        <w:t xml:space="preserve"> </w:t>
      </w:r>
      <w:r>
        <w:t>is</w:t>
      </w:r>
      <w:r w:rsidR="004127D5">
        <w:t xml:space="preserve"> </w:t>
      </w:r>
      <w:r w:rsidR="002F3CB8" w:rsidRPr="00A16C76">
        <w:t>correct</w:t>
      </w:r>
      <w:r>
        <w:t xml:space="preserve">ed </w:t>
      </w:r>
      <w:r w:rsidR="002F3CB8">
        <w:t>to read as:</w:t>
      </w:r>
      <w:r>
        <w:t xml:space="preserve">  </w:t>
      </w:r>
      <w:r w:rsidRPr="00320D7F">
        <w:rPr>
          <w:i/>
        </w:rPr>
        <w:t>“</w:t>
      </w:r>
      <w:r w:rsidR="002F3CB8" w:rsidRPr="00320D7F">
        <w:rPr>
          <w:i/>
        </w:rPr>
        <w:t>See, e.g., Implementation of Section 309(j) of the Communications Act — Competitive Bidding</w:t>
      </w:r>
      <w:r w:rsidR="002F3CB8" w:rsidRPr="00CF0D1E">
        <w:t>, PP Docket No. 93-253, Fifth Memorandum Opinion and Order, 10 FCC Rcd 403, 4</w:t>
      </w:r>
      <w:r w:rsidR="002F3CB8">
        <w:t>53</w:t>
      </w:r>
      <w:r w:rsidR="002F3CB8" w:rsidRPr="00CF0D1E">
        <w:t>–</w:t>
      </w:r>
      <w:r w:rsidR="002F3CB8">
        <w:t>54</w:t>
      </w:r>
      <w:r w:rsidR="002F3CB8" w:rsidRPr="00CF0D1E">
        <w:t>, para. 9</w:t>
      </w:r>
      <w:r w:rsidR="002F3CB8">
        <w:t>0</w:t>
      </w:r>
      <w:r w:rsidR="002F3CB8" w:rsidRPr="00CF0D1E">
        <w:t xml:space="preserve"> (1994).</w:t>
      </w:r>
      <w:r>
        <w:t>”</w:t>
      </w:r>
    </w:p>
    <w:p w:rsidR="002F3CB8" w:rsidRDefault="002F3CB8" w:rsidP="00032A10">
      <w:pPr>
        <w:pStyle w:val="ParaNum"/>
        <w:numPr>
          <w:ilvl w:val="0"/>
          <w:numId w:val="21"/>
        </w:numPr>
        <w:ind w:left="0" w:firstLine="360"/>
      </w:pPr>
      <w:r>
        <w:t xml:space="preserve">In </w:t>
      </w:r>
      <w:r w:rsidR="00320D7F">
        <w:t>F</w:t>
      </w:r>
      <w:r w:rsidRPr="00A16C76">
        <w:t xml:space="preserve">ootnote 1308, </w:t>
      </w:r>
      <w:r w:rsidR="00320D7F">
        <w:t xml:space="preserve">add a comma between </w:t>
      </w:r>
      <w:r>
        <w:t>“</w:t>
      </w:r>
      <w:r w:rsidRPr="00320D7F">
        <w:rPr>
          <w:i/>
        </w:rPr>
        <w:t>See e.g.</w:t>
      </w:r>
      <w:r>
        <w:t xml:space="preserve">” </w:t>
      </w:r>
    </w:p>
    <w:p w:rsidR="003B29A8" w:rsidRDefault="003B29A8" w:rsidP="00032A10">
      <w:pPr>
        <w:pStyle w:val="ParaNum"/>
        <w:numPr>
          <w:ilvl w:val="0"/>
          <w:numId w:val="21"/>
        </w:numPr>
        <w:ind w:left="0" w:firstLine="360"/>
      </w:pPr>
      <w:r>
        <w:lastRenderedPageBreak/>
        <w:t xml:space="preserve">In </w:t>
      </w:r>
      <w:r w:rsidR="00320D7F">
        <w:t>P</w:t>
      </w:r>
      <w:r w:rsidRPr="00A16C76">
        <w:t>aragraph 463, correct</w:t>
      </w:r>
      <w:r>
        <w:t xml:space="preserve"> the third sentence to read as:</w:t>
      </w:r>
      <w:r w:rsidR="00320D7F">
        <w:t xml:space="preserve">  “</w:t>
      </w:r>
      <w:r w:rsidRPr="00564B45">
        <w:t>We also could adopt a dynamic version of reserve prices, a variation on reserve prices that would set dynamic maximum prices based on bidding in the auction</w:t>
      </w:r>
      <w:r w:rsidR="00320D7F">
        <w:t>” and correct</w:t>
      </w:r>
      <w:r w:rsidR="00320D7F">
        <w:rPr>
          <w:rStyle w:val="CommentReference"/>
        </w:rPr>
        <w:t xml:space="preserve"> </w:t>
      </w:r>
      <w:r>
        <w:t>the last sentence to read as follows:</w:t>
      </w:r>
    </w:p>
    <w:p w:rsidR="003B29A8" w:rsidRPr="00564B45" w:rsidRDefault="00320D7F" w:rsidP="003B29A8">
      <w:pPr>
        <w:pStyle w:val="ParaNum"/>
        <w:numPr>
          <w:ilvl w:val="0"/>
          <w:numId w:val="0"/>
        </w:numPr>
        <w:tabs>
          <w:tab w:val="left" w:pos="720"/>
        </w:tabs>
        <w:ind w:left="720"/>
      </w:pPr>
      <w:r>
        <w:t>“</w:t>
      </w:r>
      <w:r w:rsidR="003B29A8" w:rsidRPr="00564B45">
        <w:t>In particular, using dynamic reserve prices could address the risk that setting the opening prices too high will prevent the auction from repurposing spectrum by establishing a mechanism that will allow price offers to be reduced in non-competitive areas based on bids in other areas.</w:t>
      </w:r>
      <w:r>
        <w:t>”</w:t>
      </w:r>
    </w:p>
    <w:p w:rsidR="002F3CB8" w:rsidRDefault="002F3CB8" w:rsidP="00CA6479">
      <w:pPr>
        <w:pStyle w:val="ParaNum"/>
        <w:numPr>
          <w:ilvl w:val="0"/>
          <w:numId w:val="21"/>
        </w:numPr>
        <w:ind w:left="0" w:firstLine="360"/>
      </w:pPr>
      <w:r>
        <w:t xml:space="preserve">In </w:t>
      </w:r>
      <w:r w:rsidR="00320D7F">
        <w:t>F</w:t>
      </w:r>
      <w:r w:rsidRPr="00A16C76">
        <w:t xml:space="preserve">ootnote 1358, </w:t>
      </w:r>
      <w:r w:rsidR="00320D7F">
        <w:t>add a comma between</w:t>
      </w:r>
      <w:r>
        <w:t xml:space="preserve"> “</w:t>
      </w:r>
      <w:r w:rsidRPr="00320D7F">
        <w:rPr>
          <w:i/>
        </w:rPr>
        <w:t>See e.g.</w:t>
      </w:r>
      <w:r>
        <w:t>”</w:t>
      </w:r>
    </w:p>
    <w:p w:rsidR="002F3CB8" w:rsidRPr="00046361" w:rsidRDefault="002F3CB8" w:rsidP="00032A10">
      <w:pPr>
        <w:pStyle w:val="ParaNum"/>
        <w:numPr>
          <w:ilvl w:val="0"/>
          <w:numId w:val="21"/>
        </w:numPr>
        <w:ind w:left="0" w:firstLine="360"/>
      </w:pPr>
      <w:r>
        <w:t xml:space="preserve">In </w:t>
      </w:r>
      <w:r w:rsidR="00320D7F">
        <w:t>F</w:t>
      </w:r>
      <w:r w:rsidRPr="00A16C76">
        <w:t>ootnote 1368, correct</w:t>
      </w:r>
      <w:r>
        <w:t xml:space="preserve"> the second sentence to read as:</w:t>
      </w:r>
      <w:r w:rsidR="00D05E4E">
        <w:t xml:space="preserve">  </w:t>
      </w:r>
      <w:r w:rsidR="00D05E4E" w:rsidRPr="00D05E4E">
        <w:rPr>
          <w:i/>
        </w:rPr>
        <w:t>“</w:t>
      </w:r>
      <w:r w:rsidRPr="00D05E4E">
        <w:rPr>
          <w:i/>
        </w:rPr>
        <w:t>See also</w:t>
      </w:r>
      <w:r w:rsidRPr="00CF0D1E">
        <w:t xml:space="preserve"> </w:t>
      </w:r>
      <w:r w:rsidRPr="00D05E4E">
        <w:rPr>
          <w:i/>
        </w:rPr>
        <w:t>H Block Report and Order</w:t>
      </w:r>
      <w:r w:rsidRPr="00CF0D1E">
        <w:t xml:space="preserve">, 28 FCC Rcd at 9580–81, para. 260; </w:t>
      </w:r>
      <w:r w:rsidRPr="00D05E4E">
        <w:rPr>
          <w:i/>
        </w:rPr>
        <w:t xml:space="preserve">AWS-3 Report and Order </w:t>
      </w:r>
      <w:r>
        <w:t>at</w:t>
      </w:r>
      <w:r w:rsidRPr="00CF0D1E">
        <w:t xml:space="preserve"> 70, para. 187.</w:t>
      </w:r>
      <w:r w:rsidR="00D05E4E">
        <w:t>”</w:t>
      </w:r>
    </w:p>
    <w:p w:rsidR="003B29A8" w:rsidRDefault="003B29A8" w:rsidP="00032A10">
      <w:pPr>
        <w:pStyle w:val="ParaNum"/>
        <w:numPr>
          <w:ilvl w:val="0"/>
          <w:numId w:val="21"/>
        </w:numPr>
        <w:ind w:left="0" w:firstLine="360"/>
      </w:pPr>
      <w:r>
        <w:t xml:space="preserve">In </w:t>
      </w:r>
      <w:r w:rsidR="00D05E4E">
        <w:t>P</w:t>
      </w:r>
      <w:r w:rsidRPr="00A16C76">
        <w:t>aragraph 482, correct</w:t>
      </w:r>
      <w:r>
        <w:t xml:space="preserve"> the first sentence to read as follows:</w:t>
      </w:r>
    </w:p>
    <w:p w:rsidR="003B29A8" w:rsidRDefault="00D05E4E" w:rsidP="003B29A8">
      <w:pPr>
        <w:pStyle w:val="ParaNum"/>
        <w:numPr>
          <w:ilvl w:val="0"/>
          <w:numId w:val="0"/>
        </w:numPr>
        <w:ind w:left="720"/>
      </w:pPr>
      <w:r>
        <w:t>“</w:t>
      </w:r>
      <w:r w:rsidR="003B29A8">
        <w:t>At this time, we decline to grant the</w:t>
      </w:r>
      <w:r w:rsidR="003B29A8" w:rsidRPr="005842F0">
        <w:t xml:space="preserve"> proposals by MMTC, Council Tree,</w:t>
      </w:r>
      <w:r w:rsidR="00EF5EB4">
        <w:rPr>
          <w:rStyle w:val="CommentReference"/>
        </w:rPr>
        <w:t xml:space="preserve"> </w:t>
      </w:r>
      <w:r w:rsidR="003B29A8" w:rsidRPr="005842F0">
        <w:t xml:space="preserve"> and Grain Management to </w:t>
      </w:r>
      <w:r w:rsidR="003B29A8">
        <w:t xml:space="preserve">act in this proceeding to </w:t>
      </w:r>
      <w:r w:rsidR="003B29A8" w:rsidRPr="005842F0">
        <w:t xml:space="preserve">modify or eliminate the attributable material relationship </w:t>
      </w:r>
      <w:r w:rsidR="003B29A8">
        <w:t xml:space="preserve">(“AMR”) </w:t>
      </w:r>
      <w:r w:rsidR="003B29A8" w:rsidRPr="005842F0">
        <w:t>rule</w:t>
      </w:r>
      <w:r w:rsidR="003B29A8">
        <w:t>, in this Order</w:t>
      </w:r>
      <w:r w:rsidR="003B29A8" w:rsidRPr="005842F0">
        <w:t>.</w:t>
      </w:r>
      <w:r>
        <w:t>”</w:t>
      </w:r>
      <w:r w:rsidR="00EF5EB4">
        <w:rPr>
          <w:rStyle w:val="CommentReference"/>
        </w:rPr>
        <w:t xml:space="preserve"> </w:t>
      </w:r>
    </w:p>
    <w:p w:rsidR="002F3CB8" w:rsidRDefault="002F3CB8" w:rsidP="00032A10">
      <w:pPr>
        <w:pStyle w:val="ParaNum"/>
        <w:numPr>
          <w:ilvl w:val="0"/>
          <w:numId w:val="21"/>
        </w:numPr>
        <w:ind w:left="0" w:firstLine="360"/>
      </w:pPr>
      <w:r>
        <w:t xml:space="preserve">In </w:t>
      </w:r>
      <w:r w:rsidR="00D05E4E">
        <w:t>F</w:t>
      </w:r>
      <w:r w:rsidRPr="00A16C76">
        <w:t xml:space="preserve">ootnote 1517, </w:t>
      </w:r>
      <w:r w:rsidR="00D05E4E">
        <w:t>add a comma between</w:t>
      </w:r>
      <w:r>
        <w:t xml:space="preserve"> the first “</w:t>
      </w:r>
      <w:r>
        <w:rPr>
          <w:i/>
        </w:rPr>
        <w:t>See e.g.</w:t>
      </w:r>
      <w:r>
        <w:t>”</w:t>
      </w:r>
    </w:p>
    <w:p w:rsidR="002F3CB8" w:rsidRDefault="00D05E4E" w:rsidP="00032A10">
      <w:pPr>
        <w:pStyle w:val="ParaNum"/>
        <w:numPr>
          <w:ilvl w:val="0"/>
          <w:numId w:val="21"/>
        </w:numPr>
        <w:ind w:left="0" w:firstLine="360"/>
      </w:pPr>
      <w:r>
        <w:t>F</w:t>
      </w:r>
      <w:r w:rsidR="002F2AA8">
        <w:t xml:space="preserve">ootnote 1722 </w:t>
      </w:r>
      <w:r>
        <w:t>is corrected</w:t>
      </w:r>
      <w:r w:rsidR="002F3CB8">
        <w:t xml:space="preserve"> to read as follows:</w:t>
      </w:r>
    </w:p>
    <w:p w:rsidR="002F3CB8" w:rsidRDefault="00D05E4E" w:rsidP="00032A10">
      <w:pPr>
        <w:pStyle w:val="ParaNum"/>
        <w:numPr>
          <w:ilvl w:val="0"/>
          <w:numId w:val="0"/>
        </w:numPr>
        <w:ind w:left="720"/>
      </w:pPr>
      <w:r>
        <w:t>“</w:t>
      </w:r>
      <w:r w:rsidR="002F3CB8">
        <w:t>If an entity that did not file an estimated cost form becomes aware of an expense eligible for reimbursement after the three-month deadline, it may file a late estimated cost form together with an explanation of why the form could not be timely filed.  The Media Bureau [delete “Commission”] will consider any late-filed forms on a case-by-case basis.</w:t>
      </w:r>
      <w:r>
        <w:t>”</w:t>
      </w:r>
    </w:p>
    <w:p w:rsidR="003B29A8" w:rsidRDefault="00D05E4E" w:rsidP="00032A10">
      <w:pPr>
        <w:pStyle w:val="ParaNum"/>
        <w:numPr>
          <w:ilvl w:val="0"/>
          <w:numId w:val="21"/>
        </w:numPr>
        <w:spacing w:after="240"/>
        <w:ind w:left="0" w:firstLine="360"/>
      </w:pPr>
      <w:r>
        <w:t>T</w:t>
      </w:r>
      <w:r w:rsidR="003B29A8">
        <w:t xml:space="preserve">he heading for </w:t>
      </w:r>
      <w:r>
        <w:t>“</w:t>
      </w:r>
      <w:r w:rsidR="003B29A8" w:rsidRPr="00032A10">
        <w:rPr>
          <w:b/>
        </w:rPr>
        <w:t>Section V.D.4</w:t>
      </w:r>
      <w:r>
        <w:t>”</w:t>
      </w:r>
      <w:r w:rsidR="003B29A8">
        <w:t xml:space="preserve"> </w:t>
      </w:r>
      <w:r>
        <w:t xml:space="preserve">is corrected </w:t>
      </w:r>
      <w:r w:rsidR="003B29A8">
        <w:t>to read as:</w:t>
      </w:r>
      <w:r>
        <w:t xml:space="preserve">  “</w:t>
      </w:r>
      <w:r w:rsidR="003B29A8" w:rsidRPr="00032A10">
        <w:rPr>
          <w:b/>
        </w:rPr>
        <w:t>Low Power Auxiliary Stations and Unlicensed Wireless Microphones</w:t>
      </w:r>
      <w:r>
        <w:t>.”</w:t>
      </w:r>
      <w:r w:rsidR="003B29A8">
        <w:t xml:space="preserve"> </w:t>
      </w:r>
    </w:p>
    <w:p w:rsidR="00425B94" w:rsidRPr="00240930" w:rsidRDefault="00240930" w:rsidP="00792828">
      <w:pPr>
        <w:pStyle w:val="ParaNum"/>
        <w:numPr>
          <w:ilvl w:val="0"/>
          <w:numId w:val="0"/>
        </w:numPr>
      </w:pPr>
      <w:r w:rsidRPr="00032A10">
        <w:rPr>
          <w:b/>
        </w:rPr>
        <w:t>A</w:t>
      </w:r>
      <w:r w:rsidRPr="00032A10">
        <w:rPr>
          <w:b/>
          <w:caps/>
        </w:rPr>
        <w:t>ppendix</w:t>
      </w:r>
      <w:r w:rsidRPr="00032A10">
        <w:rPr>
          <w:b/>
        </w:rPr>
        <w:t xml:space="preserve"> A</w:t>
      </w:r>
      <w:r>
        <w:t xml:space="preserve"> of the </w:t>
      </w:r>
      <w:r w:rsidR="00792828">
        <w:rPr>
          <w:i/>
        </w:rPr>
        <w:t>Incentive Auction</w:t>
      </w:r>
      <w:r w:rsidRPr="008202BE">
        <w:rPr>
          <w:i/>
        </w:rPr>
        <w:t xml:space="preserve"> R&amp;O</w:t>
      </w:r>
      <w:r>
        <w:t xml:space="preserve"> </w:t>
      </w:r>
      <w:r w:rsidR="004E60EC">
        <w:t xml:space="preserve">is amended by this Erratum, </w:t>
      </w:r>
      <w:r>
        <w:t>as indicated below:</w:t>
      </w:r>
    </w:p>
    <w:p w:rsidR="005E0648" w:rsidRDefault="00D05E4E" w:rsidP="00032A10">
      <w:pPr>
        <w:pStyle w:val="ParaNum"/>
        <w:numPr>
          <w:ilvl w:val="0"/>
          <w:numId w:val="21"/>
        </w:numPr>
        <w:spacing w:after="240"/>
        <w:ind w:left="0" w:firstLine="360"/>
      </w:pPr>
      <w:r>
        <w:t>P</w:t>
      </w:r>
      <w:r w:rsidR="002F2AA8">
        <w:t xml:space="preserve">aragraph 23 </w:t>
      </w:r>
      <w:r>
        <w:t xml:space="preserve">is corrected </w:t>
      </w:r>
      <w:r w:rsidR="005E0648">
        <w:t>to read as follows:</w:t>
      </w:r>
    </w:p>
    <w:p w:rsidR="005E0648" w:rsidRPr="00970B9B" w:rsidRDefault="00D05E4E" w:rsidP="00032A10">
      <w:pPr>
        <w:widowControl/>
        <w:spacing w:line="480" w:lineRule="auto"/>
        <w:ind w:left="720"/>
        <w:rPr>
          <w:szCs w:val="22"/>
        </w:rPr>
      </w:pPr>
      <w:r>
        <w:rPr>
          <w:szCs w:val="22"/>
        </w:rPr>
        <w:t>“</w:t>
      </w:r>
      <w:r w:rsidR="005E0648" w:rsidRPr="00970B9B">
        <w:rPr>
          <w:szCs w:val="22"/>
        </w:rPr>
        <w:t>Section 27.6 is amended by adding paragraph (l) to read as follows:</w:t>
      </w:r>
    </w:p>
    <w:p w:rsidR="005E0648" w:rsidRPr="00970B9B" w:rsidRDefault="005E0648" w:rsidP="00032A10">
      <w:pPr>
        <w:widowControl/>
        <w:spacing w:line="480" w:lineRule="auto"/>
        <w:ind w:left="720"/>
        <w:rPr>
          <w:b/>
          <w:szCs w:val="22"/>
        </w:rPr>
      </w:pPr>
      <w:r w:rsidRPr="00970B9B">
        <w:rPr>
          <w:b/>
          <w:szCs w:val="22"/>
          <w:u w:val="single"/>
        </w:rPr>
        <w:t>§ 27.6   Service areas</w:t>
      </w:r>
      <w:r w:rsidRPr="00970B9B">
        <w:rPr>
          <w:b/>
          <w:szCs w:val="22"/>
        </w:rPr>
        <w:t>.</w:t>
      </w:r>
    </w:p>
    <w:p w:rsidR="005E0648" w:rsidRPr="00970B9B" w:rsidRDefault="005E0648" w:rsidP="00D05E4E">
      <w:pPr>
        <w:widowControl/>
        <w:spacing w:line="480" w:lineRule="auto"/>
        <w:ind w:left="720"/>
        <w:rPr>
          <w:szCs w:val="22"/>
        </w:rPr>
      </w:pPr>
      <w:r w:rsidRPr="00970B9B">
        <w:rPr>
          <w:szCs w:val="22"/>
        </w:rPr>
        <w:t>* * * * *</w:t>
      </w:r>
    </w:p>
    <w:p w:rsidR="005E0648" w:rsidRPr="00970B9B" w:rsidRDefault="005E0648" w:rsidP="00D05E4E">
      <w:pPr>
        <w:widowControl/>
        <w:spacing w:line="480" w:lineRule="auto"/>
        <w:ind w:left="720"/>
        <w:rPr>
          <w:szCs w:val="22"/>
        </w:rPr>
      </w:pPr>
      <w:r w:rsidRPr="00970B9B">
        <w:rPr>
          <w:szCs w:val="22"/>
        </w:rPr>
        <w:t xml:space="preserve">(l) </w:t>
      </w:r>
      <w:r w:rsidRPr="00970B9B">
        <w:rPr>
          <w:szCs w:val="22"/>
          <w:u w:val="single"/>
        </w:rPr>
        <w:t>600 MHz band</w:t>
      </w:r>
      <w:r w:rsidRPr="00970B9B">
        <w:rPr>
          <w:szCs w:val="22"/>
        </w:rPr>
        <w:t>.  Service areas for the 600 MHz band are based on Partial Economic Areas (PEAs), to be defined by a subsequent public notice.</w:t>
      </w:r>
      <w:r>
        <w:rPr>
          <w:szCs w:val="22"/>
        </w:rPr>
        <w:t xml:space="preserve">  </w:t>
      </w:r>
      <w:r w:rsidR="00E25D90">
        <w:rPr>
          <w:szCs w:val="22"/>
        </w:rPr>
        <w:t xml:space="preserve">The service areas of PEAs that border the U.S. coastline of the Gulf of Mexico extend 12 nautical miles from the U.S. Gulf coastline.  </w:t>
      </w:r>
      <w:r>
        <w:rPr>
          <w:szCs w:val="22"/>
        </w:rPr>
        <w:t xml:space="preserve">The </w:t>
      </w:r>
      <w:r w:rsidR="00E25D90">
        <w:rPr>
          <w:szCs w:val="22"/>
        </w:rPr>
        <w:t xml:space="preserve">service area of the </w:t>
      </w:r>
      <w:r>
        <w:rPr>
          <w:szCs w:val="22"/>
        </w:rPr>
        <w:t xml:space="preserve">Gulf of Mexico PEA </w:t>
      </w:r>
      <w:r w:rsidR="00E25D90">
        <w:rPr>
          <w:szCs w:val="22"/>
        </w:rPr>
        <w:t xml:space="preserve">that comprises the water area of the Gulf of Mexico </w:t>
      </w:r>
      <w:r>
        <w:rPr>
          <w:szCs w:val="22"/>
        </w:rPr>
        <w:t xml:space="preserve">extends from 12 nautical miles off the U.S. Gulf coast outward into the Gulf.  </w:t>
      </w:r>
      <w:r w:rsidRPr="00E743B8">
        <w:rPr>
          <w:szCs w:val="22"/>
        </w:rPr>
        <w:t xml:space="preserve">Maps of the </w:t>
      </w:r>
      <w:r>
        <w:rPr>
          <w:szCs w:val="22"/>
        </w:rPr>
        <w:t>PEA</w:t>
      </w:r>
      <w:r w:rsidRPr="00E743B8">
        <w:rPr>
          <w:szCs w:val="22"/>
        </w:rPr>
        <w:t xml:space="preserve">s and the Federal Register notice that established the </w:t>
      </w:r>
      <w:r>
        <w:rPr>
          <w:szCs w:val="22"/>
        </w:rPr>
        <w:t>416 P</w:t>
      </w:r>
      <w:r w:rsidRPr="00E743B8">
        <w:rPr>
          <w:szCs w:val="22"/>
        </w:rPr>
        <w:t xml:space="preserve">EAs are available for public inspection and copying at the Reference Center, Room CY A-257, 445 12th St., SW., Washington, DC 20554. </w:t>
      </w:r>
      <w:r>
        <w:rPr>
          <w:szCs w:val="22"/>
        </w:rPr>
        <w:t xml:space="preserve"> </w:t>
      </w:r>
      <w:r w:rsidRPr="00E743B8">
        <w:rPr>
          <w:szCs w:val="22"/>
        </w:rPr>
        <w:t>These maps and data are also available on the FCC Web site at</w:t>
      </w:r>
      <w:r>
        <w:rPr>
          <w:szCs w:val="22"/>
        </w:rPr>
        <w:t>:</w:t>
      </w:r>
      <w:r w:rsidRPr="00E743B8">
        <w:rPr>
          <w:szCs w:val="22"/>
        </w:rPr>
        <w:t xml:space="preserve"> </w:t>
      </w:r>
      <w:r w:rsidRPr="00807EEA">
        <w:rPr>
          <w:szCs w:val="22"/>
          <w:u w:val="single"/>
        </w:rPr>
        <w:t>http://www.fcc.gov/oet/info/maps/areas/</w:t>
      </w:r>
      <w:r w:rsidRPr="00982F78">
        <w:rPr>
          <w:szCs w:val="22"/>
        </w:rPr>
        <w:t>.</w:t>
      </w:r>
    </w:p>
    <w:p w:rsidR="005E0648" w:rsidRPr="00970B9B" w:rsidRDefault="005E0648" w:rsidP="00D05E4E">
      <w:pPr>
        <w:widowControl/>
        <w:spacing w:line="480" w:lineRule="auto"/>
        <w:ind w:left="720"/>
        <w:rPr>
          <w:szCs w:val="22"/>
        </w:rPr>
      </w:pPr>
    </w:p>
    <w:p w:rsidR="005E0648" w:rsidRPr="00970B9B" w:rsidRDefault="005E0648" w:rsidP="00032A10">
      <w:pPr>
        <w:widowControl/>
        <w:spacing w:line="480" w:lineRule="auto"/>
        <w:ind w:left="720"/>
        <w:rPr>
          <w:szCs w:val="22"/>
        </w:rPr>
      </w:pPr>
      <w:r w:rsidRPr="00970B9B">
        <w:rPr>
          <w:szCs w:val="22"/>
        </w:rPr>
        <w:t>Note to paragraph (l): The specific title, reference number, and date of the public notice will be determined in light of further proceedings pursuant to Docket No. 12-268 and the rule will be updated accordingly.</w:t>
      </w:r>
      <w:r w:rsidR="00D05E4E">
        <w:rPr>
          <w:szCs w:val="22"/>
        </w:rPr>
        <w:t>”</w:t>
      </w:r>
    </w:p>
    <w:p w:rsidR="00061AF1" w:rsidRDefault="00D0472A" w:rsidP="00032A10">
      <w:pPr>
        <w:pStyle w:val="ParaNum"/>
        <w:numPr>
          <w:ilvl w:val="0"/>
          <w:numId w:val="21"/>
        </w:numPr>
        <w:spacing w:after="240"/>
        <w:ind w:left="0" w:firstLine="360"/>
      </w:pPr>
      <w:r>
        <w:t>P</w:t>
      </w:r>
      <w:r w:rsidR="00061AF1">
        <w:t xml:space="preserve">aragraph 26 </w:t>
      </w:r>
      <w:r>
        <w:t xml:space="preserve">is corrected </w:t>
      </w:r>
      <w:r w:rsidR="00061AF1">
        <w:t>to read as follows:</w:t>
      </w:r>
    </w:p>
    <w:p w:rsidR="00061AF1" w:rsidRPr="00970B9B" w:rsidRDefault="00D0472A" w:rsidP="00032A10">
      <w:pPr>
        <w:widowControl/>
        <w:spacing w:line="480" w:lineRule="auto"/>
        <w:ind w:left="720"/>
        <w:rPr>
          <w:szCs w:val="22"/>
        </w:rPr>
      </w:pPr>
      <w:r>
        <w:t>“</w:t>
      </w:r>
      <w:r w:rsidR="00061AF1" w:rsidRPr="00970B9B">
        <w:rPr>
          <w:szCs w:val="22"/>
        </w:rPr>
        <w:t>Section 27.14 is amended by revising the first sentence of paragraphs (a), (f), (k) and adding paragraph (t) to read as follows:</w:t>
      </w:r>
    </w:p>
    <w:p w:rsidR="00061AF1" w:rsidRPr="00970B9B" w:rsidRDefault="00061AF1" w:rsidP="00061AF1">
      <w:pPr>
        <w:widowControl/>
        <w:spacing w:line="480" w:lineRule="auto"/>
        <w:ind w:left="720"/>
        <w:rPr>
          <w:b/>
          <w:szCs w:val="22"/>
        </w:rPr>
      </w:pPr>
      <w:r w:rsidRPr="00970B9B">
        <w:rPr>
          <w:b/>
          <w:szCs w:val="22"/>
          <w:u w:val="single"/>
        </w:rPr>
        <w:t>§ 27.14   Construction requirements; Criteria for renewal</w:t>
      </w:r>
      <w:r w:rsidRPr="00970B9B">
        <w:rPr>
          <w:b/>
          <w:szCs w:val="22"/>
        </w:rPr>
        <w:t>.</w:t>
      </w:r>
    </w:p>
    <w:p w:rsidR="00061AF1" w:rsidRPr="00970B9B" w:rsidRDefault="00061AF1" w:rsidP="00061AF1">
      <w:pPr>
        <w:widowControl/>
        <w:spacing w:line="480" w:lineRule="auto"/>
        <w:ind w:left="720"/>
        <w:rPr>
          <w:szCs w:val="22"/>
        </w:rPr>
      </w:pPr>
      <w:r w:rsidRPr="00970B9B">
        <w:rPr>
          <w:szCs w:val="22"/>
        </w:rPr>
        <w:t>(a) AWS and WCS licensees, with the exception of WCS licensees holding authorizations for the 600 MHz band,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and Block D in the 2345-2350 MHz band, and 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w:t>
      </w:r>
      <w:r>
        <w:rPr>
          <w:szCs w:val="22"/>
        </w:rPr>
        <w:t xml:space="preserve"> </w:t>
      </w:r>
      <w:r w:rsidRPr="00970B9B">
        <w:rPr>
          <w:szCs w:val="22"/>
        </w:rPr>
        <w:t xml:space="preserve">27.13. * * * </w:t>
      </w:r>
    </w:p>
    <w:p w:rsidR="00061AF1" w:rsidRPr="00970B9B" w:rsidRDefault="00061AF1" w:rsidP="00061AF1">
      <w:pPr>
        <w:widowControl/>
        <w:spacing w:line="480" w:lineRule="auto"/>
        <w:ind w:left="720"/>
        <w:rPr>
          <w:szCs w:val="22"/>
        </w:rPr>
      </w:pPr>
      <w:r w:rsidRPr="00970B9B">
        <w:rPr>
          <w:szCs w:val="22"/>
        </w:rPr>
        <w:t>* * * * *</w:t>
      </w:r>
    </w:p>
    <w:p w:rsidR="00061AF1" w:rsidRPr="00970B9B" w:rsidRDefault="00061AF1" w:rsidP="00061AF1">
      <w:pPr>
        <w:widowControl/>
        <w:spacing w:line="480" w:lineRule="auto"/>
        <w:ind w:left="720"/>
        <w:rPr>
          <w:szCs w:val="22"/>
        </w:rPr>
      </w:pPr>
      <w:r w:rsidRPr="00970B9B">
        <w:rPr>
          <w:szCs w:val="22"/>
        </w:rPr>
        <w:t>(f) Comparative renewal proceedings do not apply to WCS licensees holding authorizations for the 600 MHz band, 698-746 MHz, 747-762 MHz, and 777-792 MHz bands or licensees holding AWS authorizations for the 1915-1920 MHz and 1995-2000 MHz bands or the 2000-2020 MHz and 2180-2200 MHz bands, or the 1695-1710 MHz, or the 1755-1780 MHz and 2155-2180 MHz bands. * * *</w:t>
      </w:r>
    </w:p>
    <w:p w:rsidR="00061AF1" w:rsidRPr="00970B9B" w:rsidRDefault="00061AF1" w:rsidP="00061AF1">
      <w:pPr>
        <w:widowControl/>
        <w:spacing w:line="480" w:lineRule="auto"/>
        <w:ind w:left="720"/>
        <w:rPr>
          <w:szCs w:val="22"/>
        </w:rPr>
      </w:pPr>
      <w:r w:rsidRPr="00970B9B">
        <w:rPr>
          <w:szCs w:val="22"/>
        </w:rPr>
        <w:t xml:space="preserve">* * * * * </w:t>
      </w:r>
    </w:p>
    <w:p w:rsidR="00061AF1" w:rsidRPr="00970B9B" w:rsidRDefault="00061AF1" w:rsidP="00061AF1">
      <w:pPr>
        <w:widowControl/>
        <w:spacing w:line="480" w:lineRule="auto"/>
        <w:ind w:left="720"/>
        <w:rPr>
          <w:szCs w:val="22"/>
        </w:rPr>
      </w:pPr>
      <w:r w:rsidRPr="00970B9B">
        <w:rPr>
          <w:szCs w:val="22"/>
        </w:rPr>
        <w:t>(k) Licensees holding WCS or AWS authorizations in the spectrum blocks enumerated in paragraphs (g), (h), (i), (q), (r), (s) and (t)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 1.946(d) of this chapter. * * *</w:t>
      </w:r>
    </w:p>
    <w:p w:rsidR="00061AF1" w:rsidRPr="00970B9B" w:rsidRDefault="00061AF1" w:rsidP="00061AF1">
      <w:pPr>
        <w:widowControl/>
        <w:spacing w:line="480" w:lineRule="auto"/>
        <w:ind w:left="720"/>
        <w:rPr>
          <w:szCs w:val="22"/>
        </w:rPr>
      </w:pPr>
      <w:r w:rsidRPr="00970B9B">
        <w:rPr>
          <w:szCs w:val="22"/>
        </w:rPr>
        <w:t>* * * * *</w:t>
      </w:r>
    </w:p>
    <w:p w:rsidR="00061AF1" w:rsidRPr="00970B9B" w:rsidRDefault="00061AF1" w:rsidP="00061AF1">
      <w:pPr>
        <w:spacing w:line="480" w:lineRule="auto"/>
        <w:ind w:left="720"/>
        <w:rPr>
          <w:szCs w:val="22"/>
        </w:rPr>
      </w:pPr>
      <w:r w:rsidRPr="00970B9B">
        <w:rPr>
          <w:szCs w:val="22"/>
        </w:rPr>
        <w:t>(t) The following provisions apply to any licensee holding an authorization in the 600 MHz band:</w:t>
      </w:r>
    </w:p>
    <w:p w:rsidR="00061AF1" w:rsidRPr="00970B9B" w:rsidRDefault="00061AF1" w:rsidP="00061AF1">
      <w:pPr>
        <w:spacing w:line="480" w:lineRule="auto"/>
        <w:ind w:left="720"/>
        <w:rPr>
          <w:szCs w:val="22"/>
        </w:rPr>
      </w:pPr>
      <w:r w:rsidRPr="00970B9B">
        <w:rPr>
          <w:szCs w:val="22"/>
        </w:rPr>
        <w:t xml:space="preserve">(1) A licensee shall provide reliable signal coverage and offer service within </w:t>
      </w:r>
      <w:r w:rsidRPr="00970B9B">
        <w:rPr>
          <w:color w:val="000000"/>
          <w:szCs w:val="22"/>
        </w:rPr>
        <w:t xml:space="preserve">six (6) </w:t>
      </w:r>
      <w:r w:rsidRPr="00970B9B">
        <w:rPr>
          <w:szCs w:val="22"/>
        </w:rPr>
        <w:t>years from the date of the initial license to at least forty (40) percent of the population in each of its license areas (“Interim Buildout Requirement”).</w:t>
      </w:r>
    </w:p>
    <w:p w:rsidR="00061AF1" w:rsidRPr="00970B9B" w:rsidRDefault="00061AF1" w:rsidP="00061AF1">
      <w:pPr>
        <w:spacing w:line="480" w:lineRule="auto"/>
        <w:ind w:left="720"/>
        <w:rPr>
          <w:szCs w:val="22"/>
        </w:rPr>
      </w:pPr>
      <w:r w:rsidRPr="00970B9B">
        <w:rPr>
          <w:szCs w:val="22"/>
        </w:rPr>
        <w:t xml:space="preserve">(2) A licensee shall provide reliable signal coverage and offer service within </w:t>
      </w:r>
      <w:r w:rsidRPr="00970B9B">
        <w:rPr>
          <w:color w:val="000000"/>
          <w:szCs w:val="22"/>
        </w:rPr>
        <w:t>twelve (12)</w:t>
      </w:r>
      <w:r w:rsidRPr="00970B9B">
        <w:rPr>
          <w:szCs w:val="22"/>
        </w:rPr>
        <w:t xml:space="preserve"> years from the date of the initial license to at least seventy-five (75) percent of the population in each of its license areas (“Final Buildout Requirement”).</w:t>
      </w:r>
    </w:p>
    <w:p w:rsidR="00061AF1" w:rsidRPr="00970B9B" w:rsidRDefault="00061AF1" w:rsidP="00061AF1">
      <w:pPr>
        <w:spacing w:line="480" w:lineRule="auto"/>
        <w:ind w:left="720"/>
        <w:rPr>
          <w:szCs w:val="22"/>
        </w:rPr>
      </w:pPr>
      <w:r w:rsidRPr="00970B9B">
        <w:rPr>
          <w:szCs w:val="22"/>
        </w:rPr>
        <w:t>(3) If a licensee fails to establish that it meets the Interim Buildout Requirement for a particular licensed area, then the Final Buildout Requirement (in this paragraph</w:t>
      </w:r>
      <w:r w:rsidRPr="00970B9B">
        <w:rPr>
          <w:bCs/>
          <w:szCs w:val="22"/>
        </w:rPr>
        <w:t xml:space="preserve"> (t)) </w:t>
      </w:r>
      <w:r w:rsidRPr="00970B9B">
        <w:rPr>
          <w:szCs w:val="22"/>
        </w:rPr>
        <w:t xml:space="preserve">and the license term (as set forth in </w:t>
      </w:r>
      <w:r w:rsidRPr="00970B9B">
        <w:rPr>
          <w:bCs/>
          <w:szCs w:val="22"/>
        </w:rPr>
        <w:t xml:space="preserve">§ 27.13(l)) for </w:t>
      </w:r>
      <w:r w:rsidRPr="00970B9B">
        <w:rPr>
          <w:szCs w:val="22"/>
        </w:rPr>
        <w:t xml:space="preserve">each license area in which it fails to meet the Interim Buildout Requirement shall be accelerated by two </w:t>
      </w:r>
      <w:r>
        <w:rPr>
          <w:szCs w:val="22"/>
        </w:rPr>
        <w:t xml:space="preserve">(2) </w:t>
      </w:r>
      <w:r w:rsidRPr="00970B9B">
        <w:rPr>
          <w:szCs w:val="22"/>
        </w:rPr>
        <w:t xml:space="preserve">years (from twelve </w:t>
      </w:r>
      <w:r>
        <w:rPr>
          <w:szCs w:val="22"/>
        </w:rPr>
        <w:t>(12)</w:t>
      </w:r>
      <w:r w:rsidRPr="00970B9B">
        <w:rPr>
          <w:szCs w:val="22"/>
        </w:rPr>
        <w:t xml:space="preserve"> to ten </w:t>
      </w:r>
      <w:r>
        <w:rPr>
          <w:szCs w:val="22"/>
        </w:rPr>
        <w:t>(10)</w:t>
      </w:r>
      <w:r w:rsidRPr="00970B9B">
        <w:rPr>
          <w:szCs w:val="22"/>
        </w:rPr>
        <w:t xml:space="preserve"> years).    </w:t>
      </w:r>
    </w:p>
    <w:p w:rsidR="00061AF1" w:rsidRPr="00970B9B" w:rsidRDefault="00061AF1" w:rsidP="00061AF1">
      <w:pPr>
        <w:spacing w:line="480" w:lineRule="auto"/>
        <w:ind w:left="720"/>
        <w:rPr>
          <w:szCs w:val="22"/>
        </w:rPr>
      </w:pPr>
      <w:r w:rsidRPr="00970B9B">
        <w:rPr>
          <w:szCs w:val="22"/>
        </w:rPr>
        <w:t>(4) If a licensee fails to establish that it meets the Final Buildout Requirement for a particular license area, its authorization for each license area in which it fails to meet the Final Buildout Requirement shall terminate automatically without Commission action, and the licensee will be ineligible to regain it if the Commission makes the license available at a later date.</w:t>
      </w:r>
    </w:p>
    <w:p w:rsidR="00061AF1" w:rsidRPr="00970B9B" w:rsidRDefault="00061AF1" w:rsidP="00061AF1">
      <w:pPr>
        <w:spacing w:line="480" w:lineRule="auto"/>
        <w:ind w:left="720"/>
        <w:rPr>
          <w:szCs w:val="22"/>
        </w:rPr>
      </w:pPr>
      <w:r w:rsidRPr="00970B9B">
        <w:rPr>
          <w:szCs w:val="22"/>
        </w:rPr>
        <w:t>(5) To demonstrate compliance with these performance requirements</w:t>
      </w:r>
      <w:r w:rsidRPr="00970B9B">
        <w:rPr>
          <w:i/>
          <w:szCs w:val="22"/>
        </w:rPr>
        <w:t>,</w:t>
      </w:r>
      <w:r w:rsidRPr="00970B9B">
        <w:rPr>
          <w:szCs w:val="22"/>
        </w:rPr>
        <w:t xml:space="preserve"> licensees shall use the most recently available </w:t>
      </w:r>
      <w:r w:rsidRPr="000C6BAB">
        <w:rPr>
          <w:szCs w:val="22"/>
        </w:rPr>
        <w:t xml:space="preserve">decennial </w:t>
      </w:r>
      <w:r w:rsidRPr="00970B9B">
        <w:rPr>
          <w:szCs w:val="22"/>
        </w:rPr>
        <w:t xml:space="preserve">U.S. Census Data at the time of measurement and shall base their measurements of population served on areas no larger than the Census Tract level.  The population within a specific Census Tract (or other acceptable identifier) will be deemed served by the licensee only if it provides </w:t>
      </w:r>
      <w:r w:rsidRPr="00444D9E">
        <w:rPr>
          <w:szCs w:val="22"/>
        </w:rPr>
        <w:t xml:space="preserve">reliable </w:t>
      </w:r>
      <w:r w:rsidRPr="00970B9B">
        <w:rPr>
          <w:szCs w:val="22"/>
        </w:rPr>
        <w:t xml:space="preserve">signal coverage to and offers service within the specific Census Tract (or other acceptable identifier).  To the extent the Census Tract (or other acceptable identifier) extends beyond the boundaries of a license area, a licensee with authorizations for such areas may include only the population within the Census Tract (or other acceptable identifier) towards meeting the performance requirement of a single, individual license.  For the Gulf of Mexico license area, the licensee shall demonstrate compliance with these performance requirements, using off-shore platforms, including production, manifold, compression, pumping and valving platforms as a proxy for population in the Gulf of Mexico.   </w:t>
      </w:r>
    </w:p>
    <w:p w:rsidR="00061AF1" w:rsidRPr="00970B9B" w:rsidRDefault="00061AF1" w:rsidP="00061AF1">
      <w:pPr>
        <w:spacing w:line="480" w:lineRule="auto"/>
        <w:ind w:left="720"/>
        <w:rPr>
          <w:bCs/>
          <w:szCs w:val="22"/>
        </w:rPr>
      </w:pPr>
      <w:r w:rsidRPr="00970B9B">
        <w:rPr>
          <w:szCs w:val="22"/>
        </w:rPr>
        <w:t xml:space="preserve">(6) </w:t>
      </w:r>
      <w:r w:rsidRPr="00970B9B">
        <w:rPr>
          <w:bCs/>
          <w:szCs w:val="22"/>
        </w:rPr>
        <w:t xml:space="preserve">An applicant for renewal of a license covered by this paragraph (t) must make a renewal showing, independent of its performance requirements, as a condition of </w:t>
      </w:r>
      <w:r>
        <w:rPr>
          <w:bCs/>
          <w:szCs w:val="22"/>
        </w:rPr>
        <w:t xml:space="preserve">each </w:t>
      </w:r>
      <w:r w:rsidRPr="00970B9B">
        <w:rPr>
          <w:bCs/>
          <w:szCs w:val="22"/>
        </w:rPr>
        <w:t>renewal.  The showing must include a detailed description of the applicant’s provision of service during the entire license period and address:</w:t>
      </w:r>
    </w:p>
    <w:p w:rsidR="00061AF1" w:rsidRPr="00970B9B" w:rsidRDefault="00061AF1" w:rsidP="00061AF1">
      <w:pPr>
        <w:spacing w:line="480" w:lineRule="auto"/>
        <w:ind w:left="720"/>
        <w:rPr>
          <w:bCs/>
          <w:szCs w:val="22"/>
        </w:rPr>
      </w:pPr>
      <w:r w:rsidRPr="00970B9B">
        <w:rPr>
          <w:bCs/>
          <w:szCs w:val="22"/>
        </w:rPr>
        <w:t>(i) The level and quality of service provided by the applicant (including the population served, the area served, the number of subscribers, the services offered);</w:t>
      </w:r>
    </w:p>
    <w:p w:rsidR="00061AF1" w:rsidRPr="00970B9B" w:rsidRDefault="00061AF1" w:rsidP="00061AF1">
      <w:pPr>
        <w:spacing w:line="480" w:lineRule="auto"/>
        <w:ind w:left="720"/>
        <w:rPr>
          <w:bCs/>
          <w:szCs w:val="22"/>
        </w:rPr>
      </w:pPr>
      <w:r w:rsidRPr="00970B9B">
        <w:rPr>
          <w:bCs/>
          <w:szCs w:val="22"/>
        </w:rPr>
        <w:t>(ii) The date service commenced, whether service was ever interrupted, and the duration of any interruption or outage;</w:t>
      </w:r>
    </w:p>
    <w:p w:rsidR="00061AF1" w:rsidRPr="00970B9B" w:rsidRDefault="00061AF1" w:rsidP="00061AF1">
      <w:pPr>
        <w:spacing w:line="480" w:lineRule="auto"/>
        <w:ind w:left="720"/>
        <w:rPr>
          <w:bCs/>
          <w:szCs w:val="22"/>
        </w:rPr>
      </w:pPr>
      <w:r w:rsidRPr="00970B9B">
        <w:rPr>
          <w:bCs/>
          <w:szCs w:val="22"/>
        </w:rPr>
        <w:t>(iii) The extent to which service is provided to rural areas;</w:t>
      </w:r>
    </w:p>
    <w:p w:rsidR="00061AF1" w:rsidRPr="00970B9B" w:rsidRDefault="00061AF1" w:rsidP="00061AF1">
      <w:pPr>
        <w:spacing w:line="480" w:lineRule="auto"/>
        <w:ind w:left="720"/>
        <w:rPr>
          <w:bCs/>
          <w:szCs w:val="22"/>
        </w:rPr>
      </w:pPr>
      <w:r w:rsidRPr="00970B9B">
        <w:rPr>
          <w:bCs/>
          <w:szCs w:val="22"/>
        </w:rPr>
        <w:t>(iv) The extent to which service is provided to qualifying tribal land as defined in § 1.2110(f)(3)(i) of this chapter; and</w:t>
      </w:r>
    </w:p>
    <w:p w:rsidR="00061AF1" w:rsidRDefault="00061AF1" w:rsidP="00032A10">
      <w:pPr>
        <w:widowControl/>
        <w:spacing w:line="480" w:lineRule="auto"/>
        <w:ind w:left="720"/>
      </w:pPr>
      <w:r w:rsidRPr="00970B9B">
        <w:rPr>
          <w:bCs/>
          <w:szCs w:val="22"/>
        </w:rPr>
        <w:t>(v) Any other factors associated with the level of service to the public.</w:t>
      </w:r>
      <w:r w:rsidR="00D0472A">
        <w:rPr>
          <w:bCs/>
          <w:szCs w:val="22"/>
        </w:rPr>
        <w:t>”</w:t>
      </w:r>
    </w:p>
    <w:p w:rsidR="00792828" w:rsidRDefault="00D0472A" w:rsidP="00032A10">
      <w:pPr>
        <w:pStyle w:val="ParaNum"/>
        <w:numPr>
          <w:ilvl w:val="0"/>
          <w:numId w:val="21"/>
        </w:numPr>
        <w:spacing w:after="240"/>
        <w:ind w:left="0" w:firstLine="360"/>
      </w:pPr>
      <w:r>
        <w:t>P</w:t>
      </w:r>
      <w:r w:rsidR="00792828">
        <w:t xml:space="preserve">aragraph 32 </w:t>
      </w:r>
      <w:r>
        <w:t xml:space="preserve">is corrected </w:t>
      </w:r>
      <w:r w:rsidR="00792828">
        <w:t>to read as follows:</w:t>
      </w:r>
    </w:p>
    <w:p w:rsidR="00792828" w:rsidRPr="00792828" w:rsidRDefault="00D0472A" w:rsidP="00032A10">
      <w:pPr>
        <w:pStyle w:val="ParaNum"/>
        <w:widowControl/>
        <w:numPr>
          <w:ilvl w:val="0"/>
          <w:numId w:val="0"/>
        </w:numPr>
        <w:spacing w:after="0" w:line="480" w:lineRule="auto"/>
        <w:ind w:left="720"/>
        <w:rPr>
          <w:szCs w:val="22"/>
        </w:rPr>
      </w:pPr>
      <w:r>
        <w:t>“</w:t>
      </w:r>
      <w:r w:rsidR="00792828" w:rsidRPr="00792828">
        <w:rPr>
          <w:szCs w:val="22"/>
        </w:rPr>
        <w:t>Section 27.55 i</w:t>
      </w:r>
      <w:r w:rsidR="00792828">
        <w:rPr>
          <w:szCs w:val="22"/>
        </w:rPr>
        <w:t>s amended by revising paragraph (a)(2)</w:t>
      </w:r>
      <w:r w:rsidR="00792828" w:rsidRPr="00792828">
        <w:rPr>
          <w:szCs w:val="22"/>
        </w:rPr>
        <w:t xml:space="preserve"> to read as follows:</w:t>
      </w:r>
    </w:p>
    <w:p w:rsidR="00792828" w:rsidRPr="00970B9B" w:rsidRDefault="00792828" w:rsidP="00D0472A">
      <w:pPr>
        <w:widowControl/>
        <w:spacing w:line="480" w:lineRule="auto"/>
        <w:ind w:left="720"/>
        <w:rPr>
          <w:b/>
          <w:szCs w:val="22"/>
          <w:u w:val="single"/>
        </w:rPr>
      </w:pPr>
      <w:r w:rsidRPr="00970B9B">
        <w:rPr>
          <w:b/>
          <w:szCs w:val="22"/>
          <w:u w:val="single"/>
        </w:rPr>
        <w:t>§ 27.55 Power strength limits.</w:t>
      </w:r>
    </w:p>
    <w:p w:rsidR="00792828" w:rsidRPr="00970B9B" w:rsidRDefault="00792828" w:rsidP="00D0472A">
      <w:pPr>
        <w:widowControl/>
        <w:spacing w:line="480" w:lineRule="auto"/>
        <w:ind w:left="720"/>
        <w:rPr>
          <w:szCs w:val="22"/>
        </w:rPr>
      </w:pPr>
      <w:r w:rsidRPr="00970B9B">
        <w:rPr>
          <w:szCs w:val="22"/>
        </w:rPr>
        <w:t>(a)</w:t>
      </w:r>
      <w:r>
        <w:rPr>
          <w:szCs w:val="22"/>
        </w:rPr>
        <w:t xml:space="preserve"> </w:t>
      </w:r>
      <w:r w:rsidRPr="00970B9B">
        <w:rPr>
          <w:szCs w:val="22"/>
        </w:rPr>
        <w:t>* * *</w:t>
      </w:r>
    </w:p>
    <w:p w:rsidR="00792828" w:rsidRPr="00970B9B" w:rsidRDefault="00792828" w:rsidP="00D0472A">
      <w:pPr>
        <w:widowControl/>
        <w:spacing w:line="480" w:lineRule="auto"/>
        <w:ind w:left="720"/>
        <w:rPr>
          <w:szCs w:val="22"/>
        </w:rPr>
      </w:pPr>
      <w:r w:rsidRPr="00970B9B">
        <w:rPr>
          <w:szCs w:val="22"/>
        </w:rPr>
        <w:t>(2) 600 MHz, 698–758, and 775–787 MHz bands: 40 dBµV/m.</w:t>
      </w:r>
    </w:p>
    <w:p w:rsidR="000724B9" w:rsidRDefault="00792828" w:rsidP="00D0472A">
      <w:pPr>
        <w:widowControl/>
        <w:spacing w:line="480" w:lineRule="auto"/>
        <w:ind w:left="720"/>
        <w:rPr>
          <w:szCs w:val="22"/>
        </w:rPr>
      </w:pPr>
      <w:r w:rsidRPr="00970B9B">
        <w:rPr>
          <w:szCs w:val="22"/>
        </w:rPr>
        <w:t>* * * * *</w:t>
      </w:r>
      <w:r w:rsidR="00D0472A">
        <w:rPr>
          <w:szCs w:val="22"/>
        </w:rPr>
        <w:t>”</w:t>
      </w:r>
    </w:p>
    <w:p w:rsidR="000724B9" w:rsidRDefault="00D0472A" w:rsidP="00032A10">
      <w:pPr>
        <w:pStyle w:val="ParaNum"/>
        <w:numPr>
          <w:ilvl w:val="0"/>
          <w:numId w:val="21"/>
        </w:numPr>
        <w:spacing w:after="240"/>
        <w:ind w:left="0" w:firstLine="360"/>
        <w:rPr>
          <w:szCs w:val="22"/>
        </w:rPr>
      </w:pPr>
      <w:r>
        <w:rPr>
          <w:szCs w:val="22"/>
        </w:rPr>
        <w:t>P</w:t>
      </w:r>
      <w:r w:rsidR="00BF3F54">
        <w:rPr>
          <w:szCs w:val="22"/>
        </w:rPr>
        <w:t xml:space="preserve">aragraph 34 </w:t>
      </w:r>
      <w:r>
        <w:rPr>
          <w:szCs w:val="22"/>
        </w:rPr>
        <w:t xml:space="preserve">is corrected </w:t>
      </w:r>
      <w:r w:rsidR="000724B9">
        <w:rPr>
          <w:szCs w:val="22"/>
        </w:rPr>
        <w:t>to read as follows:</w:t>
      </w:r>
    </w:p>
    <w:p w:rsidR="000724B9" w:rsidRPr="00970B9B" w:rsidRDefault="00D0472A" w:rsidP="00D0472A">
      <w:pPr>
        <w:widowControl/>
        <w:spacing w:line="480" w:lineRule="auto"/>
        <w:ind w:left="720"/>
        <w:rPr>
          <w:szCs w:val="22"/>
        </w:rPr>
      </w:pPr>
      <w:r>
        <w:rPr>
          <w:szCs w:val="22"/>
        </w:rPr>
        <w:t>“</w:t>
      </w:r>
      <w:r w:rsidR="000724B9" w:rsidRPr="00970B9B">
        <w:rPr>
          <w:szCs w:val="22"/>
        </w:rPr>
        <w:t>Section 27.75 is amended by revising paragraph (a)(2) to read as follows:</w:t>
      </w:r>
    </w:p>
    <w:p w:rsidR="000724B9" w:rsidRPr="00970B9B" w:rsidRDefault="000724B9" w:rsidP="00D0472A">
      <w:pPr>
        <w:widowControl/>
        <w:spacing w:line="480" w:lineRule="auto"/>
        <w:ind w:left="720"/>
        <w:rPr>
          <w:b/>
          <w:szCs w:val="22"/>
        </w:rPr>
      </w:pPr>
      <w:r w:rsidRPr="00970B9B">
        <w:rPr>
          <w:b/>
          <w:szCs w:val="22"/>
          <w:u w:val="single"/>
        </w:rPr>
        <w:t>§ 27.75  Basic interoperability requirement.</w:t>
      </w:r>
    </w:p>
    <w:p w:rsidR="000724B9" w:rsidRPr="00970B9B" w:rsidRDefault="000724B9" w:rsidP="00D0472A">
      <w:pPr>
        <w:widowControl/>
        <w:spacing w:line="480" w:lineRule="auto"/>
        <w:ind w:left="720"/>
        <w:rPr>
          <w:szCs w:val="22"/>
        </w:rPr>
      </w:pPr>
      <w:r w:rsidRPr="00970B9B">
        <w:rPr>
          <w:szCs w:val="22"/>
        </w:rPr>
        <w:t>* * * * *</w:t>
      </w:r>
    </w:p>
    <w:p w:rsidR="000724B9" w:rsidRPr="00970B9B" w:rsidRDefault="000724B9" w:rsidP="00D0472A">
      <w:pPr>
        <w:widowControl/>
        <w:spacing w:line="480" w:lineRule="auto"/>
        <w:ind w:left="720"/>
        <w:rPr>
          <w:szCs w:val="22"/>
        </w:rPr>
      </w:pPr>
      <w:r w:rsidRPr="00970B9B">
        <w:rPr>
          <w:szCs w:val="22"/>
        </w:rPr>
        <w:t>(a) * * *</w:t>
      </w:r>
    </w:p>
    <w:p w:rsidR="000724B9" w:rsidRPr="00970B9B" w:rsidRDefault="000724B9" w:rsidP="00D0472A">
      <w:pPr>
        <w:widowControl/>
        <w:spacing w:line="480" w:lineRule="auto"/>
        <w:ind w:left="720"/>
        <w:rPr>
          <w:szCs w:val="22"/>
        </w:rPr>
      </w:pPr>
      <w:r w:rsidRPr="00970B9B">
        <w:rPr>
          <w:szCs w:val="22"/>
        </w:rPr>
        <w:t xml:space="preserve">(2) Mobile and portable stations that operate on </w:t>
      </w:r>
      <w:r>
        <w:rPr>
          <w:szCs w:val="22"/>
        </w:rPr>
        <w:t xml:space="preserve">any portion of </w:t>
      </w:r>
      <w:r w:rsidRPr="00970B9B">
        <w:rPr>
          <w:szCs w:val="22"/>
        </w:rPr>
        <w:t xml:space="preserve">frequencies in the 600 MHz band must be capable of operating on all frequencies in the 600 MHz band using </w:t>
      </w:r>
      <w:r>
        <w:rPr>
          <w:szCs w:val="22"/>
        </w:rPr>
        <w:t>the same</w:t>
      </w:r>
      <w:r w:rsidRPr="00970B9B">
        <w:rPr>
          <w:szCs w:val="22"/>
        </w:rPr>
        <w:t xml:space="preserve"> air interfaces that the equipment utilizes on any frequencies in the 600 MHz band.</w:t>
      </w:r>
    </w:p>
    <w:p w:rsidR="000724B9" w:rsidRPr="004E60EC" w:rsidRDefault="000724B9" w:rsidP="00032A10">
      <w:pPr>
        <w:widowControl/>
        <w:spacing w:line="480" w:lineRule="auto"/>
        <w:ind w:left="720"/>
        <w:rPr>
          <w:szCs w:val="22"/>
        </w:rPr>
      </w:pPr>
      <w:r w:rsidRPr="00970B9B">
        <w:rPr>
          <w:szCs w:val="22"/>
        </w:rPr>
        <w:t>* * * * *</w:t>
      </w:r>
      <w:r w:rsidR="00D0472A">
        <w:rPr>
          <w:szCs w:val="22"/>
        </w:rPr>
        <w:t>”</w:t>
      </w:r>
    </w:p>
    <w:p w:rsidR="00425B94" w:rsidRPr="00240930" w:rsidRDefault="00792828" w:rsidP="00792828">
      <w:pPr>
        <w:pStyle w:val="ParaNum"/>
        <w:numPr>
          <w:ilvl w:val="0"/>
          <w:numId w:val="0"/>
        </w:numPr>
      </w:pPr>
      <w:r w:rsidRPr="00D0472A">
        <w:t>This Erratum a</w:t>
      </w:r>
      <w:r w:rsidR="00D0472A">
        <w:t>lso a</w:t>
      </w:r>
      <w:r w:rsidRPr="00D0472A">
        <w:t>mends</w:t>
      </w:r>
      <w:r w:rsidRPr="00032A10">
        <w:rPr>
          <w:rFonts w:ascii="Times New Roman Bold" w:hAnsi="Times New Roman Bold"/>
        </w:rPr>
        <w:t xml:space="preserve"> </w:t>
      </w:r>
      <w:r w:rsidRPr="00032A10">
        <w:rPr>
          <w:rFonts w:ascii="Times New Roman Bold" w:hAnsi="Times New Roman Bold"/>
          <w:b/>
          <w:caps/>
        </w:rPr>
        <w:t>Appendix C</w:t>
      </w:r>
      <w:r>
        <w:t xml:space="preserve"> as indicated below:</w:t>
      </w:r>
    </w:p>
    <w:p w:rsidR="00792828" w:rsidRDefault="00425B94" w:rsidP="00032A10">
      <w:pPr>
        <w:pStyle w:val="ParaNum"/>
        <w:numPr>
          <w:ilvl w:val="0"/>
          <w:numId w:val="21"/>
        </w:numPr>
        <w:ind w:left="0" w:firstLine="360"/>
      </w:pPr>
      <w:r>
        <w:t xml:space="preserve">In </w:t>
      </w:r>
      <w:r w:rsidR="00D0472A">
        <w:t>P</w:t>
      </w:r>
      <w:r>
        <w:t xml:space="preserve">aragraph 25, </w:t>
      </w:r>
      <w:r w:rsidR="00BF3F54">
        <w:t xml:space="preserve">correct </w:t>
      </w:r>
      <w:r w:rsidR="00D0472A">
        <w:t>“</w:t>
      </w:r>
      <w:r w:rsidR="00792828">
        <w:t>Figure 3</w:t>
      </w:r>
      <w:r w:rsidR="00D0472A">
        <w:t>”</w:t>
      </w:r>
      <w:r w:rsidR="00792828">
        <w:t xml:space="preserve"> to read as follows:</w:t>
      </w:r>
    </w:p>
    <w:p w:rsidR="001A1FBB" w:rsidRDefault="001579EC" w:rsidP="000C4E54">
      <w:pPr>
        <w:pStyle w:val="ParaNum"/>
        <w:numPr>
          <w:ilvl w:val="0"/>
          <w:numId w:val="0"/>
        </w:numPr>
      </w:pPr>
      <w:r w:rsidRPr="001579EC">
        <w:rPr>
          <w:noProof/>
        </w:rPr>
        <w:drawing>
          <wp:inline distT="0" distB="0" distL="0" distR="0" wp14:anchorId="696D69EC" wp14:editId="25858017">
            <wp:extent cx="5943600" cy="139023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90231"/>
                    </a:xfrm>
                    <a:prstGeom prst="rect">
                      <a:avLst/>
                    </a:prstGeom>
                    <a:noFill/>
                    <a:ln>
                      <a:noFill/>
                    </a:ln>
                  </pic:spPr>
                </pic:pic>
              </a:graphicData>
            </a:graphic>
          </wp:inline>
        </w:drawing>
      </w:r>
    </w:p>
    <w:p w:rsidR="00425B94" w:rsidRDefault="00425B94" w:rsidP="000C4E54">
      <w:pPr>
        <w:pStyle w:val="ParaNum"/>
        <w:numPr>
          <w:ilvl w:val="0"/>
          <w:numId w:val="0"/>
        </w:numPr>
      </w:pPr>
    </w:p>
    <w:p w:rsidR="001579EC" w:rsidRDefault="001579EC" w:rsidP="000C4E54">
      <w:pPr>
        <w:pStyle w:val="ParaNum"/>
        <w:numPr>
          <w:ilvl w:val="0"/>
          <w:numId w:val="0"/>
        </w:numPr>
      </w:pPr>
    </w:p>
    <w:p w:rsidR="001579EC" w:rsidRDefault="001579EC" w:rsidP="000C4E54">
      <w:pPr>
        <w:pStyle w:val="ParaNum"/>
        <w:numPr>
          <w:ilvl w:val="0"/>
          <w:numId w:val="0"/>
        </w:numPr>
      </w:pPr>
    </w:p>
    <w:p w:rsidR="005B5473" w:rsidRDefault="005B5473" w:rsidP="00425B94">
      <w:pPr>
        <w:pStyle w:val="ParaNum"/>
        <w:numPr>
          <w:ilvl w:val="0"/>
          <w:numId w:val="0"/>
        </w:numPr>
        <w:ind w:left="3600" w:firstLine="720"/>
      </w:pPr>
      <w:r>
        <w:t>FEDERAL COMMUNICATIONS COMMISSION</w:t>
      </w:r>
    </w:p>
    <w:p w:rsidR="005B5473" w:rsidRDefault="005B5473" w:rsidP="003B29A8"/>
    <w:p w:rsidR="005B5473" w:rsidRDefault="005B5473" w:rsidP="003B29A8"/>
    <w:p w:rsidR="005B5473" w:rsidRDefault="005B5473" w:rsidP="003B29A8"/>
    <w:p w:rsidR="005B5473" w:rsidRPr="000201DB" w:rsidRDefault="000201DB" w:rsidP="003B29A8">
      <w:pPr>
        <w:rPr>
          <w:u w:val="single"/>
        </w:rPr>
      </w:pPr>
      <w:r w:rsidRPr="000201DB">
        <w:rPr>
          <w:u w:val="single"/>
        </w:rPr>
        <w:t xml:space="preserve">  </w:t>
      </w:r>
    </w:p>
    <w:p w:rsidR="005B5473" w:rsidRDefault="005B5473" w:rsidP="003B29A8">
      <w:r>
        <w:tab/>
      </w:r>
      <w:r>
        <w:tab/>
      </w:r>
      <w:r>
        <w:tab/>
      </w:r>
      <w:r>
        <w:tab/>
      </w:r>
      <w:r>
        <w:tab/>
      </w:r>
      <w:r w:rsidR="00D0472A">
        <w:tab/>
      </w:r>
      <w:r w:rsidR="00AF54EA">
        <w:t xml:space="preserve">Roger </w:t>
      </w:r>
      <w:r w:rsidR="00C74637">
        <w:t xml:space="preserve">C. </w:t>
      </w:r>
      <w:r w:rsidR="00AF54EA">
        <w:t>Sherman</w:t>
      </w:r>
    </w:p>
    <w:p w:rsidR="00C74637" w:rsidRDefault="005B5473" w:rsidP="00C74637">
      <w:r>
        <w:tab/>
      </w:r>
      <w:r>
        <w:tab/>
      </w:r>
      <w:r>
        <w:tab/>
      </w:r>
      <w:r>
        <w:tab/>
      </w:r>
      <w:r>
        <w:tab/>
      </w:r>
      <w:r>
        <w:tab/>
      </w:r>
      <w:r w:rsidR="00C74637">
        <w:t>Chief</w:t>
      </w:r>
    </w:p>
    <w:p w:rsidR="001C0FE8" w:rsidRDefault="00C74637" w:rsidP="00C74637">
      <w:r>
        <w:tab/>
      </w:r>
      <w:r>
        <w:tab/>
      </w:r>
      <w:r>
        <w:tab/>
      </w:r>
      <w:r>
        <w:tab/>
      </w:r>
      <w:r>
        <w:tab/>
      </w:r>
      <w:r w:rsidR="00D0472A">
        <w:tab/>
      </w:r>
      <w:r w:rsidR="00560E4C">
        <w:t>Wireless Telecommunications Bureau</w:t>
      </w:r>
    </w:p>
    <w:p w:rsidR="00D0472A" w:rsidRDefault="00D0472A" w:rsidP="00C74637"/>
    <w:p w:rsidR="000D51A8" w:rsidRDefault="000D51A8" w:rsidP="00C74637"/>
    <w:p w:rsidR="00D0472A" w:rsidRDefault="00D0472A" w:rsidP="00C74637">
      <w:pPr>
        <w:rPr>
          <w:b/>
          <w:caps/>
          <w:spacing w:val="-2"/>
        </w:rPr>
      </w:pPr>
    </w:p>
    <w:p w:rsidR="00D0472A" w:rsidRDefault="00D0472A" w:rsidP="00C74637">
      <w:pPr>
        <w:rPr>
          <w:b/>
          <w:caps/>
          <w:spacing w:val="-2"/>
        </w:rPr>
      </w:pPr>
    </w:p>
    <w:p w:rsidR="00D0472A" w:rsidRDefault="00D0472A" w:rsidP="00C74637">
      <w:r>
        <w:rPr>
          <w:b/>
          <w:caps/>
          <w:spacing w:val="-2"/>
        </w:rPr>
        <w:t xml:space="preserve"> </w:t>
      </w:r>
      <w:r>
        <w:rPr>
          <w:b/>
          <w:caps/>
          <w:spacing w:val="-2"/>
        </w:rPr>
        <w:tab/>
      </w:r>
      <w:r>
        <w:rPr>
          <w:b/>
          <w:caps/>
          <w:spacing w:val="-2"/>
        </w:rPr>
        <w:tab/>
      </w:r>
      <w:r>
        <w:rPr>
          <w:b/>
          <w:caps/>
          <w:spacing w:val="-2"/>
        </w:rPr>
        <w:tab/>
      </w:r>
      <w:r>
        <w:rPr>
          <w:b/>
          <w:caps/>
          <w:spacing w:val="-2"/>
        </w:rPr>
        <w:tab/>
      </w:r>
      <w:r>
        <w:rPr>
          <w:b/>
          <w:caps/>
          <w:spacing w:val="-2"/>
        </w:rPr>
        <w:tab/>
      </w:r>
      <w:r>
        <w:rPr>
          <w:b/>
          <w:caps/>
          <w:spacing w:val="-2"/>
        </w:rPr>
        <w:tab/>
      </w:r>
      <w:r>
        <w:t>William Lake</w:t>
      </w:r>
    </w:p>
    <w:p w:rsidR="00D0472A" w:rsidRDefault="00D0472A" w:rsidP="00C74637">
      <w:r>
        <w:t xml:space="preserve"> </w:t>
      </w:r>
      <w:r>
        <w:tab/>
      </w:r>
      <w:r>
        <w:tab/>
      </w:r>
      <w:r>
        <w:tab/>
      </w:r>
      <w:r>
        <w:tab/>
      </w:r>
      <w:r>
        <w:tab/>
      </w:r>
      <w:r>
        <w:tab/>
        <w:t>Chief</w:t>
      </w:r>
    </w:p>
    <w:p w:rsidR="00D0472A" w:rsidRPr="00DA3E4F" w:rsidRDefault="00D0472A" w:rsidP="00C74637">
      <w:pPr>
        <w:rPr>
          <w:b/>
          <w:caps/>
          <w:spacing w:val="-2"/>
        </w:rPr>
      </w:pPr>
      <w:r>
        <w:t xml:space="preserve"> </w:t>
      </w:r>
      <w:r>
        <w:tab/>
      </w:r>
      <w:r>
        <w:tab/>
      </w:r>
      <w:r>
        <w:tab/>
      </w:r>
      <w:r>
        <w:tab/>
      </w:r>
      <w:r>
        <w:tab/>
      </w:r>
      <w:r>
        <w:tab/>
        <w:t>Media Bureau</w:t>
      </w:r>
    </w:p>
    <w:sectPr w:rsidR="00D0472A" w:rsidRPr="00DA3E4F"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4D" w:rsidRDefault="0016624D">
      <w:pPr>
        <w:spacing w:line="20" w:lineRule="exact"/>
      </w:pPr>
    </w:p>
  </w:endnote>
  <w:endnote w:type="continuationSeparator" w:id="0">
    <w:p w:rsidR="0016624D" w:rsidRDefault="0016624D">
      <w:r>
        <w:t xml:space="preserve"> </w:t>
      </w:r>
    </w:p>
  </w:endnote>
  <w:endnote w:type="continuationNotice" w:id="1">
    <w:p w:rsidR="0016624D" w:rsidRDefault="001662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B4" w:rsidRDefault="00EF5EB4" w:rsidP="0055614C">
    <w:pPr>
      <w:pStyle w:val="Footer"/>
      <w:framePr w:wrap="around" w:vAnchor="text" w:hAnchor="margin" w:xAlign="center" w:y="1"/>
    </w:pPr>
    <w:r>
      <w:fldChar w:fldCharType="begin"/>
    </w:r>
    <w:r>
      <w:instrText xml:space="preserve">PAGE  </w:instrText>
    </w:r>
    <w:r>
      <w:fldChar w:fldCharType="end"/>
    </w:r>
  </w:p>
  <w:p w:rsidR="00EF5EB4" w:rsidRDefault="00EF5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B4" w:rsidRDefault="00EF5EB4" w:rsidP="0055614C">
    <w:pPr>
      <w:pStyle w:val="Footer"/>
      <w:framePr w:wrap="around" w:vAnchor="text" w:hAnchor="margin" w:xAlign="center" w:y="1"/>
    </w:pPr>
    <w:r>
      <w:fldChar w:fldCharType="begin"/>
    </w:r>
    <w:r>
      <w:instrText xml:space="preserve">PAGE  </w:instrText>
    </w:r>
    <w:r>
      <w:fldChar w:fldCharType="separate"/>
    </w:r>
    <w:r w:rsidR="00290220">
      <w:rPr>
        <w:noProof/>
      </w:rPr>
      <w:t>2</w:t>
    </w:r>
    <w:r>
      <w:fldChar w:fldCharType="end"/>
    </w:r>
  </w:p>
  <w:p w:rsidR="00EF5EB4" w:rsidRDefault="00EF5EB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CE" w:rsidRDefault="006D5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4D" w:rsidRDefault="0016624D">
      <w:r>
        <w:separator/>
      </w:r>
    </w:p>
  </w:footnote>
  <w:footnote w:type="continuationSeparator" w:id="0">
    <w:p w:rsidR="0016624D" w:rsidRDefault="0016624D" w:rsidP="00C721AC">
      <w:pPr>
        <w:spacing w:before="120"/>
        <w:rPr>
          <w:sz w:val="20"/>
        </w:rPr>
      </w:pPr>
      <w:r>
        <w:rPr>
          <w:sz w:val="20"/>
        </w:rPr>
        <w:t xml:space="preserve">(Continued from previous page)  </w:t>
      </w:r>
      <w:r>
        <w:rPr>
          <w:sz w:val="20"/>
        </w:rPr>
        <w:separator/>
      </w:r>
    </w:p>
  </w:footnote>
  <w:footnote w:type="continuationNotice" w:id="1">
    <w:p w:rsidR="0016624D" w:rsidRDefault="0016624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CE" w:rsidRDefault="006D5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B4" w:rsidRDefault="00EF5EB4" w:rsidP="00810B6F">
    <w:pPr>
      <w:pStyle w:val="Header"/>
      <w:rPr>
        <w:b w:val="0"/>
      </w:rPr>
    </w:pPr>
    <w:r>
      <w:tab/>
      <w:t>Federal Communications Commission</w:t>
    </w:r>
    <w:r>
      <w:tab/>
    </w:r>
  </w:p>
  <w:p w:rsidR="00EF5EB4" w:rsidRDefault="00EF5EB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0DAC807" wp14:editId="243880B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BA6E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F5EB4" w:rsidRDefault="00EF5EB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B4" w:rsidRDefault="00EF5EB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6AFEED0" wp14:editId="466969B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3EDC4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AE2B3D"/>
    <w:multiLevelType w:val="hybridMultilevel"/>
    <w:tmpl w:val="7B062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B141D"/>
    <w:multiLevelType w:val="hybridMultilevel"/>
    <w:tmpl w:val="B16E6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F08625F"/>
    <w:multiLevelType w:val="hybridMultilevel"/>
    <w:tmpl w:val="2B20B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54E1200"/>
    <w:multiLevelType w:val="hybridMultilevel"/>
    <w:tmpl w:val="7B24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34D2C"/>
    <w:multiLevelType w:val="hybridMultilevel"/>
    <w:tmpl w:val="91BAFA68"/>
    <w:lvl w:ilvl="0" w:tplc="2E003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8"/>
  </w:num>
  <w:num w:numId="8">
    <w:abstractNumId w:val="7"/>
  </w:num>
  <w:num w:numId="9">
    <w:abstractNumId w:val="8"/>
    <w:lvlOverride w:ilvl="0">
      <w:startOverride w:val="244"/>
    </w:lvlOverride>
  </w:num>
  <w:num w:numId="10">
    <w:abstractNumId w:val="8"/>
    <w:lvlOverride w:ilvl="0">
      <w:startOverride w:val="165"/>
    </w:lvlOverride>
  </w:num>
  <w:num w:numId="11">
    <w:abstractNumId w:val="8"/>
    <w:lvlOverride w:ilvl="0">
      <w:startOverride w:val="3"/>
    </w:lvlOverride>
  </w:num>
  <w:num w:numId="12">
    <w:abstractNumId w:val="8"/>
  </w:num>
  <w:num w:numId="13">
    <w:abstractNumId w:val="8"/>
    <w:lvlOverride w:ilvl="0">
      <w:startOverride w:val="3"/>
    </w:lvlOverride>
  </w:num>
  <w:num w:numId="14">
    <w:abstractNumId w:val="8"/>
  </w:num>
  <w:num w:numId="15">
    <w:abstractNumId w:val="8"/>
    <w:lvlOverride w:ilvl="0">
      <w:startOverride w:val="3"/>
    </w:lvlOverride>
  </w:num>
  <w:num w:numId="16">
    <w:abstractNumId w:val="8"/>
  </w:num>
  <w:num w:numId="17">
    <w:abstractNumId w:val="8"/>
  </w:num>
  <w:num w:numId="18">
    <w:abstractNumId w:val="8"/>
  </w:num>
  <w:num w:numId="19">
    <w:abstractNumId w:val="10"/>
  </w:num>
  <w:num w:numId="20">
    <w:abstractNumId w:val="8"/>
  </w:num>
  <w:num w:numId="21">
    <w:abstractNumId w:val="12"/>
  </w:num>
  <w:num w:numId="22">
    <w:abstractNumId w:val="1"/>
  </w:num>
  <w:num w:numId="23">
    <w:abstractNumId w:val="9"/>
  </w:num>
  <w:num w:numId="24">
    <w:abstractNumId w:val="2"/>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11"/>
  </w:num>
  <w:num w:numId="67">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AE9"/>
    <w:rsid w:val="00011F6B"/>
    <w:rsid w:val="000201DB"/>
    <w:rsid w:val="00025EEB"/>
    <w:rsid w:val="00026C30"/>
    <w:rsid w:val="00027DC7"/>
    <w:rsid w:val="00032A10"/>
    <w:rsid w:val="00036039"/>
    <w:rsid w:val="00037F90"/>
    <w:rsid w:val="00046EDA"/>
    <w:rsid w:val="00047C9C"/>
    <w:rsid w:val="0006019A"/>
    <w:rsid w:val="00061AF1"/>
    <w:rsid w:val="00067BEF"/>
    <w:rsid w:val="000724B9"/>
    <w:rsid w:val="0008065D"/>
    <w:rsid w:val="000872AE"/>
    <w:rsid w:val="000875BF"/>
    <w:rsid w:val="00096D8C"/>
    <w:rsid w:val="000A06B4"/>
    <w:rsid w:val="000C0B65"/>
    <w:rsid w:val="000C4E54"/>
    <w:rsid w:val="000D51A8"/>
    <w:rsid w:val="000E05FE"/>
    <w:rsid w:val="000E3D42"/>
    <w:rsid w:val="000F6C60"/>
    <w:rsid w:val="00122BD5"/>
    <w:rsid w:val="00133F79"/>
    <w:rsid w:val="001563DE"/>
    <w:rsid w:val="001579EC"/>
    <w:rsid w:val="0016624D"/>
    <w:rsid w:val="0016656A"/>
    <w:rsid w:val="00172349"/>
    <w:rsid w:val="0017637B"/>
    <w:rsid w:val="00194A66"/>
    <w:rsid w:val="001A1FBB"/>
    <w:rsid w:val="001A437A"/>
    <w:rsid w:val="001A6FFA"/>
    <w:rsid w:val="001C0FE8"/>
    <w:rsid w:val="001D31C6"/>
    <w:rsid w:val="001D6BCF"/>
    <w:rsid w:val="001E0133"/>
    <w:rsid w:val="001E01CA"/>
    <w:rsid w:val="001E0B8D"/>
    <w:rsid w:val="001E157B"/>
    <w:rsid w:val="002161F3"/>
    <w:rsid w:val="00224B2E"/>
    <w:rsid w:val="00231235"/>
    <w:rsid w:val="00240930"/>
    <w:rsid w:val="00244CBC"/>
    <w:rsid w:val="002461DF"/>
    <w:rsid w:val="00261C9E"/>
    <w:rsid w:val="00275CF5"/>
    <w:rsid w:val="0028301F"/>
    <w:rsid w:val="00284176"/>
    <w:rsid w:val="00285017"/>
    <w:rsid w:val="00290220"/>
    <w:rsid w:val="00292DD1"/>
    <w:rsid w:val="002A2D2E"/>
    <w:rsid w:val="002A7E16"/>
    <w:rsid w:val="002B3233"/>
    <w:rsid w:val="002B516E"/>
    <w:rsid w:val="002C00E8"/>
    <w:rsid w:val="002C26C7"/>
    <w:rsid w:val="002D49D8"/>
    <w:rsid w:val="002D59A9"/>
    <w:rsid w:val="002E3FF1"/>
    <w:rsid w:val="002E71F3"/>
    <w:rsid w:val="002F2AA8"/>
    <w:rsid w:val="002F2B5B"/>
    <w:rsid w:val="002F3CB8"/>
    <w:rsid w:val="00301356"/>
    <w:rsid w:val="00320D7F"/>
    <w:rsid w:val="00337AF0"/>
    <w:rsid w:val="00343749"/>
    <w:rsid w:val="003660ED"/>
    <w:rsid w:val="00367F2C"/>
    <w:rsid w:val="003830EC"/>
    <w:rsid w:val="00383F2F"/>
    <w:rsid w:val="00395FBA"/>
    <w:rsid w:val="003A75E0"/>
    <w:rsid w:val="003B0550"/>
    <w:rsid w:val="003B29A8"/>
    <w:rsid w:val="003B694F"/>
    <w:rsid w:val="003E48CD"/>
    <w:rsid w:val="003F171C"/>
    <w:rsid w:val="004127D5"/>
    <w:rsid w:val="00412FC5"/>
    <w:rsid w:val="00422276"/>
    <w:rsid w:val="004242F1"/>
    <w:rsid w:val="00425B94"/>
    <w:rsid w:val="00445044"/>
    <w:rsid w:val="00445A00"/>
    <w:rsid w:val="00446228"/>
    <w:rsid w:val="00451B0F"/>
    <w:rsid w:val="004549F4"/>
    <w:rsid w:val="00462BFC"/>
    <w:rsid w:val="00483665"/>
    <w:rsid w:val="0049002F"/>
    <w:rsid w:val="00491BB2"/>
    <w:rsid w:val="0049285F"/>
    <w:rsid w:val="00497C0F"/>
    <w:rsid w:val="004B6654"/>
    <w:rsid w:val="004C2A61"/>
    <w:rsid w:val="004C2EE3"/>
    <w:rsid w:val="004D4E79"/>
    <w:rsid w:val="004D7A85"/>
    <w:rsid w:val="004E4A22"/>
    <w:rsid w:val="004E60EC"/>
    <w:rsid w:val="004F08F8"/>
    <w:rsid w:val="004F456C"/>
    <w:rsid w:val="0050581A"/>
    <w:rsid w:val="00505A65"/>
    <w:rsid w:val="00506A8A"/>
    <w:rsid w:val="00511968"/>
    <w:rsid w:val="00551E64"/>
    <w:rsid w:val="0055614C"/>
    <w:rsid w:val="00560E4C"/>
    <w:rsid w:val="00576882"/>
    <w:rsid w:val="005769D0"/>
    <w:rsid w:val="005855EA"/>
    <w:rsid w:val="005966C1"/>
    <w:rsid w:val="005A04CF"/>
    <w:rsid w:val="005A4B6B"/>
    <w:rsid w:val="005B3F49"/>
    <w:rsid w:val="005B4FF7"/>
    <w:rsid w:val="005B5473"/>
    <w:rsid w:val="005C31F7"/>
    <w:rsid w:val="005D4ACF"/>
    <w:rsid w:val="005E0648"/>
    <w:rsid w:val="005E14C2"/>
    <w:rsid w:val="005F7011"/>
    <w:rsid w:val="00607871"/>
    <w:rsid w:val="00607BA5"/>
    <w:rsid w:val="0061180A"/>
    <w:rsid w:val="00617C8C"/>
    <w:rsid w:val="00620B4B"/>
    <w:rsid w:val="00626EB6"/>
    <w:rsid w:val="00636D3C"/>
    <w:rsid w:val="00655D03"/>
    <w:rsid w:val="00667D8A"/>
    <w:rsid w:val="00672A97"/>
    <w:rsid w:val="00680085"/>
    <w:rsid w:val="00683388"/>
    <w:rsid w:val="00683F84"/>
    <w:rsid w:val="00691607"/>
    <w:rsid w:val="00692852"/>
    <w:rsid w:val="00695AF5"/>
    <w:rsid w:val="006A3DD9"/>
    <w:rsid w:val="006A6A81"/>
    <w:rsid w:val="006B1DBC"/>
    <w:rsid w:val="006B2203"/>
    <w:rsid w:val="006D41BD"/>
    <w:rsid w:val="006D59CE"/>
    <w:rsid w:val="006D61B1"/>
    <w:rsid w:val="006F180B"/>
    <w:rsid w:val="006F7393"/>
    <w:rsid w:val="00701BA5"/>
    <w:rsid w:val="0070224F"/>
    <w:rsid w:val="0070565B"/>
    <w:rsid w:val="00706BF8"/>
    <w:rsid w:val="007115F7"/>
    <w:rsid w:val="00725EA9"/>
    <w:rsid w:val="00740CE0"/>
    <w:rsid w:val="00753464"/>
    <w:rsid w:val="00771597"/>
    <w:rsid w:val="00774A10"/>
    <w:rsid w:val="00776CC4"/>
    <w:rsid w:val="00777271"/>
    <w:rsid w:val="007806DD"/>
    <w:rsid w:val="00785689"/>
    <w:rsid w:val="0078580A"/>
    <w:rsid w:val="00791667"/>
    <w:rsid w:val="00792828"/>
    <w:rsid w:val="00792A1E"/>
    <w:rsid w:val="00793A3D"/>
    <w:rsid w:val="0079754B"/>
    <w:rsid w:val="007978C9"/>
    <w:rsid w:val="007A0FCC"/>
    <w:rsid w:val="007A1E6D"/>
    <w:rsid w:val="007A25C3"/>
    <w:rsid w:val="007A2FF5"/>
    <w:rsid w:val="007B0EB2"/>
    <w:rsid w:val="007B3A5A"/>
    <w:rsid w:val="007C51CD"/>
    <w:rsid w:val="007D0CA2"/>
    <w:rsid w:val="007E5500"/>
    <w:rsid w:val="00803BAE"/>
    <w:rsid w:val="00810B6F"/>
    <w:rsid w:val="008202BE"/>
    <w:rsid w:val="00822CE0"/>
    <w:rsid w:val="008306BA"/>
    <w:rsid w:val="00830872"/>
    <w:rsid w:val="008336B9"/>
    <w:rsid w:val="00840504"/>
    <w:rsid w:val="008409FC"/>
    <w:rsid w:val="00840DCB"/>
    <w:rsid w:val="00841AB1"/>
    <w:rsid w:val="00842AC3"/>
    <w:rsid w:val="0087095B"/>
    <w:rsid w:val="008A74B8"/>
    <w:rsid w:val="008C4DB6"/>
    <w:rsid w:val="008C68F1"/>
    <w:rsid w:val="008D0CDA"/>
    <w:rsid w:val="008D510B"/>
    <w:rsid w:val="00907911"/>
    <w:rsid w:val="009151BA"/>
    <w:rsid w:val="00915A62"/>
    <w:rsid w:val="00921803"/>
    <w:rsid w:val="00926503"/>
    <w:rsid w:val="00932CDC"/>
    <w:rsid w:val="00936EBF"/>
    <w:rsid w:val="0094002E"/>
    <w:rsid w:val="00943856"/>
    <w:rsid w:val="009726D8"/>
    <w:rsid w:val="009B695A"/>
    <w:rsid w:val="009E303E"/>
    <w:rsid w:val="009F76DB"/>
    <w:rsid w:val="00A01887"/>
    <w:rsid w:val="00A0737D"/>
    <w:rsid w:val="00A17EF8"/>
    <w:rsid w:val="00A30D49"/>
    <w:rsid w:val="00A3273F"/>
    <w:rsid w:val="00A32C3B"/>
    <w:rsid w:val="00A34EF2"/>
    <w:rsid w:val="00A434DE"/>
    <w:rsid w:val="00A45F4F"/>
    <w:rsid w:val="00A600A9"/>
    <w:rsid w:val="00A67FDE"/>
    <w:rsid w:val="00AA55B7"/>
    <w:rsid w:val="00AA5B9E"/>
    <w:rsid w:val="00AA7C77"/>
    <w:rsid w:val="00AB2407"/>
    <w:rsid w:val="00AB281C"/>
    <w:rsid w:val="00AB53DF"/>
    <w:rsid w:val="00AB5DE2"/>
    <w:rsid w:val="00AD2E62"/>
    <w:rsid w:val="00AF54EA"/>
    <w:rsid w:val="00AF6BAF"/>
    <w:rsid w:val="00B07E5C"/>
    <w:rsid w:val="00B74692"/>
    <w:rsid w:val="00B811F7"/>
    <w:rsid w:val="00B929DE"/>
    <w:rsid w:val="00BA03A4"/>
    <w:rsid w:val="00BA5DC6"/>
    <w:rsid w:val="00BA6196"/>
    <w:rsid w:val="00BB2381"/>
    <w:rsid w:val="00BB2D14"/>
    <w:rsid w:val="00BC6D8C"/>
    <w:rsid w:val="00BF3F54"/>
    <w:rsid w:val="00C15AD9"/>
    <w:rsid w:val="00C20D9F"/>
    <w:rsid w:val="00C34006"/>
    <w:rsid w:val="00C426B1"/>
    <w:rsid w:val="00C4607B"/>
    <w:rsid w:val="00C52471"/>
    <w:rsid w:val="00C535BE"/>
    <w:rsid w:val="00C56518"/>
    <w:rsid w:val="00C56CC2"/>
    <w:rsid w:val="00C66160"/>
    <w:rsid w:val="00C721AC"/>
    <w:rsid w:val="00C74489"/>
    <w:rsid w:val="00C74637"/>
    <w:rsid w:val="00C815C4"/>
    <w:rsid w:val="00C84CBC"/>
    <w:rsid w:val="00C90D6A"/>
    <w:rsid w:val="00C93EED"/>
    <w:rsid w:val="00CA247E"/>
    <w:rsid w:val="00CA3D2C"/>
    <w:rsid w:val="00CA6479"/>
    <w:rsid w:val="00CB1138"/>
    <w:rsid w:val="00CB5357"/>
    <w:rsid w:val="00CC032B"/>
    <w:rsid w:val="00CC68E4"/>
    <w:rsid w:val="00CC72B6"/>
    <w:rsid w:val="00CD3D51"/>
    <w:rsid w:val="00CD5222"/>
    <w:rsid w:val="00CF0F12"/>
    <w:rsid w:val="00CF3C8A"/>
    <w:rsid w:val="00D0218D"/>
    <w:rsid w:val="00D0472A"/>
    <w:rsid w:val="00D0550A"/>
    <w:rsid w:val="00D05E4E"/>
    <w:rsid w:val="00D130CB"/>
    <w:rsid w:val="00D138D3"/>
    <w:rsid w:val="00D24121"/>
    <w:rsid w:val="00D24CEF"/>
    <w:rsid w:val="00D25FB5"/>
    <w:rsid w:val="00D43055"/>
    <w:rsid w:val="00D44223"/>
    <w:rsid w:val="00D46375"/>
    <w:rsid w:val="00D545C9"/>
    <w:rsid w:val="00D57BD8"/>
    <w:rsid w:val="00D6004B"/>
    <w:rsid w:val="00D64CA6"/>
    <w:rsid w:val="00D66727"/>
    <w:rsid w:val="00D8281A"/>
    <w:rsid w:val="00D82985"/>
    <w:rsid w:val="00D82D19"/>
    <w:rsid w:val="00D84833"/>
    <w:rsid w:val="00D92118"/>
    <w:rsid w:val="00DA2529"/>
    <w:rsid w:val="00DB130A"/>
    <w:rsid w:val="00DB2EBB"/>
    <w:rsid w:val="00DB59C2"/>
    <w:rsid w:val="00DC10A1"/>
    <w:rsid w:val="00DC238D"/>
    <w:rsid w:val="00DC39BB"/>
    <w:rsid w:val="00DC41E1"/>
    <w:rsid w:val="00DC655F"/>
    <w:rsid w:val="00DD0B59"/>
    <w:rsid w:val="00DD282A"/>
    <w:rsid w:val="00DD7EBD"/>
    <w:rsid w:val="00DE456E"/>
    <w:rsid w:val="00DF62B6"/>
    <w:rsid w:val="00E07225"/>
    <w:rsid w:val="00E07B73"/>
    <w:rsid w:val="00E15F95"/>
    <w:rsid w:val="00E25D90"/>
    <w:rsid w:val="00E31F48"/>
    <w:rsid w:val="00E5409F"/>
    <w:rsid w:val="00E6654C"/>
    <w:rsid w:val="00E714A0"/>
    <w:rsid w:val="00E97068"/>
    <w:rsid w:val="00EA1120"/>
    <w:rsid w:val="00EA42BE"/>
    <w:rsid w:val="00EB1DDA"/>
    <w:rsid w:val="00EB2A8C"/>
    <w:rsid w:val="00EB673D"/>
    <w:rsid w:val="00ED4483"/>
    <w:rsid w:val="00EE416F"/>
    <w:rsid w:val="00EE6488"/>
    <w:rsid w:val="00EF5EB4"/>
    <w:rsid w:val="00EF6522"/>
    <w:rsid w:val="00F021FA"/>
    <w:rsid w:val="00F02E50"/>
    <w:rsid w:val="00F13779"/>
    <w:rsid w:val="00F17BF1"/>
    <w:rsid w:val="00F47BD5"/>
    <w:rsid w:val="00F57603"/>
    <w:rsid w:val="00F60BC5"/>
    <w:rsid w:val="00F61CB0"/>
    <w:rsid w:val="00F62E97"/>
    <w:rsid w:val="00F64209"/>
    <w:rsid w:val="00F67976"/>
    <w:rsid w:val="00F7453B"/>
    <w:rsid w:val="00F856A2"/>
    <w:rsid w:val="00F91CCB"/>
    <w:rsid w:val="00F93BF5"/>
    <w:rsid w:val="00F97089"/>
    <w:rsid w:val="00FA27AF"/>
    <w:rsid w:val="00FA647B"/>
    <w:rsid w:val="00FA6E05"/>
    <w:rsid w:val="00FC47F6"/>
    <w:rsid w:val="00FF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C6"/>
    <w:pPr>
      <w:widowControl w:val="0"/>
    </w:pPr>
    <w:rPr>
      <w:snapToGrid w:val="0"/>
      <w:kern w:val="28"/>
      <w:sz w:val="22"/>
    </w:rPr>
  </w:style>
  <w:style w:type="paragraph" w:styleId="Heading1">
    <w:name w:val="heading 1"/>
    <w:basedOn w:val="Normal"/>
    <w:next w:val="ParaNum"/>
    <w:qFormat/>
    <w:rsid w:val="001D3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1C6"/>
    <w:pPr>
      <w:keepNext/>
      <w:numPr>
        <w:ilvl w:val="1"/>
        <w:numId w:val="3"/>
      </w:numPr>
      <w:spacing w:after="120"/>
      <w:outlineLvl w:val="1"/>
    </w:pPr>
    <w:rPr>
      <w:b/>
    </w:rPr>
  </w:style>
  <w:style w:type="paragraph" w:styleId="Heading3">
    <w:name w:val="heading 3"/>
    <w:basedOn w:val="Normal"/>
    <w:next w:val="ParaNum"/>
    <w:qFormat/>
    <w:rsid w:val="001D31C6"/>
    <w:pPr>
      <w:keepNext/>
      <w:numPr>
        <w:ilvl w:val="2"/>
        <w:numId w:val="3"/>
      </w:numPr>
      <w:tabs>
        <w:tab w:val="left" w:pos="2160"/>
      </w:tabs>
      <w:spacing w:after="120"/>
      <w:outlineLvl w:val="2"/>
    </w:pPr>
    <w:rPr>
      <w:b/>
    </w:rPr>
  </w:style>
  <w:style w:type="paragraph" w:styleId="Heading4">
    <w:name w:val="heading 4"/>
    <w:basedOn w:val="Normal"/>
    <w:next w:val="ParaNum"/>
    <w:qFormat/>
    <w:rsid w:val="001D31C6"/>
    <w:pPr>
      <w:keepNext/>
      <w:numPr>
        <w:ilvl w:val="3"/>
        <w:numId w:val="3"/>
      </w:numPr>
      <w:tabs>
        <w:tab w:val="left" w:pos="2880"/>
      </w:tabs>
      <w:spacing w:after="120"/>
      <w:outlineLvl w:val="3"/>
    </w:pPr>
    <w:rPr>
      <w:b/>
    </w:rPr>
  </w:style>
  <w:style w:type="paragraph" w:styleId="Heading5">
    <w:name w:val="heading 5"/>
    <w:basedOn w:val="Normal"/>
    <w:next w:val="ParaNum"/>
    <w:qFormat/>
    <w:rsid w:val="001D31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1C6"/>
    <w:pPr>
      <w:numPr>
        <w:ilvl w:val="5"/>
        <w:numId w:val="3"/>
      </w:numPr>
      <w:tabs>
        <w:tab w:val="left" w:pos="4320"/>
      </w:tabs>
      <w:spacing w:after="120"/>
      <w:outlineLvl w:val="5"/>
    </w:pPr>
    <w:rPr>
      <w:b/>
    </w:rPr>
  </w:style>
  <w:style w:type="paragraph" w:styleId="Heading7">
    <w:name w:val="heading 7"/>
    <w:basedOn w:val="Normal"/>
    <w:next w:val="ParaNum"/>
    <w:qFormat/>
    <w:rsid w:val="001D3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1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D31C6"/>
    <w:pPr>
      <w:numPr>
        <w:numId w:val="2"/>
      </w:numPr>
      <w:spacing w:after="120"/>
    </w:pPr>
  </w:style>
  <w:style w:type="paragraph" w:styleId="EndnoteText">
    <w:name w:val="endnote text"/>
    <w:basedOn w:val="Normal"/>
    <w:semiHidden/>
    <w:rsid w:val="001D31C6"/>
    <w:rPr>
      <w:sz w:val="20"/>
    </w:rPr>
  </w:style>
  <w:style w:type="character" w:styleId="EndnoteReference">
    <w:name w:val="endnote reference"/>
    <w:semiHidden/>
    <w:rsid w:val="001D31C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D31C6"/>
    <w:pPr>
      <w:spacing w:after="120"/>
    </w:pPr>
  </w:style>
  <w:style w:type="character" w:styleId="FootnoteReference">
    <w:name w:val="footnote reference"/>
    <w:aliases w:val="Style 124,Appel note de bas de p,Style 12,(NECG) Footnote Reference,o,fr,Style 3,Style 17,FR,Style 13,Footnote Reference/,Style 6,Style 4,Style 7"/>
    <w:rsid w:val="001D31C6"/>
    <w:rPr>
      <w:rFonts w:ascii="Times New Roman" w:hAnsi="Times New Roman"/>
      <w:dstrike w:val="0"/>
      <w:color w:val="auto"/>
      <w:sz w:val="20"/>
      <w:vertAlign w:val="superscript"/>
    </w:rPr>
  </w:style>
  <w:style w:type="paragraph" w:styleId="TOC1">
    <w:name w:val="toc 1"/>
    <w:basedOn w:val="Normal"/>
    <w:next w:val="Normal"/>
    <w:semiHidden/>
    <w:rsid w:val="001D3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1C6"/>
    <w:pPr>
      <w:tabs>
        <w:tab w:val="left" w:pos="720"/>
        <w:tab w:val="right" w:leader="dot" w:pos="9360"/>
      </w:tabs>
      <w:suppressAutoHyphens/>
      <w:ind w:left="720" w:right="720" w:hanging="360"/>
    </w:pPr>
    <w:rPr>
      <w:noProof/>
    </w:rPr>
  </w:style>
  <w:style w:type="paragraph" w:styleId="TOC3">
    <w:name w:val="toc 3"/>
    <w:basedOn w:val="Normal"/>
    <w:next w:val="Normal"/>
    <w:semiHidden/>
    <w:rsid w:val="001D3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1C6"/>
    <w:pPr>
      <w:tabs>
        <w:tab w:val="right" w:pos="9360"/>
      </w:tabs>
      <w:suppressAutoHyphens/>
    </w:pPr>
  </w:style>
  <w:style w:type="character" w:customStyle="1" w:styleId="EquationCaption">
    <w:name w:val="_Equation Caption"/>
    <w:rsid w:val="001D31C6"/>
  </w:style>
  <w:style w:type="paragraph" w:styleId="Header">
    <w:name w:val="header"/>
    <w:basedOn w:val="Normal"/>
    <w:autoRedefine/>
    <w:rsid w:val="001D31C6"/>
    <w:pPr>
      <w:tabs>
        <w:tab w:val="center" w:pos="4680"/>
        <w:tab w:val="right" w:pos="9360"/>
      </w:tabs>
    </w:pPr>
    <w:rPr>
      <w:b/>
    </w:rPr>
  </w:style>
  <w:style w:type="paragraph" w:styleId="Footer">
    <w:name w:val="footer"/>
    <w:basedOn w:val="Normal"/>
    <w:rsid w:val="001D31C6"/>
    <w:pPr>
      <w:tabs>
        <w:tab w:val="center" w:pos="4320"/>
        <w:tab w:val="right" w:pos="8640"/>
      </w:tabs>
    </w:pPr>
  </w:style>
  <w:style w:type="character" w:styleId="PageNumber">
    <w:name w:val="page number"/>
    <w:basedOn w:val="DefaultParagraphFont"/>
    <w:rsid w:val="001D31C6"/>
  </w:style>
  <w:style w:type="paragraph" w:styleId="BlockText">
    <w:name w:val="Block Text"/>
    <w:basedOn w:val="Normal"/>
    <w:rsid w:val="001D31C6"/>
    <w:pPr>
      <w:spacing w:after="240"/>
      <w:ind w:left="1440" w:right="1440"/>
    </w:pPr>
  </w:style>
  <w:style w:type="paragraph" w:customStyle="1" w:styleId="Paratitle">
    <w:name w:val="Para title"/>
    <w:basedOn w:val="Normal"/>
    <w:rsid w:val="001D31C6"/>
    <w:pPr>
      <w:tabs>
        <w:tab w:val="center" w:pos="9270"/>
      </w:tabs>
      <w:spacing w:after="240"/>
    </w:pPr>
    <w:rPr>
      <w:spacing w:val="-2"/>
    </w:rPr>
  </w:style>
  <w:style w:type="paragraph" w:customStyle="1" w:styleId="Bullet">
    <w:name w:val="Bullet"/>
    <w:basedOn w:val="Normal"/>
    <w:rsid w:val="001D31C6"/>
    <w:pPr>
      <w:tabs>
        <w:tab w:val="left" w:pos="2160"/>
      </w:tabs>
      <w:spacing w:after="220"/>
      <w:ind w:left="2160" w:hanging="720"/>
    </w:pPr>
  </w:style>
  <w:style w:type="paragraph" w:customStyle="1" w:styleId="TableFormat">
    <w:name w:val="TableFormat"/>
    <w:basedOn w:val="Bullet"/>
    <w:rsid w:val="001D31C6"/>
    <w:pPr>
      <w:tabs>
        <w:tab w:val="clear" w:pos="2160"/>
        <w:tab w:val="left" w:pos="5040"/>
      </w:tabs>
      <w:ind w:left="5040" w:hanging="3600"/>
    </w:pPr>
  </w:style>
  <w:style w:type="paragraph" w:customStyle="1" w:styleId="TOCTitle">
    <w:name w:val="TOC Title"/>
    <w:basedOn w:val="Normal"/>
    <w:rsid w:val="001D3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1C6"/>
    <w:pPr>
      <w:jc w:val="center"/>
    </w:pPr>
    <w:rPr>
      <w:rFonts w:ascii="Times New Roman Bold" w:hAnsi="Times New Roman Bold"/>
      <w:b/>
      <w:bCs/>
      <w:caps/>
      <w:szCs w:val="22"/>
    </w:rPr>
  </w:style>
  <w:style w:type="character" w:styleId="Hyperlink">
    <w:name w:val="Hyperlink"/>
    <w:rsid w:val="001D31C6"/>
    <w:rPr>
      <w:color w:val="0000FF"/>
      <w:u w:val="single"/>
    </w:rPr>
  </w:style>
  <w:style w:type="paragraph" w:customStyle="1" w:styleId="paranum0">
    <w:name w:val="paranum"/>
    <w:basedOn w:val="Normal"/>
    <w:rsid w:val="00BB2381"/>
    <w:pPr>
      <w:widowControl/>
    </w:pPr>
    <w:rPr>
      <w:snapToGrid/>
      <w:kern w:val="0"/>
      <w:sz w:val="24"/>
      <w:szCs w:val="24"/>
    </w:rPr>
  </w:style>
  <w:style w:type="character" w:styleId="Strong">
    <w:name w:val="Strong"/>
    <w:basedOn w:val="DefaultParagraphFont"/>
    <w:uiPriority w:val="22"/>
    <w:qFormat/>
    <w:rsid w:val="00BB2381"/>
    <w:rPr>
      <w:b/>
      <w:bCs/>
    </w:rPr>
  </w:style>
  <w:style w:type="character" w:customStyle="1" w:styleId="ParaNumChar">
    <w:name w:val="ParaNum Char"/>
    <w:link w:val="ParaNum"/>
    <w:rsid w:val="008409FC"/>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67D8A"/>
  </w:style>
  <w:style w:type="paragraph" w:styleId="BalloonText">
    <w:name w:val="Balloon Text"/>
    <w:basedOn w:val="Normal"/>
    <w:link w:val="BalloonTextChar"/>
    <w:rsid w:val="00E07B73"/>
    <w:rPr>
      <w:rFonts w:ascii="Tahoma" w:hAnsi="Tahoma" w:cs="Tahoma"/>
      <w:sz w:val="16"/>
      <w:szCs w:val="16"/>
    </w:rPr>
  </w:style>
  <w:style w:type="character" w:customStyle="1" w:styleId="BalloonTextChar">
    <w:name w:val="Balloon Text Char"/>
    <w:basedOn w:val="DefaultParagraphFont"/>
    <w:link w:val="BalloonText"/>
    <w:rsid w:val="00E07B73"/>
    <w:rPr>
      <w:rFonts w:ascii="Tahoma" w:hAnsi="Tahoma" w:cs="Tahoma"/>
      <w:snapToGrid w:val="0"/>
      <w:kern w:val="28"/>
      <w:sz w:val="16"/>
      <w:szCs w:val="16"/>
    </w:rPr>
  </w:style>
  <w:style w:type="character" w:styleId="CommentReference">
    <w:name w:val="annotation reference"/>
    <w:basedOn w:val="DefaultParagraphFont"/>
    <w:rsid w:val="00E15F95"/>
    <w:rPr>
      <w:sz w:val="16"/>
      <w:szCs w:val="16"/>
    </w:rPr>
  </w:style>
  <w:style w:type="paragraph" w:styleId="CommentText">
    <w:name w:val="annotation text"/>
    <w:basedOn w:val="Normal"/>
    <w:link w:val="CommentTextChar"/>
    <w:rsid w:val="00E15F95"/>
    <w:rPr>
      <w:sz w:val="20"/>
    </w:rPr>
  </w:style>
  <w:style w:type="character" w:customStyle="1" w:styleId="CommentTextChar">
    <w:name w:val="Comment Text Char"/>
    <w:basedOn w:val="DefaultParagraphFont"/>
    <w:link w:val="CommentText"/>
    <w:rsid w:val="00E15F95"/>
    <w:rPr>
      <w:snapToGrid w:val="0"/>
      <w:kern w:val="28"/>
    </w:rPr>
  </w:style>
  <w:style w:type="paragraph" w:styleId="CommentSubject">
    <w:name w:val="annotation subject"/>
    <w:basedOn w:val="CommentText"/>
    <w:next w:val="CommentText"/>
    <w:link w:val="CommentSubjectChar"/>
    <w:rsid w:val="00E15F95"/>
    <w:rPr>
      <w:b/>
      <w:bCs/>
    </w:rPr>
  </w:style>
  <w:style w:type="character" w:customStyle="1" w:styleId="CommentSubjectChar">
    <w:name w:val="Comment Subject Char"/>
    <w:basedOn w:val="CommentTextChar"/>
    <w:link w:val="CommentSubject"/>
    <w:rsid w:val="00E15F95"/>
    <w:rPr>
      <w:b/>
      <w:bCs/>
      <w:snapToGrid w:val="0"/>
      <w:kern w:val="28"/>
    </w:rPr>
  </w:style>
  <w:style w:type="paragraph" w:styleId="ListParagraph">
    <w:name w:val="List Paragraph"/>
    <w:basedOn w:val="Normal"/>
    <w:uiPriority w:val="34"/>
    <w:qFormat/>
    <w:rsid w:val="000724B9"/>
    <w:pPr>
      <w:ind w:left="720"/>
      <w:contextualSpacing/>
    </w:pPr>
  </w:style>
  <w:style w:type="paragraph" w:styleId="Revision">
    <w:name w:val="Revision"/>
    <w:hidden/>
    <w:uiPriority w:val="99"/>
    <w:semiHidden/>
    <w:rsid w:val="00740CE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C6"/>
    <w:pPr>
      <w:widowControl w:val="0"/>
    </w:pPr>
    <w:rPr>
      <w:snapToGrid w:val="0"/>
      <w:kern w:val="28"/>
      <w:sz w:val="22"/>
    </w:rPr>
  </w:style>
  <w:style w:type="paragraph" w:styleId="Heading1">
    <w:name w:val="heading 1"/>
    <w:basedOn w:val="Normal"/>
    <w:next w:val="ParaNum"/>
    <w:qFormat/>
    <w:rsid w:val="001D3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1C6"/>
    <w:pPr>
      <w:keepNext/>
      <w:numPr>
        <w:ilvl w:val="1"/>
        <w:numId w:val="3"/>
      </w:numPr>
      <w:spacing w:after="120"/>
      <w:outlineLvl w:val="1"/>
    </w:pPr>
    <w:rPr>
      <w:b/>
    </w:rPr>
  </w:style>
  <w:style w:type="paragraph" w:styleId="Heading3">
    <w:name w:val="heading 3"/>
    <w:basedOn w:val="Normal"/>
    <w:next w:val="ParaNum"/>
    <w:qFormat/>
    <w:rsid w:val="001D31C6"/>
    <w:pPr>
      <w:keepNext/>
      <w:numPr>
        <w:ilvl w:val="2"/>
        <w:numId w:val="3"/>
      </w:numPr>
      <w:tabs>
        <w:tab w:val="left" w:pos="2160"/>
      </w:tabs>
      <w:spacing w:after="120"/>
      <w:outlineLvl w:val="2"/>
    </w:pPr>
    <w:rPr>
      <w:b/>
    </w:rPr>
  </w:style>
  <w:style w:type="paragraph" w:styleId="Heading4">
    <w:name w:val="heading 4"/>
    <w:basedOn w:val="Normal"/>
    <w:next w:val="ParaNum"/>
    <w:qFormat/>
    <w:rsid w:val="001D31C6"/>
    <w:pPr>
      <w:keepNext/>
      <w:numPr>
        <w:ilvl w:val="3"/>
        <w:numId w:val="3"/>
      </w:numPr>
      <w:tabs>
        <w:tab w:val="left" w:pos="2880"/>
      </w:tabs>
      <w:spacing w:after="120"/>
      <w:outlineLvl w:val="3"/>
    </w:pPr>
    <w:rPr>
      <w:b/>
    </w:rPr>
  </w:style>
  <w:style w:type="paragraph" w:styleId="Heading5">
    <w:name w:val="heading 5"/>
    <w:basedOn w:val="Normal"/>
    <w:next w:val="ParaNum"/>
    <w:qFormat/>
    <w:rsid w:val="001D31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1C6"/>
    <w:pPr>
      <w:numPr>
        <w:ilvl w:val="5"/>
        <w:numId w:val="3"/>
      </w:numPr>
      <w:tabs>
        <w:tab w:val="left" w:pos="4320"/>
      </w:tabs>
      <w:spacing w:after="120"/>
      <w:outlineLvl w:val="5"/>
    </w:pPr>
    <w:rPr>
      <w:b/>
    </w:rPr>
  </w:style>
  <w:style w:type="paragraph" w:styleId="Heading7">
    <w:name w:val="heading 7"/>
    <w:basedOn w:val="Normal"/>
    <w:next w:val="ParaNum"/>
    <w:qFormat/>
    <w:rsid w:val="001D3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1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D31C6"/>
    <w:pPr>
      <w:numPr>
        <w:numId w:val="2"/>
      </w:numPr>
      <w:spacing w:after="120"/>
    </w:pPr>
  </w:style>
  <w:style w:type="paragraph" w:styleId="EndnoteText">
    <w:name w:val="endnote text"/>
    <w:basedOn w:val="Normal"/>
    <w:semiHidden/>
    <w:rsid w:val="001D31C6"/>
    <w:rPr>
      <w:sz w:val="20"/>
    </w:rPr>
  </w:style>
  <w:style w:type="character" w:styleId="EndnoteReference">
    <w:name w:val="endnote reference"/>
    <w:semiHidden/>
    <w:rsid w:val="001D31C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D31C6"/>
    <w:pPr>
      <w:spacing w:after="120"/>
    </w:pPr>
  </w:style>
  <w:style w:type="character" w:styleId="FootnoteReference">
    <w:name w:val="footnote reference"/>
    <w:aliases w:val="Style 124,Appel note de bas de p,Style 12,(NECG) Footnote Reference,o,fr,Style 3,Style 17,FR,Style 13,Footnote Reference/,Style 6,Style 4,Style 7"/>
    <w:rsid w:val="001D31C6"/>
    <w:rPr>
      <w:rFonts w:ascii="Times New Roman" w:hAnsi="Times New Roman"/>
      <w:dstrike w:val="0"/>
      <w:color w:val="auto"/>
      <w:sz w:val="20"/>
      <w:vertAlign w:val="superscript"/>
    </w:rPr>
  </w:style>
  <w:style w:type="paragraph" w:styleId="TOC1">
    <w:name w:val="toc 1"/>
    <w:basedOn w:val="Normal"/>
    <w:next w:val="Normal"/>
    <w:semiHidden/>
    <w:rsid w:val="001D3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1C6"/>
    <w:pPr>
      <w:tabs>
        <w:tab w:val="left" w:pos="720"/>
        <w:tab w:val="right" w:leader="dot" w:pos="9360"/>
      </w:tabs>
      <w:suppressAutoHyphens/>
      <w:ind w:left="720" w:right="720" w:hanging="360"/>
    </w:pPr>
    <w:rPr>
      <w:noProof/>
    </w:rPr>
  </w:style>
  <w:style w:type="paragraph" w:styleId="TOC3">
    <w:name w:val="toc 3"/>
    <w:basedOn w:val="Normal"/>
    <w:next w:val="Normal"/>
    <w:semiHidden/>
    <w:rsid w:val="001D3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1C6"/>
    <w:pPr>
      <w:tabs>
        <w:tab w:val="right" w:pos="9360"/>
      </w:tabs>
      <w:suppressAutoHyphens/>
    </w:pPr>
  </w:style>
  <w:style w:type="character" w:customStyle="1" w:styleId="EquationCaption">
    <w:name w:val="_Equation Caption"/>
    <w:rsid w:val="001D31C6"/>
  </w:style>
  <w:style w:type="paragraph" w:styleId="Header">
    <w:name w:val="header"/>
    <w:basedOn w:val="Normal"/>
    <w:autoRedefine/>
    <w:rsid w:val="001D31C6"/>
    <w:pPr>
      <w:tabs>
        <w:tab w:val="center" w:pos="4680"/>
        <w:tab w:val="right" w:pos="9360"/>
      </w:tabs>
    </w:pPr>
    <w:rPr>
      <w:b/>
    </w:rPr>
  </w:style>
  <w:style w:type="paragraph" w:styleId="Footer">
    <w:name w:val="footer"/>
    <w:basedOn w:val="Normal"/>
    <w:rsid w:val="001D31C6"/>
    <w:pPr>
      <w:tabs>
        <w:tab w:val="center" w:pos="4320"/>
        <w:tab w:val="right" w:pos="8640"/>
      </w:tabs>
    </w:pPr>
  </w:style>
  <w:style w:type="character" w:styleId="PageNumber">
    <w:name w:val="page number"/>
    <w:basedOn w:val="DefaultParagraphFont"/>
    <w:rsid w:val="001D31C6"/>
  </w:style>
  <w:style w:type="paragraph" w:styleId="BlockText">
    <w:name w:val="Block Text"/>
    <w:basedOn w:val="Normal"/>
    <w:rsid w:val="001D31C6"/>
    <w:pPr>
      <w:spacing w:after="240"/>
      <w:ind w:left="1440" w:right="1440"/>
    </w:pPr>
  </w:style>
  <w:style w:type="paragraph" w:customStyle="1" w:styleId="Paratitle">
    <w:name w:val="Para title"/>
    <w:basedOn w:val="Normal"/>
    <w:rsid w:val="001D31C6"/>
    <w:pPr>
      <w:tabs>
        <w:tab w:val="center" w:pos="9270"/>
      </w:tabs>
      <w:spacing w:after="240"/>
    </w:pPr>
    <w:rPr>
      <w:spacing w:val="-2"/>
    </w:rPr>
  </w:style>
  <w:style w:type="paragraph" w:customStyle="1" w:styleId="Bullet">
    <w:name w:val="Bullet"/>
    <w:basedOn w:val="Normal"/>
    <w:rsid w:val="001D31C6"/>
    <w:pPr>
      <w:tabs>
        <w:tab w:val="left" w:pos="2160"/>
      </w:tabs>
      <w:spacing w:after="220"/>
      <w:ind w:left="2160" w:hanging="720"/>
    </w:pPr>
  </w:style>
  <w:style w:type="paragraph" w:customStyle="1" w:styleId="TableFormat">
    <w:name w:val="TableFormat"/>
    <w:basedOn w:val="Bullet"/>
    <w:rsid w:val="001D31C6"/>
    <w:pPr>
      <w:tabs>
        <w:tab w:val="clear" w:pos="2160"/>
        <w:tab w:val="left" w:pos="5040"/>
      </w:tabs>
      <w:ind w:left="5040" w:hanging="3600"/>
    </w:pPr>
  </w:style>
  <w:style w:type="paragraph" w:customStyle="1" w:styleId="TOCTitle">
    <w:name w:val="TOC Title"/>
    <w:basedOn w:val="Normal"/>
    <w:rsid w:val="001D3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1C6"/>
    <w:pPr>
      <w:jc w:val="center"/>
    </w:pPr>
    <w:rPr>
      <w:rFonts w:ascii="Times New Roman Bold" w:hAnsi="Times New Roman Bold"/>
      <w:b/>
      <w:bCs/>
      <w:caps/>
      <w:szCs w:val="22"/>
    </w:rPr>
  </w:style>
  <w:style w:type="character" w:styleId="Hyperlink">
    <w:name w:val="Hyperlink"/>
    <w:rsid w:val="001D31C6"/>
    <w:rPr>
      <w:color w:val="0000FF"/>
      <w:u w:val="single"/>
    </w:rPr>
  </w:style>
  <w:style w:type="paragraph" w:customStyle="1" w:styleId="paranum0">
    <w:name w:val="paranum"/>
    <w:basedOn w:val="Normal"/>
    <w:rsid w:val="00BB2381"/>
    <w:pPr>
      <w:widowControl/>
    </w:pPr>
    <w:rPr>
      <w:snapToGrid/>
      <w:kern w:val="0"/>
      <w:sz w:val="24"/>
      <w:szCs w:val="24"/>
    </w:rPr>
  </w:style>
  <w:style w:type="character" w:styleId="Strong">
    <w:name w:val="Strong"/>
    <w:basedOn w:val="DefaultParagraphFont"/>
    <w:uiPriority w:val="22"/>
    <w:qFormat/>
    <w:rsid w:val="00BB2381"/>
    <w:rPr>
      <w:b/>
      <w:bCs/>
    </w:rPr>
  </w:style>
  <w:style w:type="character" w:customStyle="1" w:styleId="ParaNumChar">
    <w:name w:val="ParaNum Char"/>
    <w:link w:val="ParaNum"/>
    <w:rsid w:val="008409FC"/>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67D8A"/>
  </w:style>
  <w:style w:type="paragraph" w:styleId="BalloonText">
    <w:name w:val="Balloon Text"/>
    <w:basedOn w:val="Normal"/>
    <w:link w:val="BalloonTextChar"/>
    <w:rsid w:val="00E07B73"/>
    <w:rPr>
      <w:rFonts w:ascii="Tahoma" w:hAnsi="Tahoma" w:cs="Tahoma"/>
      <w:sz w:val="16"/>
      <w:szCs w:val="16"/>
    </w:rPr>
  </w:style>
  <w:style w:type="character" w:customStyle="1" w:styleId="BalloonTextChar">
    <w:name w:val="Balloon Text Char"/>
    <w:basedOn w:val="DefaultParagraphFont"/>
    <w:link w:val="BalloonText"/>
    <w:rsid w:val="00E07B73"/>
    <w:rPr>
      <w:rFonts w:ascii="Tahoma" w:hAnsi="Tahoma" w:cs="Tahoma"/>
      <w:snapToGrid w:val="0"/>
      <w:kern w:val="28"/>
      <w:sz w:val="16"/>
      <w:szCs w:val="16"/>
    </w:rPr>
  </w:style>
  <w:style w:type="character" w:styleId="CommentReference">
    <w:name w:val="annotation reference"/>
    <w:basedOn w:val="DefaultParagraphFont"/>
    <w:rsid w:val="00E15F95"/>
    <w:rPr>
      <w:sz w:val="16"/>
      <w:szCs w:val="16"/>
    </w:rPr>
  </w:style>
  <w:style w:type="paragraph" w:styleId="CommentText">
    <w:name w:val="annotation text"/>
    <w:basedOn w:val="Normal"/>
    <w:link w:val="CommentTextChar"/>
    <w:rsid w:val="00E15F95"/>
    <w:rPr>
      <w:sz w:val="20"/>
    </w:rPr>
  </w:style>
  <w:style w:type="character" w:customStyle="1" w:styleId="CommentTextChar">
    <w:name w:val="Comment Text Char"/>
    <w:basedOn w:val="DefaultParagraphFont"/>
    <w:link w:val="CommentText"/>
    <w:rsid w:val="00E15F95"/>
    <w:rPr>
      <w:snapToGrid w:val="0"/>
      <w:kern w:val="28"/>
    </w:rPr>
  </w:style>
  <w:style w:type="paragraph" w:styleId="CommentSubject">
    <w:name w:val="annotation subject"/>
    <w:basedOn w:val="CommentText"/>
    <w:next w:val="CommentText"/>
    <w:link w:val="CommentSubjectChar"/>
    <w:rsid w:val="00E15F95"/>
    <w:rPr>
      <w:b/>
      <w:bCs/>
    </w:rPr>
  </w:style>
  <w:style w:type="character" w:customStyle="1" w:styleId="CommentSubjectChar">
    <w:name w:val="Comment Subject Char"/>
    <w:basedOn w:val="CommentTextChar"/>
    <w:link w:val="CommentSubject"/>
    <w:rsid w:val="00E15F95"/>
    <w:rPr>
      <w:b/>
      <w:bCs/>
      <w:snapToGrid w:val="0"/>
      <w:kern w:val="28"/>
    </w:rPr>
  </w:style>
  <w:style w:type="paragraph" w:styleId="ListParagraph">
    <w:name w:val="List Paragraph"/>
    <w:basedOn w:val="Normal"/>
    <w:uiPriority w:val="34"/>
    <w:qFormat/>
    <w:rsid w:val="000724B9"/>
    <w:pPr>
      <w:ind w:left="720"/>
      <w:contextualSpacing/>
    </w:pPr>
  </w:style>
  <w:style w:type="paragraph" w:styleId="Revision">
    <w:name w:val="Revision"/>
    <w:hidden/>
    <w:uiPriority w:val="99"/>
    <w:semiHidden/>
    <w:rsid w:val="00740CE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612">
      <w:bodyDiv w:val="1"/>
      <w:marLeft w:val="0"/>
      <w:marRight w:val="0"/>
      <w:marTop w:val="0"/>
      <w:marBottom w:val="0"/>
      <w:divBdr>
        <w:top w:val="none" w:sz="0" w:space="0" w:color="auto"/>
        <w:left w:val="none" w:sz="0" w:space="0" w:color="auto"/>
        <w:bottom w:val="none" w:sz="0" w:space="0" w:color="auto"/>
        <w:right w:val="none" w:sz="0" w:space="0" w:color="auto"/>
      </w:divBdr>
      <w:divsChild>
        <w:div w:id="1779711307">
          <w:marLeft w:val="0"/>
          <w:marRight w:val="0"/>
          <w:marTop w:val="0"/>
          <w:marBottom w:val="0"/>
          <w:divBdr>
            <w:top w:val="none" w:sz="0" w:space="0" w:color="auto"/>
            <w:left w:val="none" w:sz="0" w:space="0" w:color="auto"/>
            <w:bottom w:val="none" w:sz="0" w:space="0" w:color="auto"/>
            <w:right w:val="none" w:sz="0" w:space="0" w:color="auto"/>
          </w:divBdr>
          <w:divsChild>
            <w:div w:id="2108965608">
              <w:marLeft w:val="0"/>
              <w:marRight w:val="0"/>
              <w:marTop w:val="0"/>
              <w:marBottom w:val="0"/>
              <w:divBdr>
                <w:top w:val="none" w:sz="0" w:space="0" w:color="auto"/>
                <w:left w:val="none" w:sz="0" w:space="0" w:color="auto"/>
                <w:bottom w:val="none" w:sz="0" w:space="0" w:color="auto"/>
                <w:right w:val="none" w:sz="0" w:space="0" w:color="auto"/>
              </w:divBdr>
              <w:divsChild>
                <w:div w:id="1906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9864">
      <w:bodyDiv w:val="1"/>
      <w:marLeft w:val="0"/>
      <w:marRight w:val="0"/>
      <w:marTop w:val="30"/>
      <w:marBottom w:val="750"/>
      <w:divBdr>
        <w:top w:val="none" w:sz="0" w:space="0" w:color="auto"/>
        <w:left w:val="none" w:sz="0" w:space="0" w:color="auto"/>
        <w:bottom w:val="none" w:sz="0" w:space="0" w:color="auto"/>
        <w:right w:val="none" w:sz="0" w:space="0" w:color="auto"/>
      </w:divBdr>
      <w:divsChild>
        <w:div w:id="156444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d\AppData\Roaming\Microsoft\Template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2431</Words>
  <Characters>12222</Characters>
  <Application>Microsoft Office Word</Application>
  <DocSecurity>0</DocSecurity>
  <Lines>240</Lines>
  <Paragraphs>105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2014-05-06T19:44:00Z</cp:lastPrinted>
  <dcterms:created xsi:type="dcterms:W3CDTF">2014-06-26T14:18:00Z</dcterms:created>
  <dcterms:modified xsi:type="dcterms:W3CDTF">2014-06-26T14:18:00Z</dcterms:modified>
  <cp:category> </cp:category>
  <cp:contentStatus> </cp:contentStatus>
</cp:coreProperties>
</file>