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DEE"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Ju</w:t>
      </w:r>
      <w:r w:rsidR="00393C3C">
        <w:rPr>
          <w:rFonts w:ascii="Times New Roman" w:hAnsi="Times New Roman"/>
        </w:rPr>
        <w:t>ly 3</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AE0DEE" w:rsidP="00003578">
      <w:pPr>
        <w:pStyle w:val="NewHeading"/>
        <w:tabs>
          <w:tab w:val="clear" w:pos="4680"/>
        </w:tabs>
        <w:spacing w:line="240" w:lineRule="auto"/>
        <w:rPr>
          <w:rFonts w:ascii="Times New Roman" w:hAnsi="Times New Roman"/>
        </w:rPr>
      </w:pPr>
      <w:r>
        <w:rPr>
          <w:rFonts w:ascii="Times New Roman" w:hAnsi="Times New Roman"/>
        </w:rPr>
        <w:t>FRI</w:t>
      </w:r>
      <w:r w:rsidR="003B10B3">
        <w:rPr>
          <w:rFonts w:ascii="Times New Roman" w:hAnsi="Times New Roman"/>
        </w:rPr>
        <w:t>DAY</w:t>
      </w:r>
      <w:r w:rsidR="00F00D7B">
        <w:rPr>
          <w:rFonts w:ascii="Times New Roman" w:hAnsi="Times New Roman"/>
        </w:rPr>
        <w:t xml:space="preserve">, </w:t>
      </w:r>
      <w:r>
        <w:rPr>
          <w:rFonts w:ascii="Times New Roman" w:hAnsi="Times New Roman"/>
        </w:rPr>
        <w:t>JU</w:t>
      </w:r>
      <w:r w:rsidR="00393C3C">
        <w:rPr>
          <w:rFonts w:ascii="Times New Roman" w:hAnsi="Times New Roman"/>
        </w:rPr>
        <w:t>LY</w:t>
      </w:r>
      <w:r w:rsidR="00101375">
        <w:rPr>
          <w:rFonts w:ascii="Times New Roman" w:hAnsi="Times New Roman"/>
        </w:rPr>
        <w:t xml:space="preserve"> </w:t>
      </w:r>
      <w:r>
        <w:rPr>
          <w:rFonts w:ascii="Times New Roman" w:hAnsi="Times New Roman"/>
        </w:rPr>
        <w:t>1</w:t>
      </w:r>
      <w:r w:rsidR="00393C3C">
        <w:rPr>
          <w:rFonts w:ascii="Times New Roman" w:hAnsi="Times New Roman"/>
        </w:rPr>
        <w:t>1</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AE0DEE">
        <w:t>Fri</w:t>
      </w:r>
      <w:r w:rsidR="00307A50">
        <w:t>day</w:t>
      </w:r>
      <w:r w:rsidR="00BD0347">
        <w:t>,</w:t>
      </w:r>
      <w:r w:rsidR="000C478D">
        <w:t xml:space="preserve"> </w:t>
      </w:r>
      <w:r w:rsidR="00AE0DEE">
        <w:t>Ju</w:t>
      </w:r>
      <w:r w:rsidR="00393C3C">
        <w:t>ly</w:t>
      </w:r>
      <w:r w:rsidR="00101375">
        <w:t xml:space="preserve"> </w:t>
      </w:r>
      <w:r w:rsidR="00AE0DEE">
        <w:t>1</w:t>
      </w:r>
      <w:r w:rsidR="00393C3C">
        <w:t>1</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AF43A7">
        <w:t xml:space="preserve">  </w:t>
      </w:r>
      <w:r w:rsidR="00AF43A7" w:rsidRPr="00AF43A7">
        <w:t>The Commission is waiving the sunshine period prohibition contained in Section 1.1203 of the Commission’s rules, 47 C.F.R. § 1.1203, until 11:59 pm on Monday July 7, 2014.  Thus, presentations with respect to the items listed below will be permitted until that time.</w:t>
      </w:r>
    </w:p>
    <w:p w:rsidR="00B02EB1" w:rsidRDefault="00B02EB1" w:rsidP="007B549C">
      <w:pPr>
        <w:pStyle w:val="BodyText"/>
        <w:tabs>
          <w:tab w:val="clear" w:pos="-720"/>
        </w:tabs>
      </w:pPr>
    </w:p>
    <w:tbl>
      <w:tblPr>
        <w:tblW w:w="9720" w:type="dxa"/>
        <w:tblInd w:w="-60" w:type="dxa"/>
        <w:tblLayout w:type="fixed"/>
        <w:tblCellMar>
          <w:left w:w="120" w:type="dxa"/>
          <w:right w:w="144" w:type="dxa"/>
        </w:tblCellMar>
        <w:tblLook w:val="0000" w:firstRow="0" w:lastRow="0" w:firstColumn="0" w:lastColumn="0" w:noHBand="0" w:noVBand="0"/>
      </w:tblPr>
      <w:tblGrid>
        <w:gridCol w:w="180"/>
        <w:gridCol w:w="1260"/>
        <w:gridCol w:w="360"/>
        <w:gridCol w:w="2520"/>
        <w:gridCol w:w="293"/>
        <w:gridCol w:w="4927"/>
        <w:gridCol w:w="180"/>
      </w:tblGrid>
      <w:tr w:rsidR="00CB2E02" w:rsidTr="00393C3C">
        <w:trPr>
          <w:gridBefore w:val="1"/>
          <w:wBefore w:w="180" w:type="dxa"/>
          <w:trHeight w:val="256"/>
        </w:trPr>
        <w:tc>
          <w:tcPr>
            <w:tcW w:w="1620" w:type="dxa"/>
            <w:gridSpan w:val="2"/>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gridSpan w:val="2"/>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gridSpan w:val="2"/>
          </w:tcPr>
          <w:p w:rsidR="006D734F" w:rsidRPr="00AE0DEE" w:rsidRDefault="00CB2E02" w:rsidP="00AE0DEE">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tc>
      </w:tr>
      <w:tr w:rsidR="00982102" w:rsidTr="00393C3C">
        <w:trPr>
          <w:gridBefore w:val="1"/>
          <w:wBefore w:w="180" w:type="dxa"/>
          <w:trHeight w:val="1108"/>
        </w:trPr>
        <w:tc>
          <w:tcPr>
            <w:tcW w:w="1620" w:type="dxa"/>
            <w:gridSpan w:val="2"/>
          </w:tcPr>
          <w:p w:rsidR="00982102" w:rsidRDefault="00982102"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gridSpan w:val="2"/>
          </w:tcPr>
          <w:p w:rsidR="00982102" w:rsidRDefault="00D77F5D" w:rsidP="00F61DA7">
            <w:pPr>
              <w:widowControl/>
              <w:suppressAutoHyphens/>
              <w:autoSpaceDE/>
              <w:autoSpaceDN/>
              <w:adjustRightInd/>
              <w:spacing w:before="120"/>
              <w:jc w:val="center"/>
              <w:rPr>
                <w:rFonts w:ascii="Times New Roman" w:hAnsi="Times New Roman"/>
                <w:b/>
              </w:rPr>
            </w:pPr>
            <w:r>
              <w:rPr>
                <w:rFonts w:ascii="Times New Roman" w:hAnsi="Times New Roman"/>
                <w:b/>
                <w:caps/>
              </w:rPr>
              <w:t>WIRELINE COMPETITION</w:t>
            </w:r>
          </w:p>
        </w:tc>
        <w:tc>
          <w:tcPr>
            <w:tcW w:w="5107" w:type="dxa"/>
            <w:gridSpan w:val="2"/>
          </w:tcPr>
          <w:p w:rsidR="00354C20" w:rsidRPr="00354C20" w:rsidRDefault="00393C3C" w:rsidP="00354C20">
            <w:pPr>
              <w:tabs>
                <w:tab w:val="center" w:pos="4680"/>
              </w:tabs>
              <w:suppressAutoHyphens/>
              <w:rPr>
                <w:rFonts w:ascii="Times New Roman" w:hAnsi="Times New Roman"/>
                <w:spacing w:val="-2"/>
                <w:szCs w:val="22"/>
                <w:lang w:val="sv-SE"/>
              </w:rPr>
            </w:pPr>
            <w:r>
              <w:rPr>
                <w:rFonts w:ascii="Times New Roman" w:hAnsi="Times New Roman"/>
                <w:b/>
              </w:rPr>
              <w:t xml:space="preserve">TITLE:  </w:t>
            </w:r>
            <w:r w:rsidR="00354C20" w:rsidRPr="00354C20">
              <w:rPr>
                <w:rFonts w:ascii="Times New Roman" w:hAnsi="Times New Roman"/>
                <w:spacing w:val="-2"/>
                <w:szCs w:val="22"/>
              </w:rPr>
              <w:t>Modernizing the E-rate Program for Schools and Libraries</w:t>
            </w:r>
            <w:r w:rsidR="00354C20" w:rsidRPr="00354C20">
              <w:rPr>
                <w:rFonts w:ascii="Times New Roman" w:hAnsi="Times New Roman"/>
                <w:spacing w:val="-2"/>
                <w:szCs w:val="22"/>
                <w:lang w:val="sv-SE"/>
              </w:rPr>
              <w:t xml:space="preserve"> (WC Docket No. 13-184)</w:t>
            </w:r>
          </w:p>
          <w:p w:rsidR="006E3A97" w:rsidRPr="006E3A97" w:rsidRDefault="006E3A97" w:rsidP="00354C20">
            <w:pPr>
              <w:widowControl/>
              <w:tabs>
                <w:tab w:val="center" w:pos="4680"/>
              </w:tabs>
              <w:suppressAutoHyphens/>
              <w:rPr>
                <w:rFonts w:ascii="Times New Roman" w:hAnsi="Times New Roman"/>
                <w:snapToGrid w:val="0"/>
                <w:spacing w:val="-2"/>
                <w:kern w:val="28"/>
                <w:sz w:val="22"/>
                <w:szCs w:val="20"/>
              </w:rPr>
            </w:pPr>
          </w:p>
          <w:p w:rsidR="00982102" w:rsidRDefault="00393C3C" w:rsidP="00393C3C">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724D32">
              <w:rPr>
                <w:rFonts w:ascii="Times New Roman" w:hAnsi="Times New Roman"/>
              </w:rPr>
              <w:t>The Commission will consider a Report and Order to modernize the E-Rate program and expand support for WiFi connectivity for schools and libraries. The R&amp;O seeks to close the WiFi gap, make E-Rate dollars go farther, and deliver faster, simpler and more efficient applications and other processes.</w:t>
            </w:r>
          </w:p>
          <w:p w:rsidR="006E3A97" w:rsidRDefault="006E3A97" w:rsidP="00393C3C">
            <w:pPr>
              <w:widowControl/>
              <w:tabs>
                <w:tab w:val="left" w:pos="-720"/>
              </w:tabs>
              <w:suppressAutoHyphens/>
              <w:autoSpaceDE/>
              <w:adjustRightInd/>
              <w:spacing w:before="90" w:after="54"/>
              <w:jc w:val="both"/>
              <w:rPr>
                <w:rFonts w:ascii="Times New Roman" w:hAnsi="Times New Roman"/>
                <w:b/>
              </w:rPr>
            </w:pPr>
          </w:p>
        </w:tc>
      </w:tr>
      <w:tr w:rsidR="00982102" w:rsidTr="00393C3C">
        <w:trPr>
          <w:gridBefore w:val="1"/>
          <w:wBefore w:w="180" w:type="dxa"/>
          <w:trHeight w:val="1108"/>
        </w:trPr>
        <w:tc>
          <w:tcPr>
            <w:tcW w:w="1620" w:type="dxa"/>
            <w:gridSpan w:val="2"/>
          </w:tcPr>
          <w:p w:rsidR="00982102" w:rsidRPr="000D7846" w:rsidRDefault="00982102" w:rsidP="000D7846">
            <w:pPr>
              <w:suppressAutoHyphens/>
              <w:spacing w:before="120"/>
              <w:jc w:val="center"/>
              <w:rPr>
                <w:rFonts w:ascii="Times New Roman" w:hAnsi="Times New Roman"/>
                <w:b/>
              </w:rPr>
            </w:pPr>
            <w:r>
              <w:rPr>
                <w:rFonts w:ascii="Times New Roman" w:hAnsi="Times New Roman"/>
                <w:b/>
              </w:rPr>
              <w:t>2</w:t>
            </w:r>
          </w:p>
          <w:p w:rsidR="00982102" w:rsidRPr="00DC2463" w:rsidRDefault="00982102" w:rsidP="00F61DA7">
            <w:pPr>
              <w:jc w:val="center"/>
              <w:rPr>
                <w:rFonts w:ascii="Times New Roman" w:hAnsi="Times New Roman"/>
              </w:rPr>
            </w:pPr>
          </w:p>
        </w:tc>
        <w:tc>
          <w:tcPr>
            <w:tcW w:w="2813" w:type="dxa"/>
            <w:gridSpan w:val="2"/>
          </w:tcPr>
          <w:p w:rsidR="00982102" w:rsidRDefault="00393C3C" w:rsidP="00AE0DEE">
            <w:pPr>
              <w:widowControl/>
              <w:suppressAutoHyphens/>
              <w:autoSpaceDE/>
              <w:autoSpaceDN/>
              <w:adjustRightInd/>
              <w:spacing w:before="120" w:after="120"/>
              <w:jc w:val="center"/>
              <w:rPr>
                <w:rFonts w:ascii="Times New Roman" w:hAnsi="Times New Roman"/>
                <w:b/>
              </w:rPr>
            </w:pPr>
            <w:r>
              <w:rPr>
                <w:rFonts w:ascii="Times New Roman" w:hAnsi="Times New Roman"/>
                <w:b/>
                <w:caps/>
              </w:rPr>
              <w:t>WIRELINE COMPETITION</w:t>
            </w:r>
          </w:p>
        </w:tc>
        <w:tc>
          <w:tcPr>
            <w:tcW w:w="5107" w:type="dxa"/>
            <w:gridSpan w:val="2"/>
          </w:tcPr>
          <w:p w:rsidR="00393C3C" w:rsidRDefault="00393C3C" w:rsidP="006E3A97">
            <w:pPr>
              <w:widowControl/>
              <w:tabs>
                <w:tab w:val="center" w:pos="4680"/>
              </w:tabs>
              <w:suppressAutoHyphens/>
              <w:rPr>
                <w:rFonts w:ascii="Times New Roman" w:hAnsi="Times New Roman"/>
                <w:spacing w:val="-2"/>
              </w:rPr>
            </w:pPr>
            <w:r>
              <w:rPr>
                <w:rFonts w:ascii="Times New Roman" w:hAnsi="Times New Roman"/>
                <w:b/>
              </w:rPr>
              <w:t xml:space="preserve">TITLE:  </w:t>
            </w:r>
            <w:r w:rsidR="006E3A97" w:rsidRPr="006E3A97">
              <w:rPr>
                <w:rFonts w:ascii="Times New Roman" w:hAnsi="Times New Roman"/>
                <w:snapToGrid w:val="0"/>
                <w:spacing w:val="-2"/>
                <w:kern w:val="28"/>
              </w:rPr>
              <w:t xml:space="preserve">Connect America Fund </w:t>
            </w:r>
            <w:r w:rsidR="006E3A97">
              <w:rPr>
                <w:rFonts w:ascii="Times New Roman" w:hAnsi="Times New Roman"/>
                <w:snapToGrid w:val="0"/>
                <w:spacing w:val="-2"/>
                <w:kern w:val="28"/>
              </w:rPr>
              <w:t>(</w:t>
            </w:r>
            <w:r w:rsidR="006E3A97" w:rsidRPr="006E3A97">
              <w:rPr>
                <w:rFonts w:ascii="Times New Roman" w:hAnsi="Times New Roman"/>
                <w:snapToGrid w:val="0"/>
                <w:spacing w:val="-2"/>
                <w:kern w:val="28"/>
              </w:rPr>
              <w:t>WC Docket No. 10-90</w:t>
            </w:r>
            <w:r w:rsidR="006E3A97">
              <w:rPr>
                <w:rFonts w:ascii="Times New Roman" w:hAnsi="Times New Roman"/>
                <w:snapToGrid w:val="0"/>
                <w:spacing w:val="-2"/>
                <w:kern w:val="28"/>
              </w:rPr>
              <w:t xml:space="preserve">); </w:t>
            </w:r>
            <w:r w:rsidR="006E3A97" w:rsidRPr="006E3A97">
              <w:rPr>
                <w:rFonts w:ascii="Times New Roman" w:hAnsi="Times New Roman"/>
                <w:spacing w:val="-2"/>
              </w:rPr>
              <w:t xml:space="preserve">ETC Annual Reports and Certifications </w:t>
            </w:r>
            <w:r w:rsidR="006E3A97">
              <w:rPr>
                <w:rFonts w:ascii="Times New Roman" w:hAnsi="Times New Roman"/>
                <w:spacing w:val="-2"/>
              </w:rPr>
              <w:t>(</w:t>
            </w:r>
            <w:r w:rsidR="006E3A97" w:rsidRPr="006E3A97">
              <w:rPr>
                <w:rFonts w:ascii="Times New Roman" w:hAnsi="Times New Roman"/>
                <w:spacing w:val="-2"/>
              </w:rPr>
              <w:t>WC Docket No. 14-58</w:t>
            </w:r>
            <w:r w:rsidR="006E3A97">
              <w:rPr>
                <w:rFonts w:ascii="Times New Roman" w:hAnsi="Times New Roman"/>
                <w:spacing w:val="-2"/>
              </w:rPr>
              <w:t>)</w:t>
            </w:r>
          </w:p>
          <w:p w:rsidR="006E3A97" w:rsidRPr="006E3A97" w:rsidRDefault="006E3A97" w:rsidP="006E3A97">
            <w:pPr>
              <w:widowControl/>
              <w:tabs>
                <w:tab w:val="center" w:pos="4680"/>
              </w:tabs>
              <w:suppressAutoHyphens/>
              <w:rPr>
                <w:rFonts w:ascii="Times New Roman" w:hAnsi="Times New Roman"/>
              </w:rPr>
            </w:pPr>
          </w:p>
          <w:p w:rsidR="00393C3C" w:rsidRPr="00393C3C" w:rsidRDefault="00393C3C" w:rsidP="00393C3C">
            <w:pPr>
              <w:rPr>
                <w:rFonts w:ascii="Times New Roman" w:hAnsi="Times New Roman"/>
                <w:bCs/>
                <w:szCs w:val="20"/>
              </w:rPr>
            </w:pPr>
            <w:r>
              <w:rPr>
                <w:rFonts w:ascii="Times New Roman" w:hAnsi="Times New Roman"/>
                <w:b/>
              </w:rPr>
              <w:t xml:space="preserve">SUMMARY:  </w:t>
            </w:r>
            <w:r w:rsidRPr="00393C3C">
              <w:rPr>
                <w:rFonts w:ascii="Times New Roman" w:hAnsi="Times New Roman"/>
                <w:bCs/>
                <w:szCs w:val="20"/>
              </w:rPr>
              <w:t>The Commission will consider a Report and Order establishing a budget and a methodology for selecting winning applications for the Connect America rural broadband experiments adopted by the Commission in the January Tech Transitions Order.</w:t>
            </w:r>
          </w:p>
          <w:p w:rsidR="00393C3C" w:rsidRDefault="00393C3C" w:rsidP="00393C3C">
            <w:pPr>
              <w:widowControl/>
              <w:tabs>
                <w:tab w:val="left" w:pos="-720"/>
              </w:tabs>
              <w:suppressAutoHyphens/>
              <w:autoSpaceDE/>
              <w:adjustRightInd/>
              <w:spacing w:before="120"/>
              <w:rPr>
                <w:rFonts w:ascii="Times New Roman" w:hAnsi="Times New Roman"/>
                <w:b/>
              </w:rPr>
            </w:pPr>
          </w:p>
        </w:tc>
      </w:tr>
      <w:tr w:rsidR="00AF43A7" w:rsidTr="00393C3C">
        <w:trPr>
          <w:gridBefore w:val="1"/>
          <w:wBefore w:w="180" w:type="dxa"/>
          <w:trHeight w:val="1108"/>
        </w:trPr>
        <w:tc>
          <w:tcPr>
            <w:tcW w:w="1620" w:type="dxa"/>
            <w:gridSpan w:val="2"/>
          </w:tcPr>
          <w:p w:rsidR="00AF43A7" w:rsidRDefault="00AF43A7" w:rsidP="000D7846">
            <w:pPr>
              <w:suppressAutoHyphens/>
              <w:spacing w:before="120"/>
              <w:jc w:val="center"/>
              <w:rPr>
                <w:rFonts w:ascii="Times New Roman" w:hAnsi="Times New Roman"/>
                <w:b/>
              </w:rPr>
            </w:pPr>
            <w:r>
              <w:rPr>
                <w:rFonts w:ascii="Times New Roman" w:hAnsi="Times New Roman"/>
                <w:b/>
              </w:rPr>
              <w:lastRenderedPageBreak/>
              <w:t>3</w:t>
            </w:r>
          </w:p>
        </w:tc>
        <w:tc>
          <w:tcPr>
            <w:tcW w:w="2813" w:type="dxa"/>
            <w:gridSpan w:val="2"/>
          </w:tcPr>
          <w:p w:rsidR="00AF43A7" w:rsidRDefault="00AF43A7" w:rsidP="00AE0DEE">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Media</w:t>
            </w:r>
          </w:p>
        </w:tc>
        <w:tc>
          <w:tcPr>
            <w:tcW w:w="5107" w:type="dxa"/>
            <w:gridSpan w:val="2"/>
          </w:tcPr>
          <w:p w:rsidR="00AF43A7" w:rsidRDefault="00AF43A7" w:rsidP="006E3A97">
            <w:pPr>
              <w:widowControl/>
              <w:tabs>
                <w:tab w:val="center" w:pos="4680"/>
              </w:tabs>
              <w:suppressAutoHyphens/>
              <w:rPr>
                <w:rFonts w:ascii="Times New Roman" w:hAnsi="Times New Roman"/>
                <w:spacing w:val="-2"/>
              </w:rPr>
            </w:pPr>
            <w:r>
              <w:rPr>
                <w:rFonts w:ascii="Times New Roman" w:hAnsi="Times New Roman"/>
                <w:b/>
              </w:rPr>
              <w:t xml:space="preserve">TITLE:  </w:t>
            </w:r>
            <w:r w:rsidRPr="00354C20">
              <w:rPr>
                <w:rFonts w:ascii="Times New Roman" w:hAnsi="Times New Roman"/>
                <w:spacing w:val="-2"/>
                <w:kern w:val="28"/>
              </w:rPr>
              <w:t>Closed Captioning of Internet Protocol-Delivered Video Programming:  Implementation of the Twenty-First Century Communications and Video Accessibility Act of 2010</w:t>
            </w:r>
            <w:r w:rsidRPr="00354C20">
              <w:rPr>
                <w:rFonts w:ascii="Times New Roman" w:hAnsi="Times New Roman"/>
                <w:spacing w:val="-2"/>
              </w:rPr>
              <w:t xml:space="preserve"> (MB Docket No. 11-154); Closed Captioning of Internet Protocol-Delivered Video Clips</w:t>
            </w:r>
          </w:p>
          <w:p w:rsidR="00AF43A7" w:rsidRDefault="00AF43A7" w:rsidP="006E3A97">
            <w:pPr>
              <w:widowControl/>
              <w:tabs>
                <w:tab w:val="center" w:pos="4680"/>
              </w:tabs>
              <w:suppressAutoHyphens/>
              <w:rPr>
                <w:rFonts w:ascii="Times New Roman" w:hAnsi="Times New Roman"/>
                <w:spacing w:val="-2"/>
              </w:rPr>
            </w:pPr>
          </w:p>
          <w:p w:rsidR="00AF43A7" w:rsidRPr="00AF43A7" w:rsidRDefault="00AF43A7" w:rsidP="00AF43A7">
            <w:pPr>
              <w:rPr>
                <w:rFonts w:ascii="Times New Roman" w:hAnsi="Times New Roman"/>
                <w:b/>
              </w:rPr>
            </w:pPr>
            <w:r w:rsidRPr="00AF43A7">
              <w:rPr>
                <w:rFonts w:ascii="Times New Roman" w:hAnsi="Times New Roman"/>
                <w:b/>
                <w:spacing w:val="-2"/>
              </w:rPr>
              <w:t>SUMMARY:</w:t>
            </w:r>
            <w:r>
              <w:rPr>
                <w:rFonts w:ascii="Times New Roman" w:hAnsi="Times New Roman"/>
                <w:b/>
                <w:spacing w:val="-2"/>
              </w:rPr>
              <w:t xml:space="preserve">  </w:t>
            </w:r>
            <w:r w:rsidRPr="00393C3C">
              <w:rPr>
                <w:rFonts w:ascii="Times New Roman" w:hAnsi="Times New Roman"/>
                <w:bCs/>
                <w:szCs w:val="20"/>
              </w:rPr>
              <w:t>The Commission will consider a Second Order on Reconsideration and a Second Further Notice of Proposed Rulemaking that revisits the Commission’s determinations regarding the captioning of video clips when delivered using Internet protocol, ensuring that individuals with hearing disabilities are able to enjoy the full benefits of broadband technology.</w:t>
            </w:r>
          </w:p>
        </w:tc>
      </w:tr>
      <w:bookmarkEnd w:id="1"/>
      <w:bookmarkEnd w:id="2"/>
      <w:tr w:rsidR="00393C3C" w:rsidTr="00393C3C">
        <w:tblPrEx>
          <w:tblCellMar>
            <w:right w:w="120" w:type="dxa"/>
          </w:tblCellMar>
          <w:tblLook w:val="04A0" w:firstRow="1" w:lastRow="0" w:firstColumn="1" w:lastColumn="0" w:noHBand="0" w:noVBand="1"/>
        </w:tblPrEx>
        <w:trPr>
          <w:gridAfter w:val="1"/>
          <w:wAfter w:w="180" w:type="dxa"/>
        </w:trPr>
        <w:tc>
          <w:tcPr>
            <w:tcW w:w="1440" w:type="dxa"/>
            <w:gridSpan w:val="2"/>
          </w:tcPr>
          <w:p w:rsidR="00393C3C" w:rsidRDefault="00393C3C">
            <w:pPr>
              <w:tabs>
                <w:tab w:val="left" w:pos="-720"/>
              </w:tabs>
              <w:suppressAutoHyphens/>
              <w:spacing w:before="90" w:after="54"/>
              <w:jc w:val="center"/>
              <w:rPr>
                <w:rFonts w:ascii="Times New Roman" w:hAnsi="Times New Roman"/>
                <w:b/>
              </w:rPr>
            </w:pPr>
          </w:p>
        </w:tc>
        <w:tc>
          <w:tcPr>
            <w:tcW w:w="2880" w:type="dxa"/>
            <w:gridSpan w:val="2"/>
          </w:tcPr>
          <w:p w:rsidR="00393C3C" w:rsidRDefault="00393C3C">
            <w:pPr>
              <w:widowControl/>
              <w:tabs>
                <w:tab w:val="left" w:pos="-720"/>
              </w:tabs>
              <w:suppressAutoHyphens/>
              <w:autoSpaceDE/>
              <w:adjustRightInd/>
              <w:spacing w:before="90" w:after="54"/>
              <w:jc w:val="center"/>
              <w:rPr>
                <w:rFonts w:ascii="Times New Roman" w:hAnsi="Times New Roman"/>
                <w:b/>
              </w:rPr>
            </w:pPr>
          </w:p>
        </w:tc>
        <w:tc>
          <w:tcPr>
            <w:tcW w:w="5220" w:type="dxa"/>
            <w:gridSpan w:val="2"/>
          </w:tcPr>
          <w:p w:rsidR="00393C3C" w:rsidRDefault="00393C3C">
            <w:pPr>
              <w:widowControl/>
              <w:tabs>
                <w:tab w:val="left" w:pos="-720"/>
              </w:tabs>
              <w:suppressAutoHyphens/>
              <w:autoSpaceDE/>
              <w:adjustRightInd/>
              <w:spacing w:before="90" w:after="54"/>
              <w:jc w:val="both"/>
              <w:rPr>
                <w:rFonts w:ascii="Times New Roman" w:hAnsi="Times New Roman"/>
                <w:b/>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AE0DEE">
      <w:pPr>
        <w:pStyle w:val="BodyText"/>
        <w:keepLines/>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0D7846">
      <w:pPr>
        <w:pStyle w:val="BodyText"/>
        <w:keepLines/>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D7" w:rsidRDefault="009741D7">
      <w:r>
        <w:separator/>
      </w:r>
    </w:p>
  </w:endnote>
  <w:endnote w:type="continuationSeparator" w:id="0">
    <w:p w:rsidR="009741D7" w:rsidRDefault="009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04F">
      <w:rPr>
        <w:rStyle w:val="PageNumber"/>
        <w:noProof/>
      </w:rPr>
      <w:t>2</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20F">
      <w:rPr>
        <w:rStyle w:val="PageNumber"/>
        <w:noProof/>
      </w:rPr>
      <w:t>2</w:t>
    </w:r>
    <w:r>
      <w:rPr>
        <w:rStyle w:val="PageNumber"/>
      </w:rPr>
      <w:fldChar w:fldCharType="end"/>
    </w:r>
  </w:p>
  <w:p w:rsidR="00DC2463" w:rsidRDefault="00DC2463" w:rsidP="00AE0DEE">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D7" w:rsidRDefault="009741D7">
      <w:r>
        <w:separator/>
      </w:r>
    </w:p>
  </w:footnote>
  <w:footnote w:type="continuationSeparator" w:id="0">
    <w:p w:rsidR="009741D7" w:rsidRDefault="0097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F" w:rsidRDefault="00F94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F" w:rsidRDefault="00F94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4783"/>
    <w:rsid w:val="000B5CB5"/>
    <w:rsid w:val="000B6037"/>
    <w:rsid w:val="000C478D"/>
    <w:rsid w:val="000C4B9D"/>
    <w:rsid w:val="000C4EF8"/>
    <w:rsid w:val="000D30B2"/>
    <w:rsid w:val="000D31BE"/>
    <w:rsid w:val="000D4234"/>
    <w:rsid w:val="000D7358"/>
    <w:rsid w:val="000D7846"/>
    <w:rsid w:val="000E345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F0875"/>
    <w:rsid w:val="00303988"/>
    <w:rsid w:val="003067F5"/>
    <w:rsid w:val="00307A50"/>
    <w:rsid w:val="003133AB"/>
    <w:rsid w:val="00313EB6"/>
    <w:rsid w:val="00320422"/>
    <w:rsid w:val="00325BD3"/>
    <w:rsid w:val="0032684F"/>
    <w:rsid w:val="00332A39"/>
    <w:rsid w:val="00347490"/>
    <w:rsid w:val="00353463"/>
    <w:rsid w:val="00354C20"/>
    <w:rsid w:val="00357B9B"/>
    <w:rsid w:val="003621A2"/>
    <w:rsid w:val="003649F4"/>
    <w:rsid w:val="003808A9"/>
    <w:rsid w:val="00380D2C"/>
    <w:rsid w:val="003848E6"/>
    <w:rsid w:val="00386689"/>
    <w:rsid w:val="0038734C"/>
    <w:rsid w:val="00391465"/>
    <w:rsid w:val="003928F0"/>
    <w:rsid w:val="00393C3C"/>
    <w:rsid w:val="0039759B"/>
    <w:rsid w:val="003A2A3E"/>
    <w:rsid w:val="003B10B3"/>
    <w:rsid w:val="003B1611"/>
    <w:rsid w:val="003C4F9A"/>
    <w:rsid w:val="003D2E75"/>
    <w:rsid w:val="003D5230"/>
    <w:rsid w:val="003D5F3C"/>
    <w:rsid w:val="003E3E2A"/>
    <w:rsid w:val="003E4DD2"/>
    <w:rsid w:val="003E6CBB"/>
    <w:rsid w:val="003F203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14BD"/>
    <w:rsid w:val="00547EA4"/>
    <w:rsid w:val="00551345"/>
    <w:rsid w:val="0055384B"/>
    <w:rsid w:val="00557F16"/>
    <w:rsid w:val="00570327"/>
    <w:rsid w:val="00577C98"/>
    <w:rsid w:val="0058498D"/>
    <w:rsid w:val="0058528D"/>
    <w:rsid w:val="00590111"/>
    <w:rsid w:val="0059154D"/>
    <w:rsid w:val="005B14DA"/>
    <w:rsid w:val="005B5D8E"/>
    <w:rsid w:val="005C66F8"/>
    <w:rsid w:val="005D4F68"/>
    <w:rsid w:val="005D6B12"/>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3A97"/>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212E4"/>
    <w:rsid w:val="00933CA7"/>
    <w:rsid w:val="00934E86"/>
    <w:rsid w:val="009357FF"/>
    <w:rsid w:val="009438C7"/>
    <w:rsid w:val="00944BA0"/>
    <w:rsid w:val="00945236"/>
    <w:rsid w:val="00956720"/>
    <w:rsid w:val="00961B8B"/>
    <w:rsid w:val="00962BFB"/>
    <w:rsid w:val="009662CC"/>
    <w:rsid w:val="009733C5"/>
    <w:rsid w:val="009741D7"/>
    <w:rsid w:val="00982102"/>
    <w:rsid w:val="009868A6"/>
    <w:rsid w:val="00996DC1"/>
    <w:rsid w:val="009973CD"/>
    <w:rsid w:val="00997576"/>
    <w:rsid w:val="009A6B53"/>
    <w:rsid w:val="009A6DA8"/>
    <w:rsid w:val="009A77C1"/>
    <w:rsid w:val="009C10D9"/>
    <w:rsid w:val="009C32BD"/>
    <w:rsid w:val="009C3B18"/>
    <w:rsid w:val="00A028F6"/>
    <w:rsid w:val="00A12EAF"/>
    <w:rsid w:val="00A17F40"/>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E0DEE"/>
    <w:rsid w:val="00AF0F9A"/>
    <w:rsid w:val="00AF30DB"/>
    <w:rsid w:val="00AF43A7"/>
    <w:rsid w:val="00AF7096"/>
    <w:rsid w:val="00B02EB1"/>
    <w:rsid w:val="00B03DCF"/>
    <w:rsid w:val="00B041E4"/>
    <w:rsid w:val="00B123A9"/>
    <w:rsid w:val="00B23E4D"/>
    <w:rsid w:val="00B27804"/>
    <w:rsid w:val="00B3141F"/>
    <w:rsid w:val="00B35BD6"/>
    <w:rsid w:val="00B3685C"/>
    <w:rsid w:val="00B503D2"/>
    <w:rsid w:val="00B508ED"/>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A581D"/>
    <w:rsid w:val="00CB2E02"/>
    <w:rsid w:val="00CB3A1C"/>
    <w:rsid w:val="00CB4C5C"/>
    <w:rsid w:val="00CB4D7A"/>
    <w:rsid w:val="00CC292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020F"/>
    <w:rsid w:val="00D77384"/>
    <w:rsid w:val="00D77F5D"/>
    <w:rsid w:val="00D80B06"/>
    <w:rsid w:val="00D84583"/>
    <w:rsid w:val="00DA33BB"/>
    <w:rsid w:val="00DA40A5"/>
    <w:rsid w:val="00DA4D48"/>
    <w:rsid w:val="00DC2463"/>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41C"/>
    <w:rsid w:val="00EB7FE9"/>
    <w:rsid w:val="00EC5E20"/>
    <w:rsid w:val="00ED2C32"/>
    <w:rsid w:val="00EE2047"/>
    <w:rsid w:val="00EF05F1"/>
    <w:rsid w:val="00EF5358"/>
    <w:rsid w:val="00F00CF1"/>
    <w:rsid w:val="00F00D7B"/>
    <w:rsid w:val="00F10DFD"/>
    <w:rsid w:val="00F12D61"/>
    <w:rsid w:val="00F2388B"/>
    <w:rsid w:val="00F25692"/>
    <w:rsid w:val="00F27CCE"/>
    <w:rsid w:val="00F3130D"/>
    <w:rsid w:val="00F34A05"/>
    <w:rsid w:val="00F35356"/>
    <w:rsid w:val="00F405AA"/>
    <w:rsid w:val="00F463D3"/>
    <w:rsid w:val="00F5187D"/>
    <w:rsid w:val="00F5448C"/>
    <w:rsid w:val="00F5487F"/>
    <w:rsid w:val="00F562AD"/>
    <w:rsid w:val="00F604D2"/>
    <w:rsid w:val="00F606C3"/>
    <w:rsid w:val="00F64157"/>
    <w:rsid w:val="00F7009F"/>
    <w:rsid w:val="00F7117F"/>
    <w:rsid w:val="00F762A8"/>
    <w:rsid w:val="00F8158C"/>
    <w:rsid w:val="00F902BF"/>
    <w:rsid w:val="00F913C3"/>
    <w:rsid w:val="00F9404F"/>
    <w:rsid w:val="00FC08C5"/>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819">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7935773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3043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3575</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2014-07-03T16:14:00Z</dcterms:created>
  <dcterms:modified xsi:type="dcterms:W3CDTF">2014-07-03T16:14:00Z</dcterms:modified>
  <cp:category> </cp:category>
  <cp:contentStatus> </cp:contentStatus>
</cp:coreProperties>
</file>