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FF" w:rsidRDefault="00DE26FF">
      <w:pPr>
        <w:tabs>
          <w:tab w:val="left" w:pos="5040"/>
        </w:tabs>
        <w:outlineLvl w:val="0"/>
        <w:rPr>
          <w:rFonts w:ascii="Times New Roman" w:hAnsi="Times New Roman"/>
          <w:b/>
          <w:snapToGrid w:val="0"/>
          <w:szCs w:val="24"/>
        </w:rPr>
      </w:pPr>
      <w:bookmarkStart w:id="0" w:name="_GoBack"/>
      <w:bookmarkEnd w:id="0"/>
      <w:r>
        <w:rPr>
          <w:rFonts w:ascii="Times New Roman" w:hAnsi="Times New Roman"/>
          <w:b/>
          <w:snapToGrid w:val="0"/>
          <w:szCs w:val="24"/>
        </w:rPr>
        <w:t>FOR IMMEDIATE RELEASE:</w:t>
      </w:r>
      <w:r>
        <w:rPr>
          <w:rFonts w:ascii="Times New Roman" w:hAnsi="Times New Roman"/>
          <w:snapToGrid w:val="0"/>
          <w:szCs w:val="24"/>
        </w:rPr>
        <w:tab/>
      </w:r>
      <w:r>
        <w:rPr>
          <w:rFonts w:ascii="Times New Roman" w:hAnsi="Times New Roman"/>
          <w:snapToGrid w:val="0"/>
          <w:szCs w:val="24"/>
        </w:rPr>
        <w:tab/>
      </w:r>
      <w:r>
        <w:rPr>
          <w:rFonts w:ascii="Times New Roman" w:hAnsi="Times New Roman"/>
          <w:b/>
          <w:snapToGrid w:val="0"/>
          <w:szCs w:val="24"/>
        </w:rPr>
        <w:t>NEWS MEDIA CONTACT:</w:t>
      </w:r>
    </w:p>
    <w:p w:rsidR="00DE26FF" w:rsidRDefault="009976F3">
      <w:pPr>
        <w:tabs>
          <w:tab w:val="left" w:pos="5040"/>
        </w:tabs>
        <w:outlineLvl w:val="0"/>
        <w:rPr>
          <w:rFonts w:ascii="Times New Roman" w:hAnsi="Times New Roman"/>
          <w:b/>
          <w:snapToGrid w:val="0"/>
          <w:szCs w:val="24"/>
        </w:rPr>
      </w:pPr>
      <w:r>
        <w:rPr>
          <w:rFonts w:ascii="Times New Roman" w:hAnsi="Times New Roman"/>
          <w:snapToGrid w:val="0"/>
          <w:szCs w:val="24"/>
        </w:rPr>
        <w:t>July 24, 2014</w:t>
      </w:r>
      <w:r w:rsidR="00DE26FF">
        <w:rPr>
          <w:rFonts w:ascii="Times New Roman" w:hAnsi="Times New Roman"/>
          <w:b/>
          <w:snapToGrid w:val="0"/>
          <w:szCs w:val="24"/>
        </w:rPr>
        <w:tab/>
      </w:r>
      <w:r w:rsidR="00DE26FF">
        <w:rPr>
          <w:rFonts w:ascii="Times New Roman" w:hAnsi="Times New Roman"/>
          <w:b/>
          <w:snapToGrid w:val="0"/>
          <w:szCs w:val="24"/>
        </w:rPr>
        <w:tab/>
      </w:r>
      <w:r w:rsidR="00DE26FF">
        <w:rPr>
          <w:rFonts w:ascii="Times New Roman" w:hAnsi="Times New Roman"/>
          <w:snapToGrid w:val="0"/>
          <w:szCs w:val="24"/>
        </w:rPr>
        <w:t>Janice Wise (202) 418-8165</w:t>
      </w:r>
    </w:p>
    <w:p w:rsidR="00DE26FF" w:rsidRDefault="00DE26FF">
      <w:pPr>
        <w:tabs>
          <w:tab w:val="left" w:pos="5040"/>
        </w:tabs>
        <w:rPr>
          <w:rFonts w:ascii="Times New Roman" w:hAnsi="Times New Roman"/>
          <w:snapToGrid w:val="0"/>
          <w:szCs w:val="24"/>
        </w:rPr>
      </w:pPr>
      <w:r>
        <w:rPr>
          <w:rFonts w:ascii="Times New Roman" w:hAnsi="Times New Roman"/>
          <w:snapToGrid w:val="0"/>
          <w:szCs w:val="24"/>
        </w:rPr>
        <w:tab/>
      </w:r>
      <w:r>
        <w:rPr>
          <w:rFonts w:ascii="Times New Roman" w:hAnsi="Times New Roman"/>
          <w:snapToGrid w:val="0"/>
          <w:szCs w:val="24"/>
        </w:rPr>
        <w:tab/>
        <w:t xml:space="preserve">Email: </w:t>
      </w:r>
      <w:hyperlink r:id="rId8" w:history="1">
        <w:r>
          <w:rPr>
            <w:rStyle w:val="Hyperlink"/>
            <w:rFonts w:ascii="Times New Roman" w:hAnsi="Times New Roman"/>
            <w:snapToGrid w:val="0"/>
            <w:szCs w:val="24"/>
          </w:rPr>
          <w:t>Janice.Wise@fcc.gov</w:t>
        </w:r>
      </w:hyperlink>
      <w:r>
        <w:rPr>
          <w:rFonts w:ascii="Times New Roman" w:hAnsi="Times New Roman"/>
          <w:snapToGrid w:val="0"/>
          <w:szCs w:val="24"/>
        </w:rPr>
        <w:t xml:space="preserve"> </w:t>
      </w:r>
    </w:p>
    <w:p w:rsidR="00DE26FF" w:rsidRDefault="00DE26FF">
      <w:pPr>
        <w:pStyle w:val="NormalWeb"/>
        <w:spacing w:before="0" w:beforeAutospacing="0" w:after="0" w:afterAutospacing="0"/>
        <w:rPr>
          <w:rFonts w:ascii="Times New Roman" w:hAnsi="Times New Roman"/>
          <w:b/>
          <w:bCs/>
          <w:sz w:val="24"/>
          <w:szCs w:val="24"/>
        </w:rPr>
      </w:pPr>
    </w:p>
    <w:p w:rsidR="00DE26FF" w:rsidRDefault="00DE26FF">
      <w:pPr>
        <w:pStyle w:val="NormalWeb"/>
        <w:spacing w:before="0" w:beforeAutospacing="0" w:after="0" w:afterAutospacing="0"/>
        <w:jc w:val="center"/>
        <w:rPr>
          <w:rFonts w:ascii="Times New Roman" w:hAnsi="Times New Roman"/>
          <w:b/>
          <w:bCs/>
          <w:sz w:val="24"/>
          <w:szCs w:val="24"/>
        </w:rPr>
      </w:pPr>
      <w:r>
        <w:rPr>
          <w:rFonts w:ascii="Times New Roman" w:hAnsi="Times New Roman"/>
          <w:b/>
          <w:bCs/>
          <w:sz w:val="24"/>
          <w:szCs w:val="24"/>
        </w:rPr>
        <w:t xml:space="preserve">STATEMENT OF WILLIAM T. LAKE, CHIEF, MEDIA BUREAU, ON </w:t>
      </w:r>
      <w:r w:rsidR="009976F3">
        <w:rPr>
          <w:rFonts w:ascii="Times New Roman" w:hAnsi="Times New Roman"/>
          <w:b/>
          <w:bCs/>
          <w:sz w:val="24"/>
          <w:szCs w:val="24"/>
        </w:rPr>
        <w:t>ORDER CONDITIONALL</w:t>
      </w:r>
      <w:r w:rsidR="007B2444">
        <w:rPr>
          <w:rFonts w:ascii="Times New Roman" w:hAnsi="Times New Roman"/>
          <w:b/>
          <w:bCs/>
          <w:sz w:val="24"/>
          <w:szCs w:val="24"/>
        </w:rPr>
        <w:t>Y</w:t>
      </w:r>
      <w:r w:rsidR="009976F3">
        <w:rPr>
          <w:rFonts w:ascii="Times New Roman" w:hAnsi="Times New Roman"/>
          <w:b/>
          <w:bCs/>
          <w:sz w:val="24"/>
          <w:szCs w:val="24"/>
        </w:rPr>
        <w:t xml:space="preserve"> GRANTING THE SINCLAIR ALLBRITTON TRANSACTION</w:t>
      </w:r>
    </w:p>
    <w:p w:rsidR="00DE26FF" w:rsidRPr="009976F3" w:rsidRDefault="00DE26FF">
      <w:pPr>
        <w:pStyle w:val="NormalWeb"/>
        <w:spacing w:before="0" w:beforeAutospacing="0" w:after="0" w:afterAutospacing="0"/>
        <w:rPr>
          <w:rFonts w:ascii="Times New Roman" w:hAnsi="Times New Roman"/>
          <w:b/>
          <w:bCs/>
          <w:sz w:val="22"/>
          <w:szCs w:val="22"/>
        </w:rPr>
      </w:pPr>
    </w:p>
    <w:p w:rsidR="00EE761D" w:rsidRDefault="00DE26FF" w:rsidP="00EE761D">
      <w:pPr>
        <w:rPr>
          <w:rFonts w:ascii="Times New Roman" w:hAnsi="Times New Roman"/>
          <w:color w:val="000000"/>
          <w:sz w:val="22"/>
          <w:szCs w:val="22"/>
        </w:rPr>
      </w:pPr>
      <w:r w:rsidRPr="009976F3">
        <w:rPr>
          <w:rFonts w:ascii="Times New Roman" w:hAnsi="Times New Roman"/>
          <w:i/>
          <w:color w:val="000000"/>
          <w:sz w:val="22"/>
          <w:szCs w:val="22"/>
        </w:rPr>
        <w:t>Washington, D.C.:</w:t>
      </w:r>
      <w:r w:rsidRPr="009976F3">
        <w:rPr>
          <w:rFonts w:ascii="Times New Roman" w:hAnsi="Times New Roman"/>
          <w:color w:val="000000"/>
          <w:sz w:val="22"/>
          <w:szCs w:val="22"/>
        </w:rPr>
        <w:t xml:space="preserve">  </w:t>
      </w:r>
      <w:r w:rsidR="00EE761D" w:rsidRPr="00EE761D">
        <w:rPr>
          <w:rFonts w:ascii="Times New Roman" w:hAnsi="Times New Roman"/>
          <w:color w:val="000000"/>
          <w:sz w:val="22"/>
          <w:szCs w:val="22"/>
        </w:rPr>
        <w:t xml:space="preserve">The Media Bureau today adopted an Order approving the $985 million Sinclair/Allbritton transaction after the parties agreed to amend the proposal in three markets to </w:t>
      </w:r>
      <w:r w:rsidR="00EE761D">
        <w:rPr>
          <w:rFonts w:ascii="Times New Roman" w:hAnsi="Times New Roman"/>
          <w:color w:val="000000"/>
          <w:sz w:val="22"/>
          <w:szCs w:val="22"/>
        </w:rPr>
        <w:t>comply with our ownership rules:</w:t>
      </w:r>
    </w:p>
    <w:p w:rsidR="00EE761D" w:rsidRDefault="00EE761D" w:rsidP="00EE761D">
      <w:pPr>
        <w:rPr>
          <w:rFonts w:ascii="Times New Roman" w:hAnsi="Times New Roman"/>
          <w:color w:val="000000"/>
          <w:sz w:val="22"/>
          <w:szCs w:val="22"/>
        </w:rPr>
      </w:pPr>
    </w:p>
    <w:p w:rsidR="00EE761D" w:rsidRDefault="00EE761D" w:rsidP="00EE761D">
      <w:pPr>
        <w:numPr>
          <w:ilvl w:val="0"/>
          <w:numId w:val="16"/>
        </w:numPr>
        <w:rPr>
          <w:rFonts w:ascii="Times New Roman" w:hAnsi="Times New Roman"/>
          <w:color w:val="000000"/>
          <w:sz w:val="22"/>
          <w:szCs w:val="22"/>
        </w:rPr>
      </w:pPr>
      <w:r w:rsidRPr="00EE761D">
        <w:rPr>
          <w:rFonts w:ascii="Times New Roman" w:hAnsi="Times New Roman"/>
          <w:color w:val="000000"/>
          <w:sz w:val="22"/>
          <w:szCs w:val="22"/>
        </w:rPr>
        <w:t>Consistent with DOJ review, Sinclair will divest the station in the Harrisburg market.</w:t>
      </w:r>
    </w:p>
    <w:p w:rsidR="00EE761D" w:rsidRPr="00EE761D" w:rsidRDefault="00EE761D" w:rsidP="00EE761D">
      <w:pPr>
        <w:ind w:left="360"/>
        <w:rPr>
          <w:rFonts w:ascii="Times New Roman" w:hAnsi="Times New Roman"/>
          <w:color w:val="000000"/>
          <w:sz w:val="22"/>
          <w:szCs w:val="22"/>
        </w:rPr>
      </w:pPr>
    </w:p>
    <w:p w:rsidR="00EE761D" w:rsidRDefault="006412A9" w:rsidP="00EE761D">
      <w:pPr>
        <w:numPr>
          <w:ilvl w:val="0"/>
          <w:numId w:val="16"/>
        </w:numPr>
        <w:rPr>
          <w:rFonts w:ascii="Times New Roman" w:hAnsi="Times New Roman"/>
          <w:color w:val="000000"/>
          <w:sz w:val="22"/>
          <w:szCs w:val="22"/>
        </w:rPr>
      </w:pPr>
      <w:r>
        <w:rPr>
          <w:rFonts w:ascii="Times New Roman" w:hAnsi="Times New Roman"/>
          <w:color w:val="000000"/>
          <w:sz w:val="22"/>
          <w:szCs w:val="22"/>
        </w:rPr>
        <w:t xml:space="preserve">To comply with </w:t>
      </w:r>
      <w:r w:rsidR="00EE761D" w:rsidRPr="00EE761D">
        <w:rPr>
          <w:rFonts w:ascii="Times New Roman" w:hAnsi="Times New Roman"/>
          <w:color w:val="000000"/>
          <w:sz w:val="22"/>
          <w:szCs w:val="22"/>
        </w:rPr>
        <w:t xml:space="preserve">our local TV ownership rule, Sinclair will deliver the programming of stations in the Birmingham and Charleston markets via digital multicasting.  This means that Sinclair will put the full programming of the stations on the digital signal of </w:t>
      </w:r>
      <w:r w:rsidR="00EE761D">
        <w:rPr>
          <w:rFonts w:ascii="Times New Roman" w:hAnsi="Times New Roman"/>
          <w:color w:val="000000"/>
          <w:sz w:val="22"/>
          <w:szCs w:val="22"/>
        </w:rPr>
        <w:t>the stations it already own</w:t>
      </w:r>
      <w:r w:rsidR="006378C1">
        <w:rPr>
          <w:rFonts w:ascii="Times New Roman" w:hAnsi="Times New Roman"/>
          <w:color w:val="000000"/>
          <w:sz w:val="22"/>
          <w:szCs w:val="22"/>
        </w:rPr>
        <w:t>s</w:t>
      </w:r>
      <w:r w:rsidR="00EE761D">
        <w:rPr>
          <w:rFonts w:ascii="Times New Roman" w:hAnsi="Times New Roman"/>
          <w:color w:val="000000"/>
          <w:sz w:val="22"/>
          <w:szCs w:val="22"/>
        </w:rPr>
        <w:t>.</w:t>
      </w:r>
      <w:r w:rsidR="00EE761D" w:rsidRPr="00EE761D">
        <w:rPr>
          <w:rFonts w:ascii="Times New Roman" w:hAnsi="Times New Roman"/>
          <w:color w:val="000000"/>
          <w:sz w:val="22"/>
          <w:szCs w:val="22"/>
        </w:rPr>
        <w:t xml:space="preserve">  The licenses of the </w:t>
      </w:r>
      <w:r w:rsidR="00EE761D">
        <w:rPr>
          <w:rFonts w:ascii="Times New Roman" w:hAnsi="Times New Roman"/>
          <w:color w:val="000000"/>
          <w:sz w:val="22"/>
          <w:szCs w:val="22"/>
        </w:rPr>
        <w:t xml:space="preserve">Allbritton </w:t>
      </w:r>
      <w:r w:rsidR="00EE761D" w:rsidRPr="00EE761D">
        <w:rPr>
          <w:rFonts w:ascii="Times New Roman" w:hAnsi="Times New Roman"/>
          <w:color w:val="000000"/>
          <w:sz w:val="22"/>
          <w:szCs w:val="22"/>
        </w:rPr>
        <w:t xml:space="preserve">stations that previously broadcast that programming will therefore be returned to the Commission.  </w:t>
      </w:r>
      <w:r w:rsidR="00EE761D">
        <w:rPr>
          <w:rFonts w:ascii="Times New Roman" w:hAnsi="Times New Roman"/>
          <w:color w:val="000000"/>
          <w:sz w:val="22"/>
          <w:szCs w:val="22"/>
        </w:rPr>
        <w:t>Most importantly, c</w:t>
      </w:r>
      <w:r w:rsidR="00EE761D" w:rsidRPr="00EE761D">
        <w:rPr>
          <w:rFonts w:ascii="Times New Roman" w:hAnsi="Times New Roman"/>
          <w:color w:val="000000"/>
          <w:sz w:val="22"/>
          <w:szCs w:val="22"/>
        </w:rPr>
        <w:t>onsumers will lose no programmin</w:t>
      </w:r>
      <w:r w:rsidR="00EE761D">
        <w:rPr>
          <w:rFonts w:ascii="Times New Roman" w:hAnsi="Times New Roman"/>
          <w:color w:val="000000"/>
          <w:sz w:val="22"/>
          <w:szCs w:val="22"/>
        </w:rPr>
        <w:t xml:space="preserve">g currently available to them. </w:t>
      </w:r>
    </w:p>
    <w:p w:rsidR="00EE761D" w:rsidRPr="00EE761D" w:rsidRDefault="00EE761D" w:rsidP="00EE761D">
      <w:pPr>
        <w:rPr>
          <w:rFonts w:ascii="Times New Roman" w:hAnsi="Times New Roman"/>
          <w:color w:val="000000"/>
          <w:sz w:val="22"/>
          <w:szCs w:val="22"/>
        </w:rPr>
      </w:pPr>
    </w:p>
    <w:p w:rsidR="00EE761D" w:rsidRDefault="00796E3A" w:rsidP="00EE761D">
      <w:pPr>
        <w:numPr>
          <w:ilvl w:val="0"/>
          <w:numId w:val="16"/>
        </w:numPr>
        <w:rPr>
          <w:rFonts w:ascii="Times New Roman" w:hAnsi="Times New Roman"/>
          <w:color w:val="000000"/>
          <w:sz w:val="22"/>
          <w:szCs w:val="22"/>
        </w:rPr>
      </w:pPr>
      <w:r>
        <w:rPr>
          <w:rFonts w:ascii="Times New Roman" w:hAnsi="Times New Roman"/>
          <w:color w:val="000000"/>
          <w:sz w:val="22"/>
          <w:szCs w:val="22"/>
        </w:rPr>
        <w:t>T</w:t>
      </w:r>
      <w:r w:rsidR="00EE761D" w:rsidRPr="00EE761D">
        <w:rPr>
          <w:rFonts w:ascii="Times New Roman" w:hAnsi="Times New Roman"/>
          <w:color w:val="000000"/>
          <w:sz w:val="22"/>
          <w:szCs w:val="22"/>
        </w:rPr>
        <w:t>he originally proposed sidecar arrangements with Howard Stirk Holdings and Deerfield will not be included in the transaction</w:t>
      </w:r>
      <w:r w:rsidR="00EE761D">
        <w:rPr>
          <w:rFonts w:ascii="Times New Roman" w:hAnsi="Times New Roman"/>
          <w:color w:val="000000"/>
          <w:sz w:val="22"/>
          <w:szCs w:val="22"/>
        </w:rPr>
        <w:t>.</w:t>
      </w:r>
    </w:p>
    <w:p w:rsidR="00EE761D" w:rsidRPr="00EE761D" w:rsidRDefault="00EE761D" w:rsidP="00EE761D">
      <w:pPr>
        <w:ind w:left="720"/>
        <w:rPr>
          <w:rFonts w:ascii="Times New Roman" w:hAnsi="Times New Roman"/>
          <w:color w:val="000000"/>
          <w:sz w:val="22"/>
          <w:szCs w:val="22"/>
        </w:rPr>
      </w:pPr>
    </w:p>
    <w:p w:rsidR="00EE761D" w:rsidRDefault="00EE761D" w:rsidP="00EE761D">
      <w:pPr>
        <w:numPr>
          <w:ilvl w:val="0"/>
          <w:numId w:val="16"/>
        </w:numPr>
        <w:rPr>
          <w:rFonts w:ascii="Times New Roman" w:hAnsi="Times New Roman"/>
          <w:color w:val="000000"/>
          <w:sz w:val="22"/>
          <w:szCs w:val="22"/>
        </w:rPr>
      </w:pPr>
      <w:r w:rsidRPr="00EE761D">
        <w:rPr>
          <w:rFonts w:ascii="Times New Roman" w:hAnsi="Times New Roman"/>
          <w:color w:val="000000"/>
          <w:sz w:val="22"/>
          <w:szCs w:val="22"/>
        </w:rPr>
        <w:t>To comply with our local TV ownership rule, Sinclair will terminate an improper sharing arrangement in the Charleston, South Carolina market.</w:t>
      </w:r>
    </w:p>
    <w:p w:rsidR="00EE761D" w:rsidRDefault="00EE761D" w:rsidP="009976F3">
      <w:pPr>
        <w:rPr>
          <w:rFonts w:ascii="Times New Roman" w:hAnsi="Times New Roman"/>
          <w:color w:val="000000"/>
          <w:sz w:val="22"/>
          <w:szCs w:val="22"/>
        </w:rPr>
      </w:pPr>
    </w:p>
    <w:p w:rsidR="009976F3" w:rsidRPr="009976F3" w:rsidRDefault="009976F3" w:rsidP="009976F3">
      <w:pPr>
        <w:rPr>
          <w:rFonts w:ascii="Times New Roman" w:hAnsi="Times New Roman"/>
          <w:color w:val="000000"/>
          <w:sz w:val="22"/>
          <w:szCs w:val="22"/>
        </w:rPr>
      </w:pPr>
      <w:r w:rsidRPr="009976F3">
        <w:rPr>
          <w:rFonts w:ascii="Times New Roman" w:hAnsi="Times New Roman"/>
          <w:color w:val="000000"/>
          <w:sz w:val="22"/>
          <w:szCs w:val="22"/>
        </w:rPr>
        <w:t xml:space="preserve">The Order released today approving the transaction between Sinclair and Allbritton exemplifies the careful scrutiny the Bureau will provide to broadcast transactions that propose new combinations of sharing arrangements and financial entanglements between a dominant licensee and a so-called sidecar entity. </w:t>
      </w:r>
      <w:r w:rsidR="00EE761D">
        <w:rPr>
          <w:rFonts w:ascii="Times New Roman" w:hAnsi="Times New Roman"/>
          <w:color w:val="000000"/>
          <w:sz w:val="22"/>
          <w:szCs w:val="22"/>
        </w:rPr>
        <w:t xml:space="preserve"> </w:t>
      </w:r>
      <w:r w:rsidRPr="009976F3">
        <w:rPr>
          <w:rFonts w:ascii="Times New Roman" w:hAnsi="Times New Roman"/>
          <w:color w:val="000000"/>
          <w:sz w:val="22"/>
          <w:szCs w:val="22"/>
        </w:rPr>
        <w:t>The Media Bureau has demonstrated clearly that it will not allow such combined arrangements to undermine the local TV ownership rule</w:t>
      </w:r>
      <w:r w:rsidR="006378C1">
        <w:rPr>
          <w:rFonts w:ascii="Times New Roman" w:hAnsi="Times New Roman"/>
          <w:color w:val="000000"/>
          <w:sz w:val="22"/>
          <w:szCs w:val="22"/>
        </w:rPr>
        <w:t xml:space="preserve">, </w:t>
      </w:r>
      <w:r w:rsidR="00EF740E" w:rsidRPr="00EF740E">
        <w:rPr>
          <w:rFonts w:ascii="Times New Roman" w:hAnsi="Times New Roman"/>
          <w:color w:val="000000"/>
          <w:sz w:val="22"/>
          <w:szCs w:val="22"/>
        </w:rPr>
        <w:t>which is in place to ensure competition and diverse voices on the airwaves</w:t>
      </w:r>
      <w:r w:rsidR="00EF740E">
        <w:rPr>
          <w:rFonts w:ascii="Times New Roman" w:hAnsi="Times New Roman"/>
          <w:color w:val="000000"/>
          <w:sz w:val="22"/>
          <w:szCs w:val="22"/>
        </w:rPr>
        <w:t>.</w:t>
      </w:r>
    </w:p>
    <w:p w:rsidR="009976F3" w:rsidRPr="009976F3" w:rsidRDefault="009976F3" w:rsidP="009976F3">
      <w:pPr>
        <w:rPr>
          <w:rFonts w:ascii="Times New Roman" w:hAnsi="Times New Roman"/>
          <w:color w:val="000000"/>
          <w:sz w:val="22"/>
          <w:szCs w:val="22"/>
        </w:rPr>
      </w:pPr>
    </w:p>
    <w:p w:rsidR="009976F3" w:rsidRDefault="009976F3" w:rsidP="009976F3">
      <w:pPr>
        <w:rPr>
          <w:rFonts w:ascii="Times New Roman" w:hAnsi="Times New Roman"/>
          <w:color w:val="000000"/>
          <w:sz w:val="22"/>
          <w:szCs w:val="22"/>
        </w:rPr>
      </w:pPr>
      <w:r w:rsidRPr="009976F3">
        <w:rPr>
          <w:rFonts w:ascii="Times New Roman" w:hAnsi="Times New Roman"/>
          <w:color w:val="000000"/>
          <w:sz w:val="22"/>
          <w:szCs w:val="22"/>
        </w:rPr>
        <w:t>When the Commission adopted the Joint Sales Agreement Order in March, the Chairman announced a two-fold goal</w:t>
      </w:r>
      <w:r w:rsidR="006518EF">
        <w:rPr>
          <w:rFonts w:ascii="Times New Roman" w:hAnsi="Times New Roman"/>
          <w:color w:val="000000"/>
          <w:sz w:val="22"/>
          <w:szCs w:val="22"/>
        </w:rPr>
        <w:t xml:space="preserve">: </w:t>
      </w:r>
      <w:r w:rsidRPr="009976F3">
        <w:rPr>
          <w:rFonts w:ascii="Times New Roman" w:hAnsi="Times New Roman"/>
          <w:color w:val="000000"/>
          <w:sz w:val="22"/>
          <w:szCs w:val="22"/>
        </w:rPr>
        <w:t xml:space="preserve"> to close off what had become a growing end-run around our local TV ownership rule, while ensuring prompt and careful review of proposed transactions that advance our public interest mandate.  The Order released today is consistent with those goals and with our broader mandates to ensure continued access to programming and encourage competition in the marketplace.  Consumers deserve access to as many truly independent broadcast voices as possible, and our actions in this area follow through on our commitment to that objective.   </w:t>
      </w:r>
    </w:p>
    <w:p w:rsidR="00EF740E" w:rsidRPr="009976F3" w:rsidRDefault="00EF740E" w:rsidP="009976F3">
      <w:pPr>
        <w:rPr>
          <w:rFonts w:ascii="Times New Roman" w:hAnsi="Times New Roman"/>
          <w:color w:val="000000"/>
          <w:sz w:val="22"/>
          <w:szCs w:val="22"/>
        </w:rPr>
      </w:pPr>
    </w:p>
    <w:p w:rsidR="00DE26FF" w:rsidRPr="009976F3" w:rsidRDefault="00DE26FF" w:rsidP="009D09B6">
      <w:pPr>
        <w:jc w:val="center"/>
        <w:rPr>
          <w:rFonts w:ascii="Times New Roman" w:hAnsi="Times New Roman"/>
          <w:color w:val="000000"/>
          <w:sz w:val="22"/>
          <w:szCs w:val="22"/>
        </w:rPr>
      </w:pPr>
      <w:r w:rsidRPr="009976F3">
        <w:rPr>
          <w:rFonts w:ascii="Times New Roman" w:hAnsi="Times New Roman"/>
          <w:color w:val="000000"/>
          <w:sz w:val="22"/>
          <w:szCs w:val="22"/>
        </w:rPr>
        <w:t>-FCC-</w:t>
      </w:r>
    </w:p>
    <w:sectPr w:rsidR="00DE26FF" w:rsidRPr="009976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15" w:rsidRDefault="007E6815">
      <w:r>
        <w:separator/>
      </w:r>
    </w:p>
  </w:endnote>
  <w:endnote w:type="continuationSeparator" w:id="0">
    <w:p w:rsidR="007E6815" w:rsidRDefault="007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5B" w:rsidRDefault="00B3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5B" w:rsidRDefault="00B36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5B" w:rsidRDefault="00B3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15" w:rsidRDefault="007E6815">
      <w:r>
        <w:separator/>
      </w:r>
    </w:p>
  </w:footnote>
  <w:footnote w:type="continuationSeparator" w:id="0">
    <w:p w:rsidR="007E6815" w:rsidRDefault="007E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5B" w:rsidRDefault="00B36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5B" w:rsidRDefault="00B36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F" w:rsidRDefault="001D6C70">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DE26FF">
      <w:t>NEWS</w:t>
    </w:r>
  </w:p>
  <w:p w:rsidR="00DE26FF" w:rsidRDefault="001D6C7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6FF" w:rsidRDefault="00DE26FF">
                          <w:pPr>
                            <w:spacing w:before="40"/>
                            <w:jc w:val="right"/>
                            <w:rPr>
                              <w:b/>
                              <w:sz w:val="16"/>
                            </w:rPr>
                          </w:pPr>
                          <w:r>
                            <w:rPr>
                              <w:b/>
                              <w:sz w:val="16"/>
                            </w:rPr>
                            <w:t>News Media Information 202 / 418-0500</w:t>
                          </w:r>
                        </w:p>
                        <w:p w:rsidR="00DE26FF" w:rsidRDefault="00DE26FF">
                          <w:pPr>
                            <w:pStyle w:val="Heading3"/>
                            <w:jc w:val="right"/>
                          </w:pPr>
                          <w:r>
                            <w:tab/>
                            <w:t>Internet: http://www.fcc.gov</w:t>
                          </w:r>
                        </w:p>
                        <w:p w:rsidR="00DE26FF" w:rsidRDefault="00DE26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DE26FF" w:rsidRDefault="00DE26FF">
                    <w:pPr>
                      <w:spacing w:before="40"/>
                      <w:jc w:val="right"/>
                      <w:rPr>
                        <w:b/>
                        <w:sz w:val="16"/>
                      </w:rPr>
                    </w:pPr>
                    <w:r>
                      <w:rPr>
                        <w:b/>
                        <w:sz w:val="16"/>
                      </w:rPr>
                      <w:t>News Media Information 202 / 418-0500</w:t>
                    </w:r>
                  </w:p>
                  <w:p w:rsidR="00DE26FF" w:rsidRDefault="00DE26FF">
                    <w:pPr>
                      <w:pStyle w:val="Heading3"/>
                      <w:jc w:val="right"/>
                    </w:pPr>
                    <w:r>
                      <w:tab/>
                      <w:t>Internet: http://www.fcc.gov</w:t>
                    </w:r>
                  </w:p>
                  <w:p w:rsidR="00DE26FF" w:rsidRDefault="00DE26FF">
                    <w:pPr>
                      <w:pStyle w:val="Heading4"/>
                      <w:rPr>
                        <w:b w:val="0"/>
                      </w:rPr>
                    </w:pPr>
                    <w:r>
                      <w:t>TTY: 1-888-835-5322</w:t>
                    </w:r>
                  </w:p>
                </w:txbxContent>
              </v:textbox>
            </v:shape>
          </w:pict>
        </mc:Fallback>
      </mc:AlternateContent>
    </w:r>
    <w:r w:rsidR="00DE26FF">
      <w:rPr>
        <w:b/>
        <w:sz w:val="22"/>
      </w:rPr>
      <w:t>Federal Communications Commission</w:t>
    </w:r>
  </w:p>
  <w:p w:rsidR="00DE26FF" w:rsidRDefault="00DE26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DE26FF" w:rsidRDefault="00DE26FF">
    <w:pPr>
      <w:tabs>
        <w:tab w:val="left" w:pos="-720"/>
      </w:tabs>
      <w:suppressAutoHyphens/>
      <w:ind w:right="-540"/>
      <w:rPr>
        <w:b/>
        <w:sz w:val="22"/>
      </w:rPr>
    </w:pPr>
    <w:r>
      <w:rPr>
        <w:b/>
        <w:sz w:val="22"/>
      </w:rPr>
      <w:t>Washington, D. C.  20554</w:t>
    </w:r>
  </w:p>
  <w:p w:rsidR="00DE26FF" w:rsidRDefault="001D6C70">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DE26FF" w:rsidRDefault="00DE26FF">
    <w:pPr>
      <w:tabs>
        <w:tab w:val="left" w:pos="-720"/>
      </w:tabs>
      <w:suppressAutoHyphens/>
      <w:rPr>
        <w:b/>
        <w:sz w:val="12"/>
      </w:rPr>
    </w:pPr>
    <w:r>
      <w:rPr>
        <w:b/>
        <w:sz w:val="12"/>
      </w:rPr>
      <w:t>This is an unofficial announcement of Commission action.  Release of the full text of a Commission order constitutes official action.</w:t>
    </w:r>
  </w:p>
  <w:p w:rsidR="00DE26FF" w:rsidRDefault="00DE26FF">
    <w:pPr>
      <w:tabs>
        <w:tab w:val="left" w:pos="-720"/>
      </w:tabs>
      <w:suppressAutoHyphens/>
      <w:rPr>
        <w:b/>
        <w:sz w:val="12"/>
      </w:rPr>
    </w:pPr>
    <w:r>
      <w:rPr>
        <w:b/>
        <w:sz w:val="12"/>
      </w:rPr>
      <w:t>See MCI v. FCC. 515 F 2d 385 (D.C. Circ 1974).</w:t>
    </w:r>
  </w:p>
  <w:p w:rsidR="00DE26FF" w:rsidRDefault="001D6C70">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A02D6B"/>
    <w:multiLevelType w:val="hybridMultilevel"/>
    <w:tmpl w:val="BBE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F3"/>
    <w:rsid w:val="001567D6"/>
    <w:rsid w:val="001B0317"/>
    <w:rsid w:val="001D6C70"/>
    <w:rsid w:val="00332CC2"/>
    <w:rsid w:val="0035786C"/>
    <w:rsid w:val="005C5909"/>
    <w:rsid w:val="0063745E"/>
    <w:rsid w:val="006378C1"/>
    <w:rsid w:val="006412A9"/>
    <w:rsid w:val="006518EF"/>
    <w:rsid w:val="00695CE5"/>
    <w:rsid w:val="00796E3A"/>
    <w:rsid w:val="007B2444"/>
    <w:rsid w:val="007E6815"/>
    <w:rsid w:val="009847FC"/>
    <w:rsid w:val="009976F3"/>
    <w:rsid w:val="009D09B6"/>
    <w:rsid w:val="00B36D5B"/>
    <w:rsid w:val="00BA1E1D"/>
    <w:rsid w:val="00C237B8"/>
    <w:rsid w:val="00DA1048"/>
    <w:rsid w:val="00DE26FF"/>
    <w:rsid w:val="00E62110"/>
    <w:rsid w:val="00EE761D"/>
    <w:rsid w:val="00EF740E"/>
    <w:rsid w:val="00F6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semiHidden/>
    <w:rPr>
      <w:rFonts w:ascii="Times New Roman" w:hAnsi="Times New Roman" w:cs="Times New Roman"/>
      <w:spacing w:val="-2"/>
      <w:sz w:val="22"/>
      <w:vertAlign w:val="superscript"/>
    </w:rPr>
  </w:style>
  <w:style w:type="paragraph" w:styleId="FootnoteText">
    <w:name w:val="footnote text"/>
    <w:basedOn w:val="Normal"/>
    <w:link w:val="FootnoteTextChar"/>
    <w:semiHidden/>
    <w:pPr>
      <w:widowControl w:val="0"/>
    </w:pPr>
    <w:rPr>
      <w:rFonts w:ascii="Times New Roman" w:hAnsi="Times New Roman"/>
      <w:sz w:val="20"/>
    </w:rPr>
  </w:style>
  <w:style w:type="character" w:customStyle="1" w:styleId="FootnoteTextChar">
    <w:name w:val="Footnote Text Char"/>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paragraph" w:styleId="ListParagraph">
    <w:name w:val="List Paragraph"/>
    <w:basedOn w:val="Normal"/>
    <w:uiPriority w:val="34"/>
    <w:qFormat/>
    <w:rsid w:val="00EE761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semiHidden/>
    <w:rPr>
      <w:rFonts w:ascii="Times New Roman" w:hAnsi="Times New Roman" w:cs="Times New Roman"/>
      <w:spacing w:val="-2"/>
      <w:sz w:val="22"/>
      <w:vertAlign w:val="superscript"/>
    </w:rPr>
  </w:style>
  <w:style w:type="paragraph" w:styleId="FootnoteText">
    <w:name w:val="footnote text"/>
    <w:basedOn w:val="Normal"/>
    <w:link w:val="FootnoteTextChar"/>
    <w:semiHidden/>
    <w:pPr>
      <w:widowControl w:val="0"/>
    </w:pPr>
    <w:rPr>
      <w:rFonts w:ascii="Times New Roman" w:hAnsi="Times New Roman"/>
      <w:sz w:val="20"/>
    </w:rPr>
  </w:style>
  <w:style w:type="character" w:customStyle="1" w:styleId="FootnoteTextChar">
    <w:name w:val="Footnote Text Char"/>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paragraph" w:styleId="ListParagraph">
    <w:name w:val="List Paragraph"/>
    <w:basedOn w:val="Normal"/>
    <w:uiPriority w:val="34"/>
    <w:qFormat/>
    <w:rsid w:val="00EE76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6588">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2478</CharactersWithSpaces>
  <SharedDoc>false</SharedDoc>
  <HyperlinkBase> </HyperlinkBase>
  <HLinks>
    <vt:vector size="6" baseType="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2009-12-31T20:37:00Z</cp:lastPrinted>
  <dcterms:created xsi:type="dcterms:W3CDTF">2014-07-24T21:49:00Z</dcterms:created>
  <dcterms:modified xsi:type="dcterms:W3CDTF">2014-07-24T21:49:00Z</dcterms:modified>
  <cp:category> </cp:category>
  <cp:contentStatus> </cp:contentStatus>
</cp:coreProperties>
</file>