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61" w:rsidRPr="00DC4F48" w:rsidRDefault="00D60C61" w:rsidP="00A450D6">
      <w:pPr>
        <w:pStyle w:val="NoSpacing"/>
        <w:jc w:val="center"/>
        <w:rPr>
          <w:b/>
        </w:rPr>
      </w:pPr>
      <w:bookmarkStart w:id="0" w:name="_GoBack"/>
      <w:bookmarkEnd w:id="0"/>
      <w:r w:rsidRPr="00DC4F48">
        <w:rPr>
          <w:b/>
        </w:rPr>
        <w:t>SPECIAL ACCESS DATA COLLECTION</w:t>
      </w:r>
    </w:p>
    <w:p w:rsidR="00C91C66" w:rsidRDefault="00D60C61" w:rsidP="00A450D6">
      <w:pPr>
        <w:pStyle w:val="NoSpacing"/>
        <w:jc w:val="center"/>
        <w:rPr>
          <w:b/>
          <w:i/>
        </w:rPr>
      </w:pPr>
      <w:r w:rsidRPr="00DC4F48">
        <w:rPr>
          <w:b/>
          <w:i/>
        </w:rPr>
        <w:t>Frequently Asked Questions</w:t>
      </w:r>
    </w:p>
    <w:p w:rsidR="0093324C" w:rsidRPr="00DC4F48" w:rsidRDefault="0093324C" w:rsidP="00A450D6">
      <w:pPr>
        <w:pStyle w:val="NoSpacing"/>
        <w:jc w:val="center"/>
        <w:rPr>
          <w:b/>
          <w:i/>
        </w:rPr>
      </w:pPr>
      <w:r>
        <w:rPr>
          <w:b/>
          <w:i/>
        </w:rPr>
        <w:t>As of October 1, 2014</w:t>
      </w:r>
    </w:p>
    <w:p w:rsidR="00D60C61" w:rsidRPr="00DC4F48" w:rsidRDefault="00D60C61" w:rsidP="00A450D6">
      <w:pPr>
        <w:pStyle w:val="NoSpacing"/>
      </w:pPr>
    </w:p>
    <w:p w:rsidR="00D237A3" w:rsidRPr="00A27B37" w:rsidRDefault="002B5DB0" w:rsidP="00A450D6">
      <w:pPr>
        <w:pStyle w:val="NoSpacing"/>
      </w:pPr>
      <w:r w:rsidRPr="00A27B37">
        <w:t>As used below, all capitalized and italicized terms (e.g.</w:t>
      </w:r>
      <w:r w:rsidR="00653597">
        <w:t>,</w:t>
      </w:r>
      <w:r>
        <w:rPr>
          <w:i/>
        </w:rPr>
        <w:t xml:space="preserve"> Purchaser</w:t>
      </w:r>
      <w:r w:rsidRPr="00A27B37">
        <w:t xml:space="preserve">, </w:t>
      </w:r>
      <w:r>
        <w:rPr>
          <w:i/>
        </w:rPr>
        <w:t>Provider</w:t>
      </w:r>
      <w:r w:rsidRPr="00A27B37">
        <w:t xml:space="preserve">, etc.) are defined terms used </w:t>
      </w:r>
      <w:r w:rsidR="00D237A3" w:rsidRPr="00A27B37">
        <w:t>for purposes of the data collection</w:t>
      </w:r>
      <w:r w:rsidRPr="00A27B37">
        <w:t xml:space="preserve">.  For definitions of these terms, please refer to </w:t>
      </w:r>
      <w:r w:rsidR="00D237A3" w:rsidRPr="00A27B37">
        <w:t>the</w:t>
      </w:r>
      <w:r w:rsidR="00D237A3" w:rsidRPr="005E4676">
        <w:t xml:space="preserve"> </w:t>
      </w:r>
      <w:hyperlink r:id="rId8" w:history="1">
        <w:r w:rsidR="00D237A3" w:rsidRPr="00A27B37">
          <w:rPr>
            <w:rStyle w:val="Hyperlink"/>
          </w:rPr>
          <w:t>Special Access Data Collection – Glossary of Terms</w:t>
        </w:r>
      </w:hyperlink>
      <w:r w:rsidR="00D237A3" w:rsidRPr="00A27B37">
        <w:t>.</w:t>
      </w:r>
    </w:p>
    <w:p w:rsidR="00D237A3" w:rsidRDefault="00D237A3" w:rsidP="00A450D6">
      <w:pPr>
        <w:pStyle w:val="NoSpacing"/>
        <w:rPr>
          <w:b/>
          <w:u w:val="single"/>
        </w:rPr>
      </w:pPr>
    </w:p>
    <w:p w:rsidR="00F35558" w:rsidRPr="00DC4F48" w:rsidRDefault="00C340B0" w:rsidP="00A450D6">
      <w:pPr>
        <w:pStyle w:val="NoSpacing"/>
        <w:rPr>
          <w:b/>
          <w:u w:val="single"/>
        </w:rPr>
      </w:pPr>
      <w:r>
        <w:rPr>
          <w:b/>
          <w:u w:val="single"/>
        </w:rPr>
        <w:t xml:space="preserve">GENERAL </w:t>
      </w:r>
    </w:p>
    <w:p w:rsidR="00310EB6" w:rsidRPr="00DC4F48" w:rsidRDefault="00310EB6" w:rsidP="001272E4">
      <w:pPr>
        <w:pStyle w:val="NoSpacing"/>
        <w:ind w:left="720"/>
      </w:pPr>
    </w:p>
    <w:p w:rsidR="00727BB8" w:rsidRPr="001272E4" w:rsidRDefault="00F35558" w:rsidP="009B6CA4">
      <w:pPr>
        <w:pStyle w:val="NoSpacing"/>
        <w:numPr>
          <w:ilvl w:val="0"/>
          <w:numId w:val="1"/>
        </w:numPr>
        <w:rPr>
          <w:b/>
        </w:rPr>
      </w:pPr>
      <w:r w:rsidRPr="001272E4">
        <w:rPr>
          <w:b/>
        </w:rPr>
        <w:t>What is special access?</w:t>
      </w:r>
      <w:r w:rsidR="0069088C" w:rsidRPr="001272E4">
        <w:rPr>
          <w:b/>
        </w:rPr>
        <w:t xml:space="preserve"> </w:t>
      </w:r>
    </w:p>
    <w:p w:rsidR="00310EB6" w:rsidRPr="001272E4" w:rsidRDefault="00FF266E" w:rsidP="00CD5D53">
      <w:pPr>
        <w:pStyle w:val="ListParagraph"/>
        <w:spacing w:line="240" w:lineRule="auto"/>
        <w:ind w:left="900"/>
        <w:rPr>
          <w:rFonts w:eastAsia="Calibri"/>
          <w:b/>
        </w:rPr>
      </w:pPr>
      <w:r w:rsidRPr="00D237A3">
        <w:rPr>
          <w:rFonts w:eastAsia="Calibri"/>
        </w:rPr>
        <w:t>Special a</w:t>
      </w:r>
      <w:r w:rsidR="00310EB6" w:rsidRPr="00D237A3">
        <w:rPr>
          <w:rFonts w:eastAsia="Calibri"/>
        </w:rPr>
        <w:t>ccess</w:t>
      </w:r>
      <w:r w:rsidRPr="00D237A3">
        <w:rPr>
          <w:rFonts w:eastAsia="Calibri"/>
        </w:rPr>
        <w:t xml:space="preserve"> services, or </w:t>
      </w:r>
      <w:hyperlink r:id="rId9" w:history="1">
        <w:r w:rsidR="004521B3" w:rsidRPr="00A27B37">
          <w:rPr>
            <w:rStyle w:val="Hyperlink"/>
            <w:i/>
            <w:color w:val="auto"/>
            <w:u w:val="none"/>
          </w:rPr>
          <w:t>Dedicated Services</w:t>
        </w:r>
      </w:hyperlink>
      <w:r w:rsidRPr="002B5DB0">
        <w:rPr>
          <w:rFonts w:eastAsia="Calibri"/>
        </w:rPr>
        <w:t>,</w:t>
      </w:r>
      <w:r w:rsidR="00310EB6" w:rsidRPr="002B5DB0">
        <w:rPr>
          <w:rFonts w:eastAsia="Calibri"/>
        </w:rPr>
        <w:t xml:space="preserve"> transport voice and data over a dedicated transmission line between two or more designated points at a rate of at least 1.5 megabytes per second (Mbps) upstream and downstream.  Spec</w:t>
      </w:r>
      <w:r w:rsidR="00154E5F" w:rsidRPr="00BD42E3">
        <w:rPr>
          <w:rFonts w:eastAsia="Calibri"/>
        </w:rPr>
        <w:t xml:space="preserve">ial access service encompasses </w:t>
      </w:r>
      <w:hyperlink r:id="rId10" w:history="1">
        <w:r w:rsidR="00941B6F" w:rsidRPr="00A27B37">
          <w:rPr>
            <w:rStyle w:val="Hyperlink"/>
            <w:i/>
            <w:color w:val="auto"/>
            <w:u w:val="none"/>
          </w:rPr>
          <w:t>Circuit-Based Dedicated Services (CBDSs)</w:t>
        </w:r>
      </w:hyperlink>
      <w:r w:rsidR="00941B6F" w:rsidRPr="002B5DB0">
        <w:rPr>
          <w:i/>
        </w:rPr>
        <w:t xml:space="preserve"> </w:t>
      </w:r>
      <w:r w:rsidR="00154E5F" w:rsidRPr="002B5DB0">
        <w:rPr>
          <w:rFonts w:eastAsia="Calibri"/>
        </w:rPr>
        <w:t xml:space="preserve">such </w:t>
      </w:r>
      <w:r w:rsidR="00154E5F">
        <w:rPr>
          <w:rFonts w:eastAsia="Calibri"/>
        </w:rPr>
        <w:t xml:space="preserve">as </w:t>
      </w:r>
      <w:r w:rsidR="00154E5F" w:rsidRPr="001372BA">
        <w:rPr>
          <w:rFonts w:eastAsia="Calibri"/>
          <w:i/>
        </w:rPr>
        <w:t xml:space="preserve">DS1s </w:t>
      </w:r>
      <w:r w:rsidR="00154E5F">
        <w:rPr>
          <w:rFonts w:eastAsia="Calibri"/>
        </w:rPr>
        <w:t xml:space="preserve">and </w:t>
      </w:r>
      <w:r w:rsidR="00154E5F" w:rsidRPr="001372BA">
        <w:rPr>
          <w:rFonts w:eastAsia="Calibri"/>
          <w:i/>
        </w:rPr>
        <w:t xml:space="preserve">DS3s </w:t>
      </w:r>
      <w:r w:rsidR="00154E5F">
        <w:rPr>
          <w:rFonts w:eastAsia="Calibri"/>
        </w:rPr>
        <w:t xml:space="preserve">and </w:t>
      </w:r>
      <w:r w:rsidR="00154E5F" w:rsidRPr="00154E5F">
        <w:rPr>
          <w:rFonts w:eastAsia="Calibri"/>
          <w:i/>
        </w:rPr>
        <w:t>Packet-Based Dedicated S</w:t>
      </w:r>
      <w:r w:rsidR="00310EB6" w:rsidRPr="00154E5F">
        <w:rPr>
          <w:rFonts w:eastAsia="Calibri"/>
          <w:i/>
        </w:rPr>
        <w:t>ervices (PBDS)</w:t>
      </w:r>
      <w:r w:rsidR="00310EB6" w:rsidRPr="00DC4F48">
        <w:rPr>
          <w:rFonts w:eastAsia="Calibri"/>
        </w:rPr>
        <w:t xml:space="preserve"> such as Ethernet.  For example, wireless providers use high capacity special access lines to send voice and data from cell towers to their mobile switching center where the call is then switched to the sender’s intended recipient.  Individual consumers, small businesses, government offices, hospitals, medical offices, schools, libraries, ATMs and credit card readers use special access to either connect to a dedicated network or to an Internet service provider for the completion of the transmission via the Internet.</w:t>
      </w:r>
    </w:p>
    <w:p w:rsidR="00F35558" w:rsidRPr="001272E4" w:rsidRDefault="00F35558" w:rsidP="009C7E16">
      <w:pPr>
        <w:pStyle w:val="NoSpacing"/>
        <w:numPr>
          <w:ilvl w:val="0"/>
          <w:numId w:val="1"/>
        </w:numPr>
        <w:rPr>
          <w:b/>
        </w:rPr>
      </w:pPr>
      <w:r w:rsidRPr="001272E4">
        <w:rPr>
          <w:b/>
        </w:rPr>
        <w:t xml:space="preserve">What is the purpose of the special access data collection? </w:t>
      </w:r>
    </w:p>
    <w:p w:rsidR="00310EB6" w:rsidRPr="00DC4F48" w:rsidRDefault="00EB497E" w:rsidP="00CE1C26">
      <w:pPr>
        <w:pStyle w:val="NoSpacing"/>
        <w:tabs>
          <w:tab w:val="left" w:pos="900"/>
        </w:tabs>
        <w:ind w:left="900"/>
      </w:pPr>
      <w:r w:rsidRPr="00DC4F48">
        <w:t xml:space="preserve">The FCC is </w:t>
      </w:r>
      <w:r w:rsidR="00E44BB7">
        <w:t xml:space="preserve">collecting data for an analysis of the broader special access market.  The analysis will help the FCC revise its </w:t>
      </w:r>
      <w:r w:rsidRPr="00DC4F48">
        <w:t>regulation</w:t>
      </w:r>
      <w:r w:rsidR="00E44BB7">
        <w:t>s</w:t>
      </w:r>
      <w:r w:rsidRPr="00DC4F48">
        <w:t xml:space="preserve"> </w:t>
      </w:r>
      <w:r w:rsidR="00E44BB7">
        <w:t xml:space="preserve">of the special access services provided by </w:t>
      </w:r>
      <w:r w:rsidRPr="00DC4F48">
        <w:t xml:space="preserve">larger traditional phone </w:t>
      </w:r>
      <w:r w:rsidR="00224B81">
        <w:t xml:space="preserve">companies—the “price cap” </w:t>
      </w:r>
      <w:r w:rsidR="00224B81" w:rsidRPr="00224B81">
        <w:rPr>
          <w:i/>
        </w:rPr>
        <w:t>Incumbent Local Exchange C</w:t>
      </w:r>
      <w:r w:rsidRPr="00224B81">
        <w:rPr>
          <w:i/>
        </w:rPr>
        <w:t>arriers (ILECs)</w:t>
      </w:r>
      <w:r w:rsidRPr="00DC4F48">
        <w:t xml:space="preserve"> such as AT&amp;T, Verizon, Qwest, etc.—to </w:t>
      </w:r>
      <w:r w:rsidR="00E44BB7">
        <w:t xml:space="preserve">target regulatory relief where there is sufficient competition </w:t>
      </w:r>
      <w:r w:rsidRPr="00DC4F48">
        <w:t xml:space="preserve">to ensure just and reasonable rates, terms, and conditions.  </w:t>
      </w:r>
      <w:r w:rsidR="00CE1C26">
        <w:t xml:space="preserve">For more information, see the </w:t>
      </w:r>
      <w:r w:rsidR="00CE1C26" w:rsidRPr="00CE1C26">
        <w:t>FCC</w:t>
      </w:r>
      <w:r w:rsidR="00E44BB7">
        <w:t>’s</w:t>
      </w:r>
      <w:r w:rsidR="00CE1C26" w:rsidRPr="00CE1C26">
        <w:t xml:space="preserve"> </w:t>
      </w:r>
      <w:hyperlink r:id="rId11" w:history="1">
        <w:r w:rsidR="00CE1C26">
          <w:rPr>
            <w:rStyle w:val="Hyperlink"/>
          </w:rPr>
          <w:t>Special Access Data Collection Overview</w:t>
        </w:r>
      </w:hyperlink>
      <w:r w:rsidR="00E44BB7">
        <w:t xml:space="preserve"> w</w:t>
      </w:r>
      <w:r w:rsidR="00CE1C26">
        <w:t>ebpage.</w:t>
      </w:r>
    </w:p>
    <w:p w:rsidR="00310EB6" w:rsidRPr="00DC4F48" w:rsidRDefault="00310EB6" w:rsidP="001272E4">
      <w:pPr>
        <w:pStyle w:val="NoSpacing"/>
      </w:pPr>
    </w:p>
    <w:p w:rsidR="007E0A8E" w:rsidRPr="007E0A8E" w:rsidRDefault="007E0A8E" w:rsidP="007E0A8E">
      <w:pPr>
        <w:pStyle w:val="NoSpacing"/>
        <w:numPr>
          <w:ilvl w:val="0"/>
          <w:numId w:val="1"/>
        </w:numPr>
        <w:rPr>
          <w:b/>
        </w:rPr>
      </w:pPr>
      <w:r w:rsidRPr="007E0A8E">
        <w:rPr>
          <w:b/>
        </w:rPr>
        <w:t xml:space="preserve">What is the Commission going to do with the data collected?  </w:t>
      </w:r>
    </w:p>
    <w:p w:rsidR="007E0A8E" w:rsidRPr="007E0A8E" w:rsidRDefault="007E0A8E" w:rsidP="007E0A8E">
      <w:pPr>
        <w:pStyle w:val="NoSpacing"/>
        <w:ind w:left="900"/>
      </w:pPr>
      <w:r w:rsidRPr="007E0A8E">
        <w:t xml:space="preserve">The </w:t>
      </w:r>
      <w:r w:rsidR="0093324C">
        <w:t xml:space="preserve">Commission is </w:t>
      </w:r>
      <w:r w:rsidRPr="007E0A8E">
        <w:t>collect</w:t>
      </w:r>
      <w:r w:rsidR="0093324C">
        <w:t xml:space="preserve">ing the data for a </w:t>
      </w:r>
      <w:r w:rsidRPr="007E0A8E">
        <w:t xml:space="preserve">comprehensive </w:t>
      </w:r>
      <w:r w:rsidR="0093324C">
        <w:t xml:space="preserve">market </w:t>
      </w:r>
      <w:r w:rsidR="00E44BB7">
        <w:t>analysis</w:t>
      </w:r>
      <w:r w:rsidR="0093324C">
        <w:t xml:space="preserve"> that will look at the number</w:t>
      </w:r>
      <w:r w:rsidR="00E44BB7">
        <w:t xml:space="preserve"> </w:t>
      </w:r>
      <w:r w:rsidR="0093324C">
        <w:t>special access providers</w:t>
      </w:r>
      <w:r w:rsidR="00E44BB7">
        <w:t xml:space="preserve">, facilities, </w:t>
      </w:r>
      <w:r w:rsidR="0093324C">
        <w:t xml:space="preserve">service offerings, </w:t>
      </w:r>
      <w:r w:rsidR="00E44BB7">
        <w:t>revenues, and expenditures</w:t>
      </w:r>
      <w:r w:rsidR="0093324C">
        <w:t xml:space="preserve"> nationwide in all price cap areas</w:t>
      </w:r>
      <w:r w:rsidRPr="007E0A8E">
        <w:t>.</w:t>
      </w:r>
      <w:r w:rsidR="0093324C">
        <w:t xml:space="preserve">  The Commission’s review is not limited to the legacy TDM-based services </w:t>
      </w:r>
      <w:r w:rsidR="00DA1089">
        <w:t xml:space="preserve">such as DS1s and DS3s </w:t>
      </w:r>
      <w:r w:rsidR="0093324C">
        <w:t>provided by larger traditional phone companies (ILECs) but also includes the packet-based service offerings of both phone companies and their competitors</w:t>
      </w:r>
      <w:r w:rsidR="00DA1089">
        <w:t xml:space="preserve"> such as Ethernet</w:t>
      </w:r>
      <w:r w:rsidR="0093324C">
        <w:t>.  For more information about the proposed analysis, see Dec. 2012 FNPRM.</w:t>
      </w:r>
    </w:p>
    <w:p w:rsidR="007E0A8E" w:rsidRDefault="007E0A8E" w:rsidP="007E0A8E">
      <w:pPr>
        <w:pStyle w:val="NoSpacing"/>
        <w:ind w:left="900"/>
        <w:rPr>
          <w:b/>
        </w:rPr>
      </w:pPr>
    </w:p>
    <w:p w:rsidR="00F35558" w:rsidRPr="00DC4F48" w:rsidRDefault="00F35558" w:rsidP="00A450D6">
      <w:pPr>
        <w:pStyle w:val="NoSpacing"/>
        <w:numPr>
          <w:ilvl w:val="0"/>
          <w:numId w:val="1"/>
        </w:numPr>
        <w:rPr>
          <w:b/>
        </w:rPr>
      </w:pPr>
      <w:r w:rsidRPr="00DC4F48">
        <w:rPr>
          <w:b/>
        </w:rPr>
        <w:t>Who must respond to the collection?</w:t>
      </w:r>
    </w:p>
    <w:p w:rsidR="005B7467" w:rsidRPr="00DC4F48" w:rsidRDefault="005447F8" w:rsidP="00CD5D53">
      <w:pPr>
        <w:pStyle w:val="NoSpacing"/>
        <w:ind w:left="900"/>
      </w:pPr>
      <w:r w:rsidRPr="005447F8">
        <w:rPr>
          <w:i/>
        </w:rPr>
        <w:t>Providers</w:t>
      </w:r>
      <w:r>
        <w:t xml:space="preserve"> and </w:t>
      </w:r>
      <w:r w:rsidRPr="005447F8">
        <w:rPr>
          <w:i/>
        </w:rPr>
        <w:t>P</w:t>
      </w:r>
      <w:r w:rsidR="005B7467" w:rsidRPr="005447F8">
        <w:rPr>
          <w:i/>
        </w:rPr>
        <w:t>urchasers</w:t>
      </w:r>
      <w:r w:rsidR="005B7467" w:rsidRPr="00DC4F48">
        <w:t xml:space="preserve"> of </w:t>
      </w:r>
      <w:r w:rsidR="00DA1089">
        <w:rPr>
          <w:i/>
        </w:rPr>
        <w:t>Dedicated Services</w:t>
      </w:r>
      <w:r w:rsidR="00C561C2">
        <w:rPr>
          <w:i/>
        </w:rPr>
        <w:t xml:space="preserve"> </w:t>
      </w:r>
      <w:r w:rsidR="005B7467" w:rsidRPr="00DC4F48">
        <w:t xml:space="preserve">and </w:t>
      </w:r>
      <w:r>
        <w:t xml:space="preserve">certain entities providing </w:t>
      </w:r>
      <w:r w:rsidRPr="005447F8">
        <w:rPr>
          <w:i/>
        </w:rPr>
        <w:t>Best E</w:t>
      </w:r>
      <w:r w:rsidR="005B7467" w:rsidRPr="005447F8">
        <w:rPr>
          <w:i/>
        </w:rPr>
        <w:t xml:space="preserve">fforts </w:t>
      </w:r>
      <w:r w:rsidRPr="005447F8">
        <w:rPr>
          <w:i/>
        </w:rPr>
        <w:t>B</w:t>
      </w:r>
      <w:r w:rsidR="005B7467" w:rsidRPr="005447F8">
        <w:rPr>
          <w:i/>
        </w:rPr>
        <w:t xml:space="preserve">usiness </w:t>
      </w:r>
      <w:r w:rsidRPr="005447F8">
        <w:rPr>
          <w:i/>
        </w:rPr>
        <w:t>Broadband Internet Access S</w:t>
      </w:r>
      <w:r w:rsidR="005B7467" w:rsidRPr="005447F8">
        <w:rPr>
          <w:i/>
        </w:rPr>
        <w:t>ervice</w:t>
      </w:r>
      <w:r w:rsidR="005B7467" w:rsidRPr="00DC4F48">
        <w:t xml:space="preserve"> in </w:t>
      </w:r>
      <w:r w:rsidR="00F01287" w:rsidRPr="00DC4F48">
        <w:t xml:space="preserve">study </w:t>
      </w:r>
      <w:r>
        <w:t xml:space="preserve">areas where the </w:t>
      </w:r>
      <w:r w:rsidRPr="005447F8">
        <w:rPr>
          <w:i/>
        </w:rPr>
        <w:t>Incumbent Local Exchange C</w:t>
      </w:r>
      <w:r w:rsidR="005B7467" w:rsidRPr="005447F8">
        <w:rPr>
          <w:i/>
        </w:rPr>
        <w:t>arrier (ILEC)</w:t>
      </w:r>
      <w:r w:rsidR="005B7467" w:rsidRPr="00DC4F48">
        <w:t xml:space="preserve"> is subject to price cap regulation</w:t>
      </w:r>
      <w:r w:rsidR="00284228" w:rsidRPr="00DC4F48">
        <w:t xml:space="preserve"> </w:t>
      </w:r>
      <w:r w:rsidR="00F01287" w:rsidRPr="00DC4F48">
        <w:t xml:space="preserve">must respond to the collection </w:t>
      </w:r>
      <w:r w:rsidR="00284228" w:rsidRPr="00DC4F48">
        <w:t>unless specifically excluded</w:t>
      </w:r>
      <w:r w:rsidR="005B7467" w:rsidRPr="00DC4F48">
        <w:t>.</w:t>
      </w:r>
      <w:r w:rsidR="00284228" w:rsidRPr="00DC4F48">
        <w:t xml:space="preserve">  </w:t>
      </w:r>
      <w:r w:rsidR="002D0ADD" w:rsidRPr="00DC4F48">
        <w:t xml:space="preserve">The collection captures data from </w:t>
      </w:r>
      <w:r w:rsidR="002D0ADD" w:rsidRPr="005447F8">
        <w:rPr>
          <w:i/>
        </w:rPr>
        <w:t>ILECs</w:t>
      </w:r>
      <w:r w:rsidR="002D0ADD" w:rsidRPr="00DC4F48">
        <w:t>,</w:t>
      </w:r>
      <w:r w:rsidR="00284228" w:rsidRPr="00DC4F48">
        <w:t xml:space="preserve"> competitive local exchange carriers (CLECs), interexchange carriers (IXCs), cable system operators, wireless providers</w:t>
      </w:r>
      <w:r w:rsidR="002D0ADD" w:rsidRPr="00DC4F48">
        <w:t>, or any other entity subject to the FCC’s jurisdiction that is not otherwise exempted</w:t>
      </w:r>
      <w:r w:rsidR="00284228" w:rsidRPr="00DC4F48">
        <w:t xml:space="preserve"> </w:t>
      </w:r>
      <w:r w:rsidR="002D0ADD" w:rsidRPr="00DC4F48">
        <w:t>that either provides a dedicated servi</w:t>
      </w:r>
      <w:r>
        <w:t xml:space="preserve">ce or a connection </w:t>
      </w:r>
      <w:r w:rsidR="00790B4A">
        <w:t>over which</w:t>
      </w:r>
      <w:r>
        <w:t xml:space="preserve"> a </w:t>
      </w:r>
      <w:r w:rsidRPr="005447F8">
        <w:rPr>
          <w:i/>
        </w:rPr>
        <w:t>Dedicated S</w:t>
      </w:r>
      <w:r w:rsidR="002D0ADD" w:rsidRPr="005447F8">
        <w:rPr>
          <w:i/>
        </w:rPr>
        <w:t>ervice</w:t>
      </w:r>
      <w:r w:rsidR="002D0ADD" w:rsidRPr="00DC4F48">
        <w:t xml:space="preserve"> could be provided as well as </w:t>
      </w:r>
      <w:r w:rsidR="00FD42EC" w:rsidRPr="00225F61">
        <w:rPr>
          <w:i/>
        </w:rPr>
        <w:t>End User</w:t>
      </w:r>
      <w:r w:rsidR="00FD42EC">
        <w:t xml:space="preserve">, i.e. </w:t>
      </w:r>
      <w:r w:rsidR="002D0ADD" w:rsidRPr="00DC4F48">
        <w:t>business, institutional or government entities</w:t>
      </w:r>
      <w:r w:rsidR="00FD42EC">
        <w:t xml:space="preserve">, that purchase </w:t>
      </w:r>
      <w:r w:rsidR="00FD42EC" w:rsidRPr="00FD42EC">
        <w:rPr>
          <w:i/>
        </w:rPr>
        <w:t>Dedicated S</w:t>
      </w:r>
      <w:r w:rsidR="002D0ADD" w:rsidRPr="00FD42EC">
        <w:rPr>
          <w:i/>
        </w:rPr>
        <w:t>ervices</w:t>
      </w:r>
      <w:r w:rsidR="002D0ADD" w:rsidRPr="00DC4F48">
        <w:t xml:space="preserve"> including wireless service providers.   </w:t>
      </w:r>
    </w:p>
    <w:p w:rsidR="005B7467" w:rsidRPr="00DC4F48" w:rsidRDefault="005B7467" w:rsidP="002D0ADD">
      <w:pPr>
        <w:pStyle w:val="NoSpacing"/>
      </w:pPr>
    </w:p>
    <w:p w:rsidR="005B7467" w:rsidRPr="00DC4F48" w:rsidRDefault="005B7467" w:rsidP="00A450D6">
      <w:pPr>
        <w:pStyle w:val="NoSpacing"/>
        <w:numPr>
          <w:ilvl w:val="0"/>
          <w:numId w:val="1"/>
        </w:numPr>
        <w:rPr>
          <w:b/>
        </w:rPr>
      </w:pPr>
      <w:r w:rsidRPr="00DC4F48">
        <w:rPr>
          <w:b/>
        </w:rPr>
        <w:lastRenderedPageBreak/>
        <w:t xml:space="preserve">How can I determine if I operate in </w:t>
      </w:r>
      <w:r w:rsidR="00284228" w:rsidRPr="00DC4F48">
        <w:rPr>
          <w:b/>
        </w:rPr>
        <w:t xml:space="preserve">a study </w:t>
      </w:r>
      <w:r w:rsidRPr="00DC4F48">
        <w:rPr>
          <w:b/>
        </w:rPr>
        <w:t xml:space="preserve">area where the </w:t>
      </w:r>
      <w:r w:rsidRPr="005447F8">
        <w:rPr>
          <w:b/>
          <w:i/>
        </w:rPr>
        <w:t>ILEC</w:t>
      </w:r>
      <w:r w:rsidRPr="00DC4F48">
        <w:rPr>
          <w:b/>
        </w:rPr>
        <w:t xml:space="preserve"> is subject to price cap regulation? </w:t>
      </w:r>
    </w:p>
    <w:p w:rsidR="0031300F" w:rsidRDefault="00BA1269" w:rsidP="0031300F">
      <w:pPr>
        <w:spacing w:line="240" w:lineRule="auto"/>
        <w:ind w:left="900"/>
        <w:contextualSpacing/>
        <w:rPr>
          <w:rFonts w:eastAsia="Calibri"/>
        </w:rPr>
      </w:pPr>
      <w:r>
        <w:rPr>
          <w:rFonts w:eastAsia="Calibri"/>
        </w:rPr>
        <w:t xml:space="preserve">A </w:t>
      </w:r>
      <w:hyperlink r:id="rId12" w:history="1">
        <w:r>
          <w:rPr>
            <w:rStyle w:val="Hyperlink"/>
            <w:rFonts w:eastAsia="Calibri"/>
          </w:rPr>
          <w:t>map</w:t>
        </w:r>
      </w:hyperlink>
      <w:r w:rsidRPr="00BA1269">
        <w:rPr>
          <w:rFonts w:eastAsia="Calibri"/>
        </w:rPr>
        <w:t xml:space="preserve"> depicting the study areas where the </w:t>
      </w:r>
      <w:r w:rsidRPr="00BA1269">
        <w:rPr>
          <w:rFonts w:eastAsia="Calibri"/>
          <w:i/>
        </w:rPr>
        <w:t>ILECs</w:t>
      </w:r>
      <w:r w:rsidRPr="00BA1269">
        <w:rPr>
          <w:rFonts w:eastAsia="Calibri"/>
        </w:rPr>
        <w:t xml:space="preserve"> are subject to price cap and rate-of</w:t>
      </w:r>
      <w:r>
        <w:rPr>
          <w:rFonts w:eastAsia="Calibri"/>
        </w:rPr>
        <w:t xml:space="preserve">-return </w:t>
      </w:r>
      <w:r w:rsidRPr="00BA1269">
        <w:rPr>
          <w:rFonts w:eastAsia="Calibri"/>
        </w:rPr>
        <w:t>regulation is available on the Commission’s website; the map will assist entities in determining</w:t>
      </w:r>
      <w:r>
        <w:rPr>
          <w:rFonts w:eastAsia="Calibri"/>
        </w:rPr>
        <w:t xml:space="preserve"> </w:t>
      </w:r>
      <w:r w:rsidRPr="00BA1269">
        <w:rPr>
          <w:rFonts w:eastAsia="Calibri"/>
        </w:rPr>
        <w:t xml:space="preserve">whether or not </w:t>
      </w:r>
      <w:r w:rsidR="00406ECD">
        <w:rPr>
          <w:rFonts w:eastAsia="Calibri"/>
        </w:rPr>
        <w:t>you</w:t>
      </w:r>
      <w:r w:rsidRPr="00BA1269">
        <w:rPr>
          <w:rFonts w:eastAsia="Calibri"/>
        </w:rPr>
        <w:t xml:space="preserve"> are providing or purchasing services in price cap areas</w:t>
      </w:r>
      <w:r>
        <w:rPr>
          <w:rFonts w:eastAsia="Calibri"/>
        </w:rPr>
        <w:t xml:space="preserve">.  </w:t>
      </w:r>
      <w:r w:rsidR="00547015">
        <w:rPr>
          <w:rFonts w:eastAsia="Calibri"/>
        </w:rPr>
        <w:t xml:space="preserve">You are only required to report information and data pertaining to those study areas where the </w:t>
      </w:r>
      <w:r w:rsidR="00547015" w:rsidRPr="005447F8">
        <w:rPr>
          <w:rFonts w:eastAsia="Calibri"/>
          <w:i/>
        </w:rPr>
        <w:t>ILEC</w:t>
      </w:r>
      <w:r w:rsidR="00547015">
        <w:rPr>
          <w:rFonts w:eastAsia="Calibri"/>
        </w:rPr>
        <w:t xml:space="preserve"> is subject to price cap regulation, not rate-of-return areas. </w:t>
      </w:r>
      <w:r w:rsidR="00DA1089">
        <w:rPr>
          <w:rFonts w:eastAsia="Calibri"/>
        </w:rPr>
        <w:t xml:space="preserve"> That said, entities can report information across their territories, including the rate-of-return areas, if they find it easier to do so.</w:t>
      </w:r>
    </w:p>
    <w:p w:rsidR="00094B39" w:rsidRPr="00094B39" w:rsidRDefault="0031300F" w:rsidP="00094B39">
      <w:pPr>
        <w:pStyle w:val="ListParagraph"/>
        <w:numPr>
          <w:ilvl w:val="0"/>
          <w:numId w:val="1"/>
        </w:numPr>
        <w:spacing w:line="240" w:lineRule="auto"/>
        <w:rPr>
          <w:rFonts w:eastAsia="Calibri"/>
          <w:b/>
        </w:rPr>
      </w:pPr>
      <w:r w:rsidRPr="0031300F">
        <w:rPr>
          <w:rFonts w:ascii="Calibri" w:eastAsia="Times New Roman" w:hAnsi="Calibri" w:cs="Calibri"/>
          <w:b/>
          <w:color w:val="000000"/>
        </w:rPr>
        <w:t xml:space="preserve">Am I required to respond if I operate in areas where the </w:t>
      </w:r>
      <w:r w:rsidRPr="00810BEE">
        <w:rPr>
          <w:rFonts w:ascii="Calibri" w:eastAsia="Times New Roman" w:hAnsi="Calibri" w:cs="Calibri"/>
          <w:b/>
          <w:i/>
          <w:color w:val="000000"/>
        </w:rPr>
        <w:t>Incumbent Local Exchange Carrier</w:t>
      </w:r>
      <w:r w:rsidRPr="0031300F">
        <w:rPr>
          <w:rFonts w:ascii="Calibri" w:eastAsia="Times New Roman" w:hAnsi="Calibri" w:cs="Calibri"/>
          <w:b/>
          <w:color w:val="000000"/>
        </w:rPr>
        <w:t xml:space="preserve"> (</w:t>
      </w:r>
      <w:r w:rsidRPr="00810BEE">
        <w:rPr>
          <w:rFonts w:ascii="Calibri" w:eastAsia="Times New Roman" w:hAnsi="Calibri" w:cs="Calibri"/>
          <w:b/>
          <w:i/>
          <w:color w:val="000000"/>
        </w:rPr>
        <w:t>ILEC</w:t>
      </w:r>
      <w:r w:rsidRPr="0031300F">
        <w:rPr>
          <w:rFonts w:ascii="Calibri" w:eastAsia="Times New Roman" w:hAnsi="Calibri" w:cs="Calibri"/>
          <w:b/>
          <w:color w:val="000000"/>
        </w:rPr>
        <w:t>) is subject to rate of return regulation?</w:t>
      </w:r>
    </w:p>
    <w:p w:rsidR="00094B39" w:rsidRDefault="00094B39" w:rsidP="00094B39">
      <w:pPr>
        <w:pStyle w:val="ListParagraph"/>
        <w:spacing w:line="240" w:lineRule="auto"/>
        <w:ind w:left="900"/>
        <w:rPr>
          <w:rFonts w:ascii="Calibri" w:eastAsia="Times New Roman" w:hAnsi="Calibri" w:cs="Calibri"/>
          <w:color w:val="000000"/>
        </w:rPr>
      </w:pPr>
      <w:r w:rsidRPr="00094B39">
        <w:rPr>
          <w:rFonts w:ascii="Calibri" w:eastAsia="Times New Roman" w:hAnsi="Calibri" w:cs="Calibri"/>
          <w:color w:val="000000"/>
        </w:rPr>
        <w:t xml:space="preserve">No. </w:t>
      </w:r>
      <w:r w:rsidR="00DA1089">
        <w:rPr>
          <w:rFonts w:ascii="Calibri" w:eastAsia="Times New Roman" w:hAnsi="Calibri" w:cs="Calibri"/>
          <w:color w:val="000000"/>
        </w:rPr>
        <w:t xml:space="preserve"> </w:t>
      </w:r>
      <w:r>
        <w:rPr>
          <w:rFonts w:ascii="Calibri" w:eastAsia="Times New Roman" w:hAnsi="Calibri" w:cs="Calibri"/>
          <w:color w:val="000000"/>
        </w:rPr>
        <w:t xml:space="preserve">You are only required to respond to the data collection in study areas where the ILEC is subject to </w:t>
      </w:r>
      <w:r w:rsidRPr="00094B39">
        <w:rPr>
          <w:rFonts w:ascii="Calibri" w:eastAsia="Times New Roman" w:hAnsi="Calibri" w:cs="Calibri"/>
          <w:color w:val="000000"/>
        </w:rPr>
        <w:t>price cap regulation</w:t>
      </w:r>
      <w:r>
        <w:rPr>
          <w:rFonts w:ascii="Calibri" w:eastAsia="Times New Roman" w:hAnsi="Calibri" w:cs="Calibri"/>
          <w:color w:val="000000"/>
        </w:rPr>
        <w:t xml:space="preserve">, not rate-of-return </w:t>
      </w:r>
      <w:r w:rsidR="007E0A8E">
        <w:rPr>
          <w:rFonts w:ascii="Calibri" w:eastAsia="Times New Roman" w:hAnsi="Calibri" w:cs="Calibri"/>
          <w:color w:val="000000"/>
        </w:rPr>
        <w:t>regulation</w:t>
      </w:r>
      <w:r w:rsidRPr="00094B39">
        <w:rPr>
          <w:rFonts w:ascii="Calibri" w:eastAsia="Times New Roman" w:hAnsi="Calibri" w:cs="Calibri"/>
          <w:color w:val="000000"/>
        </w:rPr>
        <w:t xml:space="preserve">. </w:t>
      </w:r>
      <w:r>
        <w:rPr>
          <w:rFonts w:ascii="Calibri" w:eastAsia="Times New Roman" w:hAnsi="Calibri" w:cs="Calibri"/>
          <w:color w:val="000000"/>
        </w:rPr>
        <w:t xml:space="preserve"> </w:t>
      </w:r>
      <w:r w:rsidRPr="00094B39">
        <w:rPr>
          <w:rFonts w:ascii="Calibri" w:eastAsia="Times New Roman" w:hAnsi="Calibri" w:cs="Calibri"/>
          <w:color w:val="000000"/>
        </w:rPr>
        <w:t xml:space="preserve">To determine if you operate in a price cap or rate of return </w:t>
      </w:r>
      <w:r w:rsidR="007E0A8E">
        <w:rPr>
          <w:rFonts w:ascii="Calibri" w:eastAsia="Times New Roman" w:hAnsi="Calibri" w:cs="Calibri"/>
          <w:color w:val="000000"/>
        </w:rPr>
        <w:t xml:space="preserve">study </w:t>
      </w:r>
      <w:r w:rsidRPr="00094B39">
        <w:rPr>
          <w:rFonts w:ascii="Calibri" w:eastAsia="Times New Roman" w:hAnsi="Calibri" w:cs="Calibri"/>
          <w:color w:val="000000"/>
        </w:rPr>
        <w:t>area, consult</w:t>
      </w:r>
      <w:r>
        <w:rPr>
          <w:rFonts w:ascii="Calibri" w:eastAsia="Times New Roman" w:hAnsi="Calibri" w:cs="Calibri"/>
          <w:color w:val="000000"/>
        </w:rPr>
        <w:t xml:space="preserve"> the </w:t>
      </w:r>
      <w:r w:rsidR="007B3136">
        <w:rPr>
          <w:rFonts w:ascii="Calibri" w:eastAsia="Times New Roman" w:hAnsi="Calibri" w:cs="Calibri"/>
          <w:color w:val="000000"/>
        </w:rPr>
        <w:t>following</w:t>
      </w:r>
      <w:r w:rsidRPr="00094B39">
        <w:rPr>
          <w:rFonts w:ascii="Calibri" w:eastAsia="Times New Roman" w:hAnsi="Calibri" w:cs="Calibri"/>
          <w:color w:val="000000"/>
        </w:rPr>
        <w:t xml:space="preserve"> </w:t>
      </w:r>
      <w:hyperlink r:id="rId13" w:history="1">
        <w:r>
          <w:rPr>
            <w:rStyle w:val="Hyperlink"/>
            <w:rFonts w:ascii="Calibri" w:eastAsia="Times New Roman" w:hAnsi="Calibri" w:cs="Calibri"/>
          </w:rPr>
          <w:t>map</w:t>
        </w:r>
      </w:hyperlink>
      <w:r w:rsidR="007B3136">
        <w:rPr>
          <w:rFonts w:ascii="Calibri" w:eastAsia="Times New Roman" w:hAnsi="Calibri" w:cs="Calibri"/>
          <w:color w:val="000000"/>
        </w:rPr>
        <w:t xml:space="preserve"> maintained by the Commission.</w:t>
      </w:r>
    </w:p>
    <w:p w:rsidR="00E15EE2" w:rsidRPr="00480867" w:rsidRDefault="00E15EE2" w:rsidP="00E15EE2">
      <w:pPr>
        <w:pStyle w:val="NoSpacing"/>
        <w:numPr>
          <w:ilvl w:val="0"/>
          <w:numId w:val="1"/>
        </w:numPr>
        <w:rPr>
          <w:b/>
        </w:rPr>
      </w:pPr>
      <w:r w:rsidRPr="00480867">
        <w:rPr>
          <w:b/>
        </w:rPr>
        <w:t xml:space="preserve">Am I required to respond if the </w:t>
      </w:r>
      <w:r w:rsidRPr="00480867">
        <w:rPr>
          <w:b/>
          <w:i/>
        </w:rPr>
        <w:t>ILEC</w:t>
      </w:r>
      <w:r w:rsidRPr="00480867">
        <w:rPr>
          <w:b/>
        </w:rPr>
        <w:t xml:space="preserve"> that operated in my service area converted from rate-or-return to price cap regulation in 2013? </w:t>
      </w:r>
    </w:p>
    <w:p w:rsidR="00E15EE2" w:rsidRDefault="00E15EE2" w:rsidP="00E15EE2">
      <w:pPr>
        <w:pStyle w:val="NoSpacing"/>
        <w:ind w:left="900"/>
      </w:pPr>
      <w:r>
        <w:t xml:space="preserve">Yes. The collection covers </w:t>
      </w:r>
      <w:r w:rsidRPr="00896F15">
        <w:rPr>
          <w:i/>
        </w:rPr>
        <w:t>Dedicated Service</w:t>
      </w:r>
      <w:r>
        <w:t xml:space="preserve"> provided or purchased and </w:t>
      </w:r>
      <w:r w:rsidRPr="00896F15">
        <w:rPr>
          <w:i/>
        </w:rPr>
        <w:t>Best Efforts Business Broadband Internet Access Service</w:t>
      </w:r>
      <w:r>
        <w:t xml:space="preserve"> provided if the </w:t>
      </w:r>
      <w:r w:rsidRPr="00896F15">
        <w:rPr>
          <w:i/>
        </w:rPr>
        <w:t xml:space="preserve">ILEC </w:t>
      </w:r>
      <w:r>
        <w:t xml:space="preserve">was subject to price cap regulation in the area at any point during the relevant reporting period, 2013.  </w:t>
      </w:r>
    </w:p>
    <w:p w:rsidR="005447F8" w:rsidRDefault="005447F8" w:rsidP="007E0A8E">
      <w:pPr>
        <w:pStyle w:val="NoSpacing"/>
      </w:pPr>
    </w:p>
    <w:p w:rsidR="00F35558" w:rsidRPr="001372BA" w:rsidRDefault="00F35558" w:rsidP="00A450D6">
      <w:pPr>
        <w:pStyle w:val="NoSpacing"/>
        <w:numPr>
          <w:ilvl w:val="0"/>
          <w:numId w:val="1"/>
        </w:numPr>
        <w:rPr>
          <w:b/>
        </w:rPr>
      </w:pPr>
      <w:r w:rsidRPr="001372BA">
        <w:rPr>
          <w:b/>
        </w:rPr>
        <w:t xml:space="preserve">Is there a glossary of terms used in the collection?  </w:t>
      </w:r>
    </w:p>
    <w:p w:rsidR="001372BA" w:rsidRDefault="00F40F5C" w:rsidP="001372BA">
      <w:pPr>
        <w:pStyle w:val="NoSpacing"/>
        <w:ind w:left="900"/>
      </w:pPr>
      <w:r>
        <w:t xml:space="preserve">Definitions are available </w:t>
      </w:r>
      <w:r w:rsidR="00E1063B">
        <w:t>in the Definitions s</w:t>
      </w:r>
      <w:r>
        <w:t>ection of the Data Collection</w:t>
      </w:r>
      <w:r w:rsidR="00E1063B" w:rsidRPr="00E1063B">
        <w:t xml:space="preserve"> </w:t>
      </w:r>
      <w:hyperlink r:id="rId14" w:history="1">
        <w:r w:rsidR="00E1063B">
          <w:rPr>
            <w:rStyle w:val="Hyperlink"/>
          </w:rPr>
          <w:t xml:space="preserve">Questions </w:t>
        </w:r>
      </w:hyperlink>
      <w:r w:rsidR="00E1063B">
        <w:t xml:space="preserve">or the Commission maintains a </w:t>
      </w:r>
      <w:hyperlink r:id="rId15" w:history="1">
        <w:r>
          <w:rPr>
            <w:rStyle w:val="Hyperlink"/>
          </w:rPr>
          <w:t>Glossary</w:t>
        </w:r>
      </w:hyperlink>
      <w:r w:rsidR="00E1063B">
        <w:t xml:space="preserve"> page for the data collection</w:t>
      </w:r>
      <w:r>
        <w:t>.</w:t>
      </w:r>
    </w:p>
    <w:p w:rsidR="00896F15" w:rsidRPr="00DC4F48" w:rsidRDefault="00896F15" w:rsidP="00896F15">
      <w:pPr>
        <w:pStyle w:val="NoSpacing"/>
      </w:pPr>
    </w:p>
    <w:p w:rsidR="008E5A92" w:rsidRPr="00DC4F48" w:rsidRDefault="008E5A92" w:rsidP="008E5A92">
      <w:pPr>
        <w:pStyle w:val="NoSpacing"/>
        <w:numPr>
          <w:ilvl w:val="0"/>
          <w:numId w:val="1"/>
        </w:numPr>
        <w:rPr>
          <w:b/>
        </w:rPr>
      </w:pPr>
      <w:r w:rsidRPr="00DC4F48">
        <w:rPr>
          <w:b/>
        </w:rPr>
        <w:t>What is the filing deadline for the collection?</w:t>
      </w:r>
    </w:p>
    <w:p w:rsidR="008E5A92" w:rsidRPr="00DC4F48" w:rsidRDefault="008E5A92" w:rsidP="008E5A92">
      <w:pPr>
        <w:pStyle w:val="NoSpacing"/>
        <w:ind w:left="720" w:firstLine="180"/>
      </w:pPr>
      <w:r>
        <w:t>December 15</w:t>
      </w:r>
      <w:r w:rsidRPr="00DC4F48">
        <w:t>, 2014</w:t>
      </w:r>
    </w:p>
    <w:p w:rsidR="008E5A92" w:rsidRPr="00DC4F48" w:rsidRDefault="008E5A92" w:rsidP="008E5A92">
      <w:pPr>
        <w:pStyle w:val="NoSpacing"/>
        <w:ind w:left="720"/>
      </w:pPr>
    </w:p>
    <w:p w:rsidR="00406ECD" w:rsidRPr="001E1ABE" w:rsidRDefault="00406ECD" w:rsidP="00406ECD">
      <w:pPr>
        <w:pStyle w:val="NoSpacing"/>
        <w:numPr>
          <w:ilvl w:val="0"/>
          <w:numId w:val="1"/>
        </w:numPr>
        <w:rPr>
          <w:b/>
        </w:rPr>
      </w:pPr>
      <w:r w:rsidRPr="001E1ABE">
        <w:rPr>
          <w:b/>
        </w:rPr>
        <w:t>What are the penalties for not filing in response to this data collection?</w:t>
      </w:r>
    </w:p>
    <w:p w:rsidR="00406ECD" w:rsidRPr="00E15EE2" w:rsidRDefault="00406ECD" w:rsidP="00E15EE2">
      <w:pPr>
        <w:spacing w:after="0" w:line="240" w:lineRule="auto"/>
        <w:ind w:left="900"/>
        <w:rPr>
          <w:rFonts w:ascii="Calibri" w:eastAsia="Times New Roman" w:hAnsi="Calibri" w:cs="Calibri"/>
          <w:color w:val="000000"/>
        </w:rPr>
      </w:pPr>
      <w:r w:rsidRPr="00406ECD">
        <w:rPr>
          <w:rFonts w:ascii="Calibri" w:eastAsia="Times New Roman" w:hAnsi="Calibri" w:cs="Calibri"/>
          <w:color w:val="000000"/>
        </w:rPr>
        <w:t>Failure to comply with these data reporting requirements may subject parties to monetary forfeitures of up to $160,000 for each violation or each day of a continuing violation, up to a maximum of $1,575,000 for any single act or failure to act that is a continuing violation.</w:t>
      </w:r>
    </w:p>
    <w:p w:rsidR="00406ECD" w:rsidRDefault="00406ECD" w:rsidP="00406ECD">
      <w:pPr>
        <w:pStyle w:val="NoSpacing"/>
        <w:ind w:left="900"/>
      </w:pPr>
    </w:p>
    <w:p w:rsidR="00941B6F" w:rsidRPr="00941B6F" w:rsidRDefault="00941B6F" w:rsidP="00A450D6">
      <w:pPr>
        <w:pStyle w:val="NoSpacing"/>
        <w:numPr>
          <w:ilvl w:val="0"/>
          <w:numId w:val="1"/>
        </w:numPr>
        <w:rPr>
          <w:b/>
        </w:rPr>
      </w:pPr>
      <w:r w:rsidRPr="00941B6F">
        <w:rPr>
          <w:b/>
        </w:rPr>
        <w:t>Is there a filing fee?</w:t>
      </w:r>
    </w:p>
    <w:p w:rsidR="00941B6F" w:rsidRDefault="00941B6F" w:rsidP="00941B6F">
      <w:pPr>
        <w:pStyle w:val="NoSpacing"/>
        <w:ind w:left="900"/>
      </w:pPr>
      <w:r>
        <w:t>No.</w:t>
      </w:r>
    </w:p>
    <w:p w:rsidR="000C3112" w:rsidRDefault="000C3112" w:rsidP="00941B6F">
      <w:pPr>
        <w:pStyle w:val="NoSpacing"/>
        <w:ind w:left="900"/>
      </w:pPr>
    </w:p>
    <w:p w:rsidR="000C3112" w:rsidRPr="000C3112" w:rsidRDefault="000C3112" w:rsidP="000C3112">
      <w:pPr>
        <w:pStyle w:val="NoSpacing"/>
        <w:numPr>
          <w:ilvl w:val="0"/>
          <w:numId w:val="1"/>
        </w:numPr>
        <w:rPr>
          <w:b/>
        </w:rPr>
      </w:pPr>
      <w:r w:rsidRPr="000C3112">
        <w:rPr>
          <w:b/>
        </w:rPr>
        <w:t>Does the data collection affect my Form 477 filing?</w:t>
      </w:r>
    </w:p>
    <w:p w:rsidR="000C3112" w:rsidRPr="005E33E2" w:rsidRDefault="005E33E2" w:rsidP="000C3112">
      <w:pPr>
        <w:pStyle w:val="NoSpacing"/>
        <w:ind w:left="900"/>
      </w:pPr>
      <w:r w:rsidRPr="005E33E2">
        <w:t>No.</w:t>
      </w:r>
    </w:p>
    <w:p w:rsidR="005E33E2" w:rsidRPr="000C3112" w:rsidRDefault="005E33E2" w:rsidP="000C3112">
      <w:pPr>
        <w:pStyle w:val="NoSpacing"/>
        <w:ind w:left="900"/>
        <w:rPr>
          <w:b/>
        </w:rPr>
      </w:pPr>
    </w:p>
    <w:p w:rsidR="000C3112" w:rsidRPr="000C3112" w:rsidRDefault="000C3112" w:rsidP="000C3112">
      <w:pPr>
        <w:pStyle w:val="NoSpacing"/>
        <w:numPr>
          <w:ilvl w:val="0"/>
          <w:numId w:val="1"/>
        </w:numPr>
        <w:rPr>
          <w:b/>
        </w:rPr>
      </w:pPr>
      <w:r w:rsidRPr="000C3112">
        <w:rPr>
          <w:b/>
        </w:rPr>
        <w:t>Do I need to amend my Form 477 filing because of the special access data collection?</w:t>
      </w:r>
    </w:p>
    <w:p w:rsidR="00941B6F" w:rsidRDefault="005E33E2" w:rsidP="005E33E2">
      <w:pPr>
        <w:pStyle w:val="NoSpacing"/>
        <w:ind w:left="900"/>
      </w:pPr>
      <w:r>
        <w:t>No.</w:t>
      </w:r>
    </w:p>
    <w:p w:rsidR="00582C91" w:rsidRDefault="00582C91" w:rsidP="00A27B37">
      <w:pPr>
        <w:pStyle w:val="NoSpacing"/>
      </w:pPr>
    </w:p>
    <w:p w:rsidR="003F7EF2" w:rsidRDefault="003F7EF2" w:rsidP="00A27B37">
      <w:pPr>
        <w:pStyle w:val="ListParagraph"/>
        <w:numPr>
          <w:ilvl w:val="0"/>
          <w:numId w:val="1"/>
        </w:numPr>
      </w:pPr>
      <w:r w:rsidRPr="00A27B37">
        <w:rPr>
          <w:b/>
        </w:rPr>
        <w:t xml:space="preserve">How do I know where the Commission has granted Phase I or Phase II Pricing Flexibility? </w:t>
      </w:r>
    </w:p>
    <w:p w:rsidR="001E30BA" w:rsidRDefault="003F7EF2" w:rsidP="00A27B37">
      <w:pPr>
        <w:pStyle w:val="ListParagraph"/>
        <w:spacing w:line="240" w:lineRule="auto"/>
        <w:ind w:left="900"/>
      </w:pPr>
      <w:r w:rsidRPr="006901B7">
        <w:t xml:space="preserve">A complete list of where the Commission has granted either </w:t>
      </w:r>
      <w:r w:rsidRPr="00E76ACB">
        <w:rPr>
          <w:i/>
        </w:rPr>
        <w:t>Phase I</w:t>
      </w:r>
      <w:r w:rsidRPr="006901B7">
        <w:t xml:space="preserve"> or </w:t>
      </w:r>
      <w:r w:rsidRPr="00E76ACB">
        <w:rPr>
          <w:i/>
        </w:rPr>
        <w:t>Phase II</w:t>
      </w:r>
      <w:r w:rsidRPr="006901B7">
        <w:t xml:space="preserve"> pricing flexibility for </w:t>
      </w:r>
      <w:r w:rsidRPr="006901B7">
        <w:rPr>
          <w:i/>
        </w:rPr>
        <w:t>Channel Terminations</w:t>
      </w:r>
      <w:r w:rsidRPr="006901B7">
        <w:t xml:space="preserve"> can be found in Appendix D to the Commission's </w:t>
      </w:r>
      <w:hyperlink r:id="rId16" w:history="1">
        <w:r w:rsidRPr="006901B7">
          <w:rPr>
            <w:rStyle w:val="Hyperlink"/>
            <w:i/>
          </w:rPr>
          <w:t>Pricing Flexibility Suspension Order</w:t>
        </w:r>
      </w:hyperlink>
      <w:r>
        <w:t>.</w:t>
      </w:r>
    </w:p>
    <w:p w:rsidR="0032017D" w:rsidRDefault="0032017D" w:rsidP="00A27B37">
      <w:pPr>
        <w:pStyle w:val="ListParagraph"/>
        <w:spacing w:line="240" w:lineRule="auto"/>
        <w:ind w:left="900"/>
      </w:pPr>
    </w:p>
    <w:p w:rsidR="0032017D" w:rsidRPr="00A27B37" w:rsidRDefault="0032017D" w:rsidP="00A27B37">
      <w:pPr>
        <w:pStyle w:val="ListParagraph"/>
        <w:numPr>
          <w:ilvl w:val="0"/>
          <w:numId w:val="1"/>
        </w:numPr>
        <w:spacing w:line="240" w:lineRule="auto"/>
        <w:rPr>
          <w:b/>
        </w:rPr>
      </w:pPr>
      <w:r w:rsidRPr="00A27B37">
        <w:rPr>
          <w:b/>
        </w:rPr>
        <w:lastRenderedPageBreak/>
        <w:t>Who is required to respond to the collection when a change in control occurred during the reporting year 2013?</w:t>
      </w:r>
    </w:p>
    <w:p w:rsidR="0032017D" w:rsidRDefault="0032017D" w:rsidP="00A27B37">
      <w:pPr>
        <w:pStyle w:val="ListParagraph"/>
        <w:spacing w:line="240" w:lineRule="auto"/>
        <w:ind w:left="900"/>
      </w:pPr>
      <w:r>
        <w:t xml:space="preserve">If at any point during the 2013 reporting period, the entity in question provided  services covered by the scope of this collection or purchased Best Efforts Business Broadband Internet Access Service, then the current owner is required to respond.  </w:t>
      </w:r>
    </w:p>
    <w:p w:rsidR="005B01EC" w:rsidRPr="005B01EC" w:rsidRDefault="005B01EC" w:rsidP="005B01EC">
      <w:pPr>
        <w:pStyle w:val="NoSpacing"/>
        <w:rPr>
          <w:b/>
          <w:u w:val="single"/>
        </w:rPr>
      </w:pPr>
      <w:r w:rsidRPr="005B01EC">
        <w:rPr>
          <w:b/>
          <w:u w:val="single"/>
        </w:rPr>
        <w:t>II. EXEMPTIONS FROM RESPONDING TO DATA COLLECTION</w:t>
      </w:r>
    </w:p>
    <w:p w:rsidR="005B01EC" w:rsidRDefault="005B01EC" w:rsidP="005B01EC">
      <w:pPr>
        <w:pStyle w:val="NoSpacing"/>
      </w:pPr>
    </w:p>
    <w:p w:rsidR="00E15EE2" w:rsidRDefault="00E15EE2" w:rsidP="005B01EC">
      <w:pPr>
        <w:pStyle w:val="NoSpacing"/>
        <w:numPr>
          <w:ilvl w:val="0"/>
          <w:numId w:val="16"/>
        </w:numPr>
        <w:rPr>
          <w:b/>
        </w:rPr>
      </w:pPr>
      <w:r>
        <w:rPr>
          <w:b/>
        </w:rPr>
        <w:t>I am a small business</w:t>
      </w:r>
      <w:r w:rsidR="00403185">
        <w:rPr>
          <w:b/>
        </w:rPr>
        <w:t xml:space="preserve"> </w:t>
      </w:r>
      <w:r w:rsidR="00403185" w:rsidRPr="00403185">
        <w:rPr>
          <w:b/>
          <w:i/>
        </w:rPr>
        <w:t>Purchaser</w:t>
      </w:r>
      <w:r>
        <w:rPr>
          <w:b/>
        </w:rPr>
        <w:t xml:space="preserve">. </w:t>
      </w:r>
      <w:r w:rsidR="00520DEA">
        <w:rPr>
          <w:b/>
        </w:rPr>
        <w:t xml:space="preserve"> </w:t>
      </w:r>
      <w:r>
        <w:rPr>
          <w:b/>
        </w:rPr>
        <w:t>Am I required to respond?</w:t>
      </w:r>
    </w:p>
    <w:p w:rsidR="00403185" w:rsidRDefault="00520DEA" w:rsidP="005B01EC">
      <w:pPr>
        <w:pStyle w:val="NoSpacing"/>
        <w:ind w:left="900"/>
      </w:pPr>
      <w:r w:rsidRPr="00520DEA">
        <w:rPr>
          <w:i/>
        </w:rPr>
        <w:t>Purchasers</w:t>
      </w:r>
      <w:r w:rsidRPr="00520DEA">
        <w:t xml:space="preserve"> that purchased less than $5 million in </w:t>
      </w:r>
      <w:r w:rsidRPr="00520DEA">
        <w:rPr>
          <w:i/>
        </w:rPr>
        <w:t>Dedicated Services</w:t>
      </w:r>
      <w:r w:rsidRPr="00520DEA">
        <w:t xml:space="preserve"> in 2013 in areas where the </w:t>
      </w:r>
      <w:r w:rsidRPr="00926B9B">
        <w:rPr>
          <w:i/>
        </w:rPr>
        <w:t xml:space="preserve">ILEC </w:t>
      </w:r>
      <w:r w:rsidRPr="00520DEA">
        <w:t xml:space="preserve">is subject to price cap regulation are specifically excluded from the collection.  </w:t>
      </w:r>
      <w:r w:rsidR="00B90C13">
        <w:t>However, if you were required to file FCC Form 477 to report the provision of broadband connecti</w:t>
      </w:r>
      <w:r w:rsidR="00CD53EC">
        <w:t>ons to end user locations for y</w:t>
      </w:r>
      <w:r w:rsidR="00B90C13">
        <w:t xml:space="preserve">ear 2013 then you must </w:t>
      </w:r>
      <w:r w:rsidR="00DF6E54">
        <w:t xml:space="preserve">file a certification using the Streamlined Certification Process using the FCC’s secure website portal, </w:t>
      </w:r>
      <w:r w:rsidR="00DF6E54" w:rsidRPr="00DF6E54">
        <w:t>https://specialaccessfiling.fcc.gov/spadc/login</w:t>
      </w:r>
      <w:r w:rsidR="00DF6E54">
        <w:t xml:space="preserve">.  </w:t>
      </w:r>
      <w:r w:rsidRPr="00520DEA">
        <w:t xml:space="preserve">For more </w:t>
      </w:r>
      <w:r>
        <w:t>information, see</w:t>
      </w:r>
      <w:r w:rsidRPr="00520DEA">
        <w:t xml:space="preserve"> </w:t>
      </w:r>
      <w:hyperlink r:id="rId17" w:history="1">
        <w:r>
          <w:rPr>
            <w:rStyle w:val="Hyperlink"/>
          </w:rPr>
          <w:t>Data Collection Questions – Page</w:t>
        </w:r>
        <w:r w:rsidR="00B90C13">
          <w:rPr>
            <w:rStyle w:val="Hyperlink"/>
          </w:rPr>
          <w:t>s</w:t>
        </w:r>
        <w:r>
          <w:rPr>
            <w:rStyle w:val="Hyperlink"/>
          </w:rPr>
          <w:t xml:space="preserve"> 4</w:t>
        </w:r>
      </w:hyperlink>
      <w:r w:rsidR="00B90C13">
        <w:rPr>
          <w:rStyle w:val="Hyperlink"/>
        </w:rPr>
        <w:t>, 28</w:t>
      </w:r>
      <w:r w:rsidR="00DF6E54">
        <w:rPr>
          <w:rStyle w:val="Hyperlink"/>
        </w:rPr>
        <w:t>; System Guide</w:t>
      </w:r>
      <w:r w:rsidRPr="00520DEA">
        <w:t xml:space="preserve">.  </w:t>
      </w:r>
    </w:p>
    <w:p w:rsidR="00640C01" w:rsidRDefault="00640C01" w:rsidP="00640C01">
      <w:pPr>
        <w:pStyle w:val="NoSpacing"/>
      </w:pPr>
    </w:p>
    <w:p w:rsidR="00A453AB" w:rsidRPr="00A453AB" w:rsidRDefault="00A453AB" w:rsidP="0062376B">
      <w:pPr>
        <w:pStyle w:val="NoSpacing"/>
        <w:numPr>
          <w:ilvl w:val="0"/>
          <w:numId w:val="16"/>
        </w:numPr>
        <w:rPr>
          <w:b/>
        </w:rPr>
      </w:pPr>
      <w:r>
        <w:rPr>
          <w:b/>
        </w:rPr>
        <w:t xml:space="preserve">Am I exempted as a holding company </w:t>
      </w:r>
      <w:r w:rsidR="00EA409E">
        <w:rPr>
          <w:b/>
        </w:rPr>
        <w:t>if in the aggregate my</w:t>
      </w:r>
      <w:r>
        <w:rPr>
          <w:b/>
        </w:rPr>
        <w:t xml:space="preserve"> </w:t>
      </w:r>
      <w:r w:rsidRPr="00A453AB">
        <w:rPr>
          <w:b/>
          <w:i/>
        </w:rPr>
        <w:t>Affiliated Compan</w:t>
      </w:r>
      <w:r w:rsidR="00EA409E">
        <w:rPr>
          <w:b/>
          <w:i/>
        </w:rPr>
        <w:t>ies</w:t>
      </w:r>
      <w:r>
        <w:rPr>
          <w:b/>
        </w:rPr>
        <w:t xml:space="preserve"> exceed the </w:t>
      </w:r>
      <w:r w:rsidR="0062376B" w:rsidRPr="00A453AB">
        <w:rPr>
          <w:b/>
        </w:rPr>
        <w:t xml:space="preserve">$5 million threshold exempting </w:t>
      </w:r>
      <w:r w:rsidR="0062376B" w:rsidRPr="00EA409E">
        <w:rPr>
          <w:b/>
          <w:i/>
        </w:rPr>
        <w:t>Purchasers</w:t>
      </w:r>
      <w:r w:rsidR="00EA409E">
        <w:rPr>
          <w:b/>
        </w:rPr>
        <w:t xml:space="preserve"> from the collection</w:t>
      </w:r>
      <w:r>
        <w:rPr>
          <w:b/>
        </w:rPr>
        <w:t>?</w:t>
      </w:r>
      <w:r w:rsidR="0062376B" w:rsidRPr="00A453AB">
        <w:rPr>
          <w:b/>
        </w:rPr>
        <w:t xml:space="preserve">  </w:t>
      </w:r>
    </w:p>
    <w:p w:rsidR="00A453AB" w:rsidRPr="00A453AB" w:rsidRDefault="00EA409E" w:rsidP="00A453AB">
      <w:pPr>
        <w:pStyle w:val="NoSpacing"/>
        <w:ind w:left="900"/>
      </w:pPr>
      <w:r w:rsidRPr="00EA409E">
        <w:t xml:space="preserve">Purchasers that purchased less than $5 million in </w:t>
      </w:r>
      <w:r w:rsidRPr="00E62C99">
        <w:rPr>
          <w:i/>
        </w:rPr>
        <w:t>Dedicated Services</w:t>
      </w:r>
      <w:r w:rsidRPr="00EA409E">
        <w:t xml:space="preserve"> in 2013 in areas where the ILEC is subject to price cap regulation are specifically excluded from the collection</w:t>
      </w:r>
      <w:r w:rsidR="00006CB5">
        <w:t xml:space="preserve"> unless they filed FCC Form 477 in 2013 in which case they can so certify</w:t>
      </w:r>
      <w:r>
        <w:t>.  Further, p</w:t>
      </w:r>
      <w:r w:rsidR="00A453AB" w:rsidRPr="00A453AB">
        <w:t xml:space="preserve">arties can either </w:t>
      </w:r>
      <w:r w:rsidR="00DF6E54" w:rsidRPr="00A453AB">
        <w:t>su</w:t>
      </w:r>
      <w:r w:rsidR="00DF6E54">
        <w:t>b</w:t>
      </w:r>
      <w:r w:rsidR="00DF6E54" w:rsidRPr="00A453AB">
        <w:t xml:space="preserve">mit </w:t>
      </w:r>
      <w:r w:rsidR="00A453AB" w:rsidRPr="00A453AB">
        <w:t xml:space="preserve">a single response reporting aggregate information at the ultimate parent/holding company level for all subsidiaries, affiliates, and intermediate holding companies or submit separate responses for individual subsidiaries, affiliates, and intermediate holding companies. </w:t>
      </w:r>
      <w:r w:rsidR="00327A03">
        <w:t xml:space="preserve">For additional information, see the data collection </w:t>
      </w:r>
      <w:hyperlink r:id="rId18" w:history="1">
        <w:r w:rsidR="00327A03">
          <w:rPr>
            <w:rStyle w:val="Hyperlink"/>
            <w:rFonts w:ascii="Calibri" w:eastAsia="Times New Roman" w:hAnsi="Calibri" w:cs="Calibri"/>
          </w:rPr>
          <w:t>Instructions – Pages 7-</w:t>
        </w:r>
      </w:hyperlink>
      <w:r w:rsidR="00327A03">
        <w:rPr>
          <w:rStyle w:val="Hyperlink"/>
          <w:rFonts w:ascii="Calibri" w:eastAsia="Times New Roman" w:hAnsi="Calibri" w:cs="Calibri"/>
        </w:rPr>
        <w:t>8</w:t>
      </w:r>
      <w:r w:rsidR="00327A03">
        <w:t>.</w:t>
      </w:r>
    </w:p>
    <w:p w:rsidR="00A453AB" w:rsidRDefault="00A453AB" w:rsidP="005B01EC">
      <w:pPr>
        <w:pStyle w:val="NoSpacing"/>
        <w:ind w:left="900"/>
        <w:rPr>
          <w:i/>
        </w:rPr>
      </w:pPr>
    </w:p>
    <w:p w:rsidR="00403185" w:rsidRPr="00403185" w:rsidRDefault="00403185" w:rsidP="00403185">
      <w:pPr>
        <w:pStyle w:val="NoSpacing"/>
        <w:numPr>
          <w:ilvl w:val="0"/>
          <w:numId w:val="16"/>
        </w:numPr>
        <w:rPr>
          <w:b/>
        </w:rPr>
      </w:pPr>
      <w:r w:rsidRPr="00403185">
        <w:rPr>
          <w:b/>
        </w:rPr>
        <w:t xml:space="preserve">I am a small </w:t>
      </w:r>
      <w:r w:rsidRPr="00403185">
        <w:rPr>
          <w:b/>
          <w:i/>
        </w:rPr>
        <w:t xml:space="preserve">Best Efforts Business Broadband Internet Access Service </w:t>
      </w:r>
      <w:r w:rsidRPr="00403185">
        <w:rPr>
          <w:b/>
        </w:rPr>
        <w:t xml:space="preserve">provider. Am I required to respond? </w:t>
      </w:r>
    </w:p>
    <w:p w:rsidR="008E0FAC" w:rsidRPr="005B01EC" w:rsidRDefault="00DF6E54" w:rsidP="005B01EC">
      <w:pPr>
        <w:pStyle w:val="NoSpacing"/>
        <w:ind w:left="900"/>
        <w:rPr>
          <w:b/>
        </w:rPr>
      </w:pPr>
      <w:r>
        <w:t xml:space="preserve">Entities providing </w:t>
      </w:r>
      <w:r w:rsidR="00520DEA" w:rsidRPr="00926B9B">
        <w:rPr>
          <w:i/>
        </w:rPr>
        <w:t>Best Efforts Business Broadband Internet Access Service</w:t>
      </w:r>
      <w:r w:rsidR="00520DEA" w:rsidRPr="00520DEA">
        <w:t xml:space="preserve"> </w:t>
      </w:r>
      <w:r>
        <w:t>to</w:t>
      </w:r>
      <w:r w:rsidR="00520DEA" w:rsidRPr="00520DEA">
        <w:t xml:space="preserve"> fewer than 15,000 customers and fewer than 1,500 business broadband customers as of December 18, 2012</w:t>
      </w:r>
      <w:r>
        <w:t xml:space="preserve"> are not required to respond to the questions directed at such entities</w:t>
      </w:r>
      <w:r w:rsidR="00520DEA" w:rsidRPr="00520DEA">
        <w:t xml:space="preserve">. </w:t>
      </w:r>
      <w:r w:rsidR="00926B9B">
        <w:t xml:space="preserve"> </w:t>
      </w:r>
      <w:r>
        <w:t xml:space="preserve">However, you may be required to provide data in response to questions if you are a </w:t>
      </w:r>
      <w:r w:rsidRPr="00A27B37">
        <w:rPr>
          <w:i/>
        </w:rPr>
        <w:t xml:space="preserve">Provider </w:t>
      </w:r>
      <w:r>
        <w:t xml:space="preserve">or </w:t>
      </w:r>
      <w:r w:rsidRPr="00A27B37">
        <w:rPr>
          <w:i/>
        </w:rPr>
        <w:t xml:space="preserve">Purchaser </w:t>
      </w:r>
      <w:r>
        <w:t xml:space="preserve">of </w:t>
      </w:r>
      <w:r w:rsidRPr="00A27B37">
        <w:rPr>
          <w:i/>
        </w:rPr>
        <w:t>Dedicated Services</w:t>
      </w:r>
      <w:r>
        <w:t xml:space="preserve">.  </w:t>
      </w:r>
      <w:r w:rsidR="00926B9B" w:rsidRPr="00520DEA">
        <w:t xml:space="preserve">For more </w:t>
      </w:r>
      <w:r w:rsidR="00926B9B">
        <w:t>information, see</w:t>
      </w:r>
      <w:r w:rsidR="00926B9B" w:rsidRPr="00520DEA">
        <w:t xml:space="preserve"> </w:t>
      </w:r>
      <w:hyperlink r:id="rId19" w:history="1">
        <w:r w:rsidR="00926B9B">
          <w:rPr>
            <w:rStyle w:val="Hyperlink"/>
          </w:rPr>
          <w:t>Data Collection Questions – Page 1</w:t>
        </w:r>
      </w:hyperlink>
      <w:r w:rsidR="00926B9B" w:rsidRPr="00520DEA">
        <w:t xml:space="preserve">.  </w:t>
      </w:r>
      <w:r w:rsidR="00E15EE2">
        <w:rPr>
          <w:b/>
        </w:rPr>
        <w:t xml:space="preserve"> </w:t>
      </w:r>
    </w:p>
    <w:p w:rsidR="005B01EC" w:rsidRDefault="005B01EC" w:rsidP="005B01EC">
      <w:pPr>
        <w:pStyle w:val="NoSpacing"/>
        <w:rPr>
          <w:b/>
        </w:rPr>
      </w:pPr>
    </w:p>
    <w:p w:rsidR="005B01EC" w:rsidRDefault="001C7779" w:rsidP="001C7779">
      <w:pPr>
        <w:pStyle w:val="NoSpacing"/>
        <w:numPr>
          <w:ilvl w:val="0"/>
          <w:numId w:val="16"/>
        </w:numPr>
        <w:rPr>
          <w:b/>
        </w:rPr>
      </w:pPr>
      <w:r w:rsidRPr="001C7779">
        <w:rPr>
          <w:b/>
        </w:rPr>
        <w:t xml:space="preserve">I am a business, school, </w:t>
      </w:r>
      <w:r>
        <w:rPr>
          <w:b/>
        </w:rPr>
        <w:t xml:space="preserve">or </w:t>
      </w:r>
      <w:r w:rsidRPr="001C7779">
        <w:rPr>
          <w:b/>
        </w:rPr>
        <w:t>local government entity</w:t>
      </w:r>
      <w:r w:rsidR="00D85E67">
        <w:rPr>
          <w:b/>
        </w:rPr>
        <w:t xml:space="preserve"> </w:t>
      </w:r>
      <w:r>
        <w:rPr>
          <w:b/>
        </w:rPr>
        <w:t>that provides an information service</w:t>
      </w:r>
      <w:r w:rsidRPr="001C7779">
        <w:rPr>
          <w:b/>
        </w:rPr>
        <w:t>. Am I required to respond if I provide an information service?</w:t>
      </w:r>
    </w:p>
    <w:p w:rsidR="00463A07" w:rsidRDefault="001C7779" w:rsidP="00200B78">
      <w:pPr>
        <w:spacing w:after="0" w:line="240" w:lineRule="auto"/>
        <w:ind w:left="900"/>
      </w:pPr>
      <w:r w:rsidRPr="001C7779">
        <w:rPr>
          <w:rFonts w:ascii="Calibri" w:eastAsia="Times New Roman" w:hAnsi="Calibri" w:cs="Calibri"/>
          <w:i/>
          <w:color w:val="000000"/>
        </w:rPr>
        <w:t>End Users</w:t>
      </w:r>
      <w:r w:rsidRPr="001C7779">
        <w:rPr>
          <w:rFonts w:ascii="Calibri" w:eastAsia="Times New Roman" w:hAnsi="Calibri" w:cs="Calibri"/>
          <w:color w:val="000000"/>
        </w:rPr>
        <w:t xml:space="preserve"> (business</w:t>
      </w:r>
      <w:r w:rsidR="00463A07">
        <w:rPr>
          <w:rFonts w:ascii="Calibri" w:eastAsia="Times New Roman" w:hAnsi="Calibri" w:cs="Calibri"/>
          <w:color w:val="000000"/>
        </w:rPr>
        <w:t>es</w:t>
      </w:r>
      <w:r w:rsidRPr="001C7779">
        <w:rPr>
          <w:rFonts w:ascii="Calibri" w:eastAsia="Times New Roman" w:hAnsi="Calibri" w:cs="Calibri"/>
          <w:color w:val="000000"/>
        </w:rPr>
        <w:t>,</w:t>
      </w:r>
      <w:r w:rsidR="00463A07">
        <w:rPr>
          <w:rFonts w:ascii="Calibri" w:eastAsia="Times New Roman" w:hAnsi="Calibri" w:cs="Calibri"/>
          <w:color w:val="000000"/>
        </w:rPr>
        <w:t xml:space="preserve"> schools, local government entities</w:t>
      </w:r>
      <w:r w:rsidRPr="001C7779">
        <w:rPr>
          <w:rFonts w:ascii="Calibri" w:eastAsia="Times New Roman" w:hAnsi="Calibri" w:cs="Calibri"/>
          <w:color w:val="000000"/>
        </w:rPr>
        <w:t xml:space="preserve">) that provide an information service </w:t>
      </w:r>
      <w:r w:rsidR="00ED24A6" w:rsidRPr="00ED24A6">
        <w:t>(such as Internet access service)</w:t>
      </w:r>
      <w:r w:rsidR="00ED24A6">
        <w:rPr>
          <w:b/>
        </w:rPr>
        <w:t xml:space="preserve"> </w:t>
      </w:r>
      <w:r w:rsidRPr="001C7779">
        <w:rPr>
          <w:rFonts w:ascii="Calibri" w:eastAsia="Times New Roman" w:hAnsi="Calibri" w:cs="Calibri"/>
          <w:color w:val="000000"/>
        </w:rPr>
        <w:t xml:space="preserve">are excluded </w:t>
      </w:r>
      <w:r w:rsidR="000828F1">
        <w:rPr>
          <w:rFonts w:ascii="Calibri" w:eastAsia="Times New Roman" w:hAnsi="Calibri" w:cs="Calibri"/>
          <w:color w:val="000000"/>
        </w:rPr>
        <w:t xml:space="preserve">from the questions directed at </w:t>
      </w:r>
      <w:r w:rsidR="000828F1" w:rsidRPr="00A27B37">
        <w:rPr>
          <w:rFonts w:ascii="Calibri" w:eastAsia="Times New Roman" w:hAnsi="Calibri" w:cs="Calibri"/>
          <w:i/>
          <w:color w:val="000000"/>
        </w:rPr>
        <w:t>Purchasers</w:t>
      </w:r>
      <w:r w:rsidR="000828F1">
        <w:rPr>
          <w:rFonts w:ascii="Calibri" w:eastAsia="Times New Roman" w:hAnsi="Calibri" w:cs="Calibri"/>
          <w:color w:val="000000"/>
        </w:rPr>
        <w:t xml:space="preserve">.  </w:t>
      </w:r>
      <w:r w:rsidR="000828F1">
        <w:t xml:space="preserve">However, you may be required to provide data in response to questions if you are a Provider or entity providing </w:t>
      </w:r>
      <w:r w:rsidRPr="001C7779">
        <w:rPr>
          <w:rFonts w:ascii="Calibri" w:eastAsia="Times New Roman" w:hAnsi="Calibri" w:cs="Calibri"/>
          <w:i/>
          <w:color w:val="000000"/>
        </w:rPr>
        <w:t>Best Efforts Business Broadband Internet Access Service</w:t>
      </w:r>
      <w:r w:rsidRPr="001C7779">
        <w:rPr>
          <w:rFonts w:ascii="Calibri" w:eastAsia="Times New Roman" w:hAnsi="Calibri" w:cs="Calibri"/>
          <w:color w:val="000000"/>
        </w:rPr>
        <w:t xml:space="preserve"> to 15,000 or more customers or 1,500 or more business broadband customers in price cap areas. </w:t>
      </w:r>
      <w:r w:rsidR="000828F1">
        <w:rPr>
          <w:rFonts w:ascii="Calibri" w:eastAsia="Times New Roman" w:hAnsi="Calibri" w:cs="Calibri"/>
          <w:color w:val="000000"/>
        </w:rPr>
        <w:t xml:space="preserve"> Even if you do not fall in any of these categories, you may have an obligation to simply file a certification with the FCC saying as much if you were required to file the FCC Form 477 to report broadband connections to end user locations for 2013.  </w:t>
      </w:r>
      <w:r w:rsidR="00200B78" w:rsidRPr="00D26697">
        <w:t xml:space="preserve">For additional information, see the Bureau's September 2013 </w:t>
      </w:r>
      <w:hyperlink r:id="rId20" w:history="1">
        <w:r w:rsidR="00200B78" w:rsidRPr="000136B4">
          <w:rPr>
            <w:rStyle w:val="Hyperlink"/>
            <w:i/>
          </w:rPr>
          <w:t>Data Collection Implementation Order</w:t>
        </w:r>
      </w:hyperlink>
      <w:r w:rsidR="00200B78">
        <w:t xml:space="preserve"> </w:t>
      </w:r>
      <w:r w:rsidR="00200B78" w:rsidRPr="00D26697">
        <w:t>and the</w:t>
      </w:r>
      <w:r w:rsidR="00200B78">
        <w:t xml:space="preserve"> data collection</w:t>
      </w:r>
      <w:r w:rsidR="00200B78" w:rsidRPr="00D26697">
        <w:t xml:space="preserve"> </w:t>
      </w:r>
      <w:hyperlink r:id="rId21" w:history="1">
        <w:r w:rsidR="00200B78">
          <w:rPr>
            <w:rStyle w:val="Hyperlink"/>
            <w:rFonts w:ascii="Calibri" w:eastAsia="Times New Roman" w:hAnsi="Calibri" w:cs="Calibri"/>
          </w:rPr>
          <w:t>Instructions – Pages 3-4</w:t>
        </w:r>
      </w:hyperlink>
      <w:r w:rsidR="00200B78" w:rsidRPr="00D26697">
        <w:t>.</w:t>
      </w:r>
    </w:p>
    <w:p w:rsidR="00200B78" w:rsidRDefault="00200B78" w:rsidP="00200B78">
      <w:pPr>
        <w:spacing w:after="0" w:line="240" w:lineRule="auto"/>
        <w:ind w:left="900"/>
        <w:rPr>
          <w:rFonts w:ascii="Calibri" w:eastAsia="Times New Roman" w:hAnsi="Calibri" w:cs="Calibri"/>
          <w:color w:val="000000"/>
        </w:rPr>
      </w:pPr>
    </w:p>
    <w:p w:rsidR="005C1F9A" w:rsidRPr="00DC4F48" w:rsidRDefault="00B03CDE" w:rsidP="00A450D6">
      <w:pPr>
        <w:pStyle w:val="NoSpacing"/>
        <w:rPr>
          <w:b/>
          <w:u w:val="single"/>
        </w:rPr>
      </w:pPr>
      <w:r>
        <w:rPr>
          <w:b/>
          <w:u w:val="single"/>
        </w:rPr>
        <w:t xml:space="preserve">II. </w:t>
      </w:r>
      <w:r w:rsidR="00822C13">
        <w:rPr>
          <w:b/>
          <w:u w:val="single"/>
        </w:rPr>
        <w:t>SPECIAL ACCESS WEB PORTAL</w:t>
      </w:r>
    </w:p>
    <w:p w:rsidR="00750212" w:rsidRPr="00DC4F48" w:rsidRDefault="00750212" w:rsidP="00822C13">
      <w:pPr>
        <w:pStyle w:val="NoSpacing"/>
      </w:pPr>
    </w:p>
    <w:p w:rsidR="00DD18CC" w:rsidRPr="00B03CDE" w:rsidRDefault="00DD18CC" w:rsidP="00DD18CC">
      <w:pPr>
        <w:pStyle w:val="NoSpacing"/>
        <w:rPr>
          <w:b/>
          <w:u w:val="single"/>
        </w:rPr>
      </w:pPr>
      <w:r w:rsidRPr="00B03CDE">
        <w:rPr>
          <w:b/>
          <w:u w:val="single"/>
        </w:rPr>
        <w:t>LOG IN PAGE</w:t>
      </w:r>
    </w:p>
    <w:p w:rsidR="00DD18CC" w:rsidRDefault="00DD18CC" w:rsidP="00DD18CC">
      <w:pPr>
        <w:pStyle w:val="NoSpacing"/>
        <w:ind w:left="720"/>
        <w:rPr>
          <w:b/>
        </w:rPr>
      </w:pPr>
    </w:p>
    <w:p w:rsidR="00DD18CC" w:rsidRDefault="008E0FAC" w:rsidP="00DD18CC">
      <w:pPr>
        <w:pStyle w:val="NoSpacing"/>
        <w:numPr>
          <w:ilvl w:val="0"/>
          <w:numId w:val="15"/>
        </w:numPr>
        <w:rPr>
          <w:b/>
        </w:rPr>
      </w:pPr>
      <w:r w:rsidRPr="00DC4F48">
        <w:rPr>
          <w:b/>
        </w:rPr>
        <w:t xml:space="preserve">How do I submit responses to the collection?  </w:t>
      </w:r>
    </w:p>
    <w:p w:rsidR="00307E64" w:rsidRDefault="008E0FAC" w:rsidP="00D57652">
      <w:pPr>
        <w:pStyle w:val="NoSpacing"/>
        <w:ind w:left="720"/>
        <w:rPr>
          <w:b/>
        </w:rPr>
      </w:pPr>
      <w:r w:rsidRPr="00DC4F48">
        <w:t xml:space="preserve">Submit responses to the </w:t>
      </w:r>
      <w:r>
        <w:t xml:space="preserve">collection, including narrative responses and database containers, </w:t>
      </w:r>
      <w:r w:rsidR="00CC50D1">
        <w:t xml:space="preserve">and streamlined certifications </w:t>
      </w:r>
      <w:r>
        <w:t>through the</w:t>
      </w:r>
      <w:r w:rsidR="00307E64">
        <w:rPr>
          <w:color w:val="1F497D"/>
        </w:rPr>
        <w:t xml:space="preserve"> </w:t>
      </w:r>
      <w:hyperlink r:id="rId22" w:history="1">
        <w:r w:rsidR="00307E64">
          <w:rPr>
            <w:rStyle w:val="Hyperlink"/>
          </w:rPr>
          <w:t>Special Access Web Portal</w:t>
        </w:r>
      </w:hyperlink>
      <w:r w:rsidR="00D57652">
        <w:rPr>
          <w:b/>
        </w:rPr>
        <w:t>.</w:t>
      </w:r>
    </w:p>
    <w:p w:rsidR="009672CE" w:rsidRDefault="009672CE" w:rsidP="00D57652">
      <w:pPr>
        <w:pStyle w:val="NoSpacing"/>
        <w:ind w:left="720"/>
        <w:rPr>
          <w:b/>
        </w:rPr>
      </w:pPr>
    </w:p>
    <w:p w:rsidR="006A7833" w:rsidRPr="00DD18CC" w:rsidRDefault="006A7833" w:rsidP="00DD18CC">
      <w:pPr>
        <w:pStyle w:val="NoSpacing"/>
        <w:numPr>
          <w:ilvl w:val="0"/>
          <w:numId w:val="15"/>
        </w:numPr>
        <w:rPr>
          <w:b/>
        </w:rPr>
      </w:pPr>
      <w:r w:rsidRPr="00DD18CC">
        <w:rPr>
          <w:b/>
        </w:rPr>
        <w:t>What is an FRN?</w:t>
      </w:r>
    </w:p>
    <w:p w:rsidR="006A7833" w:rsidRPr="006A7833" w:rsidRDefault="006A7833" w:rsidP="00B03CDE">
      <w:pPr>
        <w:pStyle w:val="NoSpacing"/>
        <w:ind w:left="720"/>
      </w:pPr>
      <w:r w:rsidRPr="006A7833">
        <w:t xml:space="preserve">FRN stands for FCC Registration Number.  In order to conduct business with the FCC, you must </w:t>
      </w:r>
      <w:r>
        <w:t>first register through the</w:t>
      </w:r>
      <w:r w:rsidRPr="006A7833">
        <w:t xml:space="preserve"> </w:t>
      </w:r>
      <w:hyperlink r:id="rId23" w:history="1">
        <w:r>
          <w:rPr>
            <w:rStyle w:val="Hyperlink"/>
          </w:rPr>
          <w:t>Commission Registration System (CORES)</w:t>
        </w:r>
      </w:hyperlink>
      <w:r w:rsidR="00DD18CC">
        <w:t xml:space="preserve"> as a business or individual.</w:t>
      </w:r>
      <w:r w:rsidRPr="006A7833">
        <w:t xml:space="preserve">  Upon registration, you will be assigned a 10-digit FRN, which will be used to uniquely identify you in transactions with the FCC.  </w:t>
      </w:r>
    </w:p>
    <w:p w:rsidR="006A7833" w:rsidRDefault="006A7833" w:rsidP="006A7833">
      <w:pPr>
        <w:pStyle w:val="NoSpacing"/>
        <w:rPr>
          <w:b/>
        </w:rPr>
      </w:pPr>
    </w:p>
    <w:p w:rsidR="00B03CDE" w:rsidRDefault="00B03CDE" w:rsidP="00BE715B">
      <w:pPr>
        <w:pStyle w:val="NoSpacing"/>
        <w:numPr>
          <w:ilvl w:val="0"/>
          <w:numId w:val="15"/>
        </w:numPr>
        <w:rPr>
          <w:b/>
        </w:rPr>
      </w:pPr>
      <w:r w:rsidRPr="00B03CDE">
        <w:rPr>
          <w:b/>
        </w:rPr>
        <w:t>What's the format for entering the FRN?</w:t>
      </w:r>
    </w:p>
    <w:p w:rsidR="00B03CDE" w:rsidRPr="00B03CDE" w:rsidRDefault="00B03CDE" w:rsidP="00B03CDE">
      <w:pPr>
        <w:pStyle w:val="NoSpacing"/>
        <w:ind w:left="720"/>
      </w:pPr>
      <w:r w:rsidRPr="00B03CDE">
        <w:t>Enter the FRN with no dashes or spaces, and be sure to enter any leading zeroes.</w:t>
      </w:r>
    </w:p>
    <w:p w:rsidR="00B03CDE" w:rsidRDefault="00B03CDE" w:rsidP="00B03CDE">
      <w:pPr>
        <w:pStyle w:val="NoSpacing"/>
        <w:ind w:left="720"/>
        <w:rPr>
          <w:b/>
        </w:rPr>
      </w:pPr>
    </w:p>
    <w:p w:rsidR="00B03CDE" w:rsidRDefault="00B03CDE" w:rsidP="00BE715B">
      <w:pPr>
        <w:pStyle w:val="NoSpacing"/>
        <w:numPr>
          <w:ilvl w:val="0"/>
          <w:numId w:val="15"/>
        </w:numPr>
        <w:rPr>
          <w:b/>
        </w:rPr>
      </w:pPr>
      <w:r w:rsidRPr="00B03CDE">
        <w:rPr>
          <w:b/>
        </w:rPr>
        <w:t>I don't know my FRN password.</w:t>
      </w:r>
    </w:p>
    <w:p w:rsidR="00B03CDE" w:rsidRDefault="00B03CDE" w:rsidP="00B03CDE">
      <w:pPr>
        <w:pStyle w:val="NoSpacing"/>
        <w:ind w:left="720"/>
        <w:rPr>
          <w:b/>
        </w:rPr>
      </w:pPr>
      <w:r w:rsidRPr="00B03CDE">
        <w:rPr>
          <w:rFonts w:ascii="Calibri" w:eastAsia="Times New Roman" w:hAnsi="Calibri" w:cs="Calibri"/>
          <w:color w:val="000000"/>
        </w:rPr>
        <w:t xml:space="preserve">Click the </w:t>
      </w:r>
      <w:hyperlink r:id="rId24" w:history="1">
        <w:r w:rsidRPr="00B03CDE">
          <w:rPr>
            <w:rStyle w:val="Hyperlink"/>
          </w:rPr>
          <w:t>Forgot You Password?</w:t>
        </w:r>
      </w:hyperlink>
      <w:r w:rsidRPr="00B03CDE">
        <w:rPr>
          <w:rFonts w:ascii="Calibri" w:eastAsia="Times New Roman" w:hAnsi="Calibri" w:cs="Calibri"/>
          <w:color w:val="000000"/>
        </w:rPr>
        <w:t xml:space="preserve"> link on the Log In page.  This will allow you to reset your password online if you know the answer to your previously-provided a Personal Security Question.  If you do not have this information, contact </w:t>
      </w:r>
      <w:r>
        <w:rPr>
          <w:rFonts w:ascii="Calibri" w:eastAsia="Times New Roman" w:hAnsi="Calibri" w:cs="Calibri"/>
          <w:color w:val="000000"/>
        </w:rPr>
        <w:t xml:space="preserve">FCC </w:t>
      </w:r>
      <w:r w:rsidRPr="00B03CDE">
        <w:rPr>
          <w:rFonts w:ascii="Calibri" w:eastAsia="Times New Roman" w:hAnsi="Calibri" w:cs="Calibri"/>
          <w:color w:val="000000"/>
        </w:rPr>
        <w:t>Technical Support at 1-877-480-3201 and select option #1 from the menu for password reset assistance (Mon-Fri 8:00am-6:00pm ET).</w:t>
      </w:r>
    </w:p>
    <w:p w:rsidR="00B03CDE" w:rsidRDefault="00B03CDE" w:rsidP="00B03CDE">
      <w:pPr>
        <w:pStyle w:val="NoSpacing"/>
        <w:ind w:left="720"/>
        <w:rPr>
          <w:b/>
        </w:rPr>
      </w:pPr>
    </w:p>
    <w:p w:rsidR="006A7833" w:rsidRDefault="006A7833" w:rsidP="00BE715B">
      <w:pPr>
        <w:pStyle w:val="NoSpacing"/>
        <w:numPr>
          <w:ilvl w:val="0"/>
          <w:numId w:val="15"/>
        </w:numPr>
        <w:rPr>
          <w:b/>
        </w:rPr>
      </w:pPr>
      <w:r>
        <w:rPr>
          <w:b/>
        </w:rPr>
        <w:t>I have multiple FRNs. Which FRN should I log in with?</w:t>
      </w:r>
    </w:p>
    <w:p w:rsidR="00BE715B" w:rsidRPr="00BE715B" w:rsidRDefault="008F028E" w:rsidP="00B3192E">
      <w:pPr>
        <w:spacing w:after="0" w:line="240" w:lineRule="auto"/>
        <w:ind w:left="720"/>
        <w:rPr>
          <w:rFonts w:ascii="Calibri" w:eastAsia="Times New Roman" w:hAnsi="Calibri" w:cs="Calibri"/>
          <w:color w:val="000000"/>
        </w:rPr>
      </w:pPr>
      <w:r w:rsidRPr="008F028E">
        <w:rPr>
          <w:rFonts w:ascii="Calibri" w:eastAsia="Times New Roman" w:hAnsi="Calibri" w:cs="Calibri"/>
          <w:color w:val="000000"/>
        </w:rPr>
        <w:t xml:space="preserve">Parties can either summit a single response reporting aggregate information at the ultimate parent/holding company level for all subsidiaries, affiliates, and intermediate holding companies or submit separate responses for individual subsidiaries, affiliates, and intermediate holding companies. </w:t>
      </w:r>
      <w:r w:rsidR="004D5826">
        <w:rPr>
          <w:rFonts w:ascii="Calibri" w:eastAsia="Times New Roman" w:hAnsi="Calibri" w:cs="Calibri"/>
          <w:color w:val="000000"/>
        </w:rPr>
        <w:t xml:space="preserve"> </w:t>
      </w:r>
      <w:r>
        <w:rPr>
          <w:rFonts w:ascii="Calibri" w:eastAsia="Times New Roman" w:hAnsi="Calibri" w:cs="Calibri"/>
          <w:color w:val="000000"/>
        </w:rPr>
        <w:t>For further information, see</w:t>
      </w:r>
      <w:r w:rsidR="00BE715B" w:rsidRPr="00BE715B">
        <w:t xml:space="preserve"> </w:t>
      </w:r>
      <w:r w:rsidR="00BE715B">
        <w:t xml:space="preserve">the date collection </w:t>
      </w:r>
      <w:hyperlink r:id="rId25" w:history="1">
        <w:r w:rsidR="00BE715B">
          <w:rPr>
            <w:rStyle w:val="Hyperlink"/>
            <w:rFonts w:ascii="Calibri" w:eastAsia="Times New Roman" w:hAnsi="Calibri" w:cs="Calibri"/>
          </w:rPr>
          <w:t>Instructions – Pages 7-8</w:t>
        </w:r>
      </w:hyperlink>
      <w:r>
        <w:rPr>
          <w:rFonts w:ascii="Calibri" w:eastAsia="Times New Roman" w:hAnsi="Calibri" w:cs="Calibri"/>
          <w:color w:val="000000"/>
        </w:rPr>
        <w:t>.</w:t>
      </w:r>
    </w:p>
    <w:p w:rsidR="002C1CEF" w:rsidRDefault="002C1CEF" w:rsidP="00A450D6">
      <w:pPr>
        <w:pStyle w:val="NoSpacing"/>
        <w:rPr>
          <w:b/>
          <w:u w:val="single"/>
        </w:rPr>
      </w:pPr>
    </w:p>
    <w:p w:rsidR="002C1CEF" w:rsidRDefault="002C1CEF" w:rsidP="00A450D6">
      <w:pPr>
        <w:pStyle w:val="NoSpacing"/>
        <w:rPr>
          <w:b/>
          <w:u w:val="single"/>
        </w:rPr>
      </w:pPr>
      <w:r>
        <w:rPr>
          <w:b/>
          <w:u w:val="single"/>
        </w:rPr>
        <w:t>GETTING STARTED</w:t>
      </w:r>
      <w:r w:rsidR="00FF4A34">
        <w:rPr>
          <w:b/>
          <w:u w:val="single"/>
        </w:rPr>
        <w:t xml:space="preserve"> PAGE</w:t>
      </w:r>
    </w:p>
    <w:p w:rsidR="002C1CEF" w:rsidRDefault="002C1CEF" w:rsidP="00A450D6">
      <w:pPr>
        <w:pStyle w:val="NoSpacing"/>
        <w:rPr>
          <w:b/>
          <w:u w:val="single"/>
        </w:rPr>
      </w:pPr>
    </w:p>
    <w:p w:rsidR="002C1CEF" w:rsidRPr="002C1CEF" w:rsidRDefault="002C1CEF" w:rsidP="002C1CEF">
      <w:pPr>
        <w:pStyle w:val="NoSpacing"/>
        <w:numPr>
          <w:ilvl w:val="0"/>
          <w:numId w:val="18"/>
        </w:numPr>
        <w:rPr>
          <w:b/>
        </w:rPr>
      </w:pPr>
      <w:r w:rsidRPr="002C1CEF">
        <w:rPr>
          <w:b/>
        </w:rPr>
        <w:t xml:space="preserve">What is the Database Container Download? </w:t>
      </w:r>
    </w:p>
    <w:p w:rsidR="00602407" w:rsidRDefault="002C1CEF" w:rsidP="002B5DB0">
      <w:pPr>
        <w:pStyle w:val="NoSpacing"/>
        <w:ind w:left="720"/>
      </w:pPr>
      <w:r w:rsidRPr="002C1CEF">
        <w:t>The database container is a file for submitting data that will include validation scripts to verify that the filer is providing the data in the appropriate format.</w:t>
      </w:r>
      <w:r w:rsidR="00CC50D1">
        <w:t xml:space="preserve">  It is currently unavailable pending further testing.  Once available, we will announce on the </w:t>
      </w:r>
      <w:hyperlink r:id="rId26" w:history="1">
        <w:r w:rsidR="00602407">
          <w:rPr>
            <w:rStyle w:val="Hyperlink"/>
          </w:rPr>
          <w:t>S</w:t>
        </w:r>
        <w:r w:rsidR="00602407" w:rsidRPr="001340E0">
          <w:rPr>
            <w:rStyle w:val="Hyperlink"/>
          </w:rPr>
          <w:t>pecial</w:t>
        </w:r>
        <w:r w:rsidR="00602407">
          <w:rPr>
            <w:rStyle w:val="Hyperlink"/>
          </w:rPr>
          <w:t xml:space="preserve"> A</w:t>
        </w:r>
        <w:r w:rsidR="00602407" w:rsidRPr="001340E0">
          <w:rPr>
            <w:rStyle w:val="Hyperlink"/>
          </w:rPr>
          <w:t>ccess</w:t>
        </w:r>
        <w:r w:rsidR="00602407">
          <w:rPr>
            <w:rStyle w:val="Hyperlink"/>
          </w:rPr>
          <w:t xml:space="preserve"> D</w:t>
        </w:r>
        <w:r w:rsidR="00602407" w:rsidRPr="001340E0">
          <w:rPr>
            <w:rStyle w:val="Hyperlink"/>
          </w:rPr>
          <w:t>ata</w:t>
        </w:r>
        <w:r w:rsidR="00602407">
          <w:rPr>
            <w:rStyle w:val="Hyperlink"/>
          </w:rPr>
          <w:t xml:space="preserve"> C</w:t>
        </w:r>
        <w:r w:rsidR="00602407" w:rsidRPr="001340E0">
          <w:rPr>
            <w:rStyle w:val="Hyperlink"/>
          </w:rPr>
          <w:t>ollection</w:t>
        </w:r>
        <w:r w:rsidR="00602407">
          <w:rPr>
            <w:rStyle w:val="Hyperlink"/>
          </w:rPr>
          <w:t xml:space="preserve"> O</w:t>
        </w:r>
        <w:r w:rsidR="00602407" w:rsidRPr="001340E0">
          <w:rPr>
            <w:rStyle w:val="Hyperlink"/>
          </w:rPr>
          <w:t>verview</w:t>
        </w:r>
      </w:hyperlink>
      <w:r w:rsidR="00602407">
        <w:t xml:space="preserve"> page. </w:t>
      </w:r>
    </w:p>
    <w:p w:rsidR="002C1CEF" w:rsidRDefault="002C1CEF" w:rsidP="002C1CEF">
      <w:pPr>
        <w:pStyle w:val="NoSpacing"/>
        <w:ind w:left="720"/>
      </w:pPr>
    </w:p>
    <w:p w:rsidR="002C1CEF" w:rsidRPr="002C1CEF" w:rsidRDefault="002C1CEF" w:rsidP="002C1CEF">
      <w:pPr>
        <w:pStyle w:val="NoSpacing"/>
        <w:numPr>
          <w:ilvl w:val="0"/>
          <w:numId w:val="18"/>
        </w:numPr>
        <w:rPr>
          <w:b/>
        </w:rPr>
      </w:pPr>
      <w:r w:rsidRPr="002C1CEF">
        <w:rPr>
          <w:b/>
        </w:rPr>
        <w:t xml:space="preserve">When will the Database Container be available for Download? </w:t>
      </w:r>
    </w:p>
    <w:p w:rsidR="002C1CEF" w:rsidRDefault="001C6617" w:rsidP="002C1CEF">
      <w:pPr>
        <w:pStyle w:val="NoSpacing"/>
        <w:ind w:left="720"/>
      </w:pPr>
      <w:r w:rsidRPr="001C6617">
        <w:t>The database container parties will download from the web portal to load and deliver certain data in response to the collection, e.g., location and pricing data, is undergoing final testing and is not yet available.  Accordingly, the Bureau has deactivated certain functionality on the web portal that respondents will use to electronically upload the database container pending completion of the database container.  This feature will become available in the near future, in Version 2.0, once testing is successfully completed.</w:t>
      </w:r>
    </w:p>
    <w:p w:rsidR="002C1CEF" w:rsidRDefault="002C1CEF" w:rsidP="002C1CEF">
      <w:pPr>
        <w:pStyle w:val="NoSpacing"/>
        <w:ind w:left="720"/>
      </w:pPr>
    </w:p>
    <w:p w:rsidR="00B65BA0" w:rsidRPr="0009793D" w:rsidRDefault="002C1CEF" w:rsidP="00B65BA0">
      <w:pPr>
        <w:pStyle w:val="NoSpacing"/>
        <w:numPr>
          <w:ilvl w:val="0"/>
          <w:numId w:val="18"/>
        </w:numPr>
        <w:rPr>
          <w:b/>
        </w:rPr>
      </w:pPr>
      <w:r w:rsidRPr="0009793D">
        <w:rPr>
          <w:b/>
        </w:rPr>
        <w:t>Can I submit data without using the Database Container?</w:t>
      </w:r>
      <w:r w:rsidR="00B65BA0" w:rsidRPr="0009793D">
        <w:rPr>
          <w:b/>
        </w:rPr>
        <w:t xml:space="preserve">  </w:t>
      </w:r>
    </w:p>
    <w:p w:rsidR="00B65BA0" w:rsidRDefault="00B65BA0" w:rsidP="00B65BA0">
      <w:pPr>
        <w:pStyle w:val="NoSpacing"/>
        <w:ind w:left="720"/>
      </w:pPr>
      <w:r w:rsidRPr="00B65BA0">
        <w:t xml:space="preserve">Only for </w:t>
      </w:r>
      <w:r>
        <w:t xml:space="preserve">.zip </w:t>
      </w:r>
      <w:r w:rsidRPr="00B65BA0">
        <w:t>files</w:t>
      </w:r>
      <w:r>
        <w:t xml:space="preserve"> that are</w:t>
      </w:r>
      <w:r w:rsidRPr="00B65BA0">
        <w:t xml:space="preserve"> larger than 2 GB.  Respondents can make arrangements with FCC staff to deliver files larger than 2 GB using a portable electronic storage medium.  </w:t>
      </w:r>
    </w:p>
    <w:p w:rsidR="00B65BA0" w:rsidRDefault="00B65BA0" w:rsidP="00B65BA0">
      <w:pPr>
        <w:pStyle w:val="NoSpacing"/>
      </w:pPr>
    </w:p>
    <w:p w:rsidR="00B65BA0" w:rsidRPr="0009793D" w:rsidRDefault="00B65BA0" w:rsidP="00B65BA0">
      <w:pPr>
        <w:pStyle w:val="NoSpacing"/>
        <w:numPr>
          <w:ilvl w:val="0"/>
          <w:numId w:val="18"/>
        </w:numPr>
        <w:rPr>
          <w:b/>
        </w:rPr>
      </w:pPr>
      <w:r w:rsidRPr="0009793D">
        <w:rPr>
          <w:b/>
        </w:rPr>
        <w:t>Can I submit my Essay Uploads without submitting my Database Container and Log File?</w:t>
      </w:r>
    </w:p>
    <w:p w:rsidR="00B65BA0" w:rsidRDefault="00CC50D1" w:rsidP="00B65BA0">
      <w:pPr>
        <w:pStyle w:val="NoSpacing"/>
        <w:ind w:left="720"/>
      </w:pPr>
      <w:r>
        <w:t>You can upload responses to the narrative questions on the Essay Uploads page but you will be unable to successfully complete the submission process for the Full Website filing option until the Database Container is made available.</w:t>
      </w:r>
      <w:r w:rsidR="00B65BA0">
        <w:t xml:space="preserve">  </w:t>
      </w:r>
    </w:p>
    <w:p w:rsidR="00271F1E" w:rsidRDefault="00271F1E" w:rsidP="00271F1E">
      <w:pPr>
        <w:pStyle w:val="NoSpacing"/>
      </w:pPr>
    </w:p>
    <w:p w:rsidR="00271F1E" w:rsidRDefault="00271F1E" w:rsidP="00280632">
      <w:pPr>
        <w:pStyle w:val="NoSpacing"/>
        <w:numPr>
          <w:ilvl w:val="0"/>
          <w:numId w:val="18"/>
        </w:numPr>
        <w:rPr>
          <w:b/>
        </w:rPr>
      </w:pPr>
      <w:r w:rsidRPr="00271F1E">
        <w:rPr>
          <w:b/>
        </w:rPr>
        <w:t>Do I qualify for the Streamlined Certification Process?</w:t>
      </w:r>
    </w:p>
    <w:p w:rsidR="002C1CEF" w:rsidRDefault="00386B84" w:rsidP="00386B84">
      <w:pPr>
        <w:pStyle w:val="NoSpacing"/>
        <w:ind w:left="720"/>
      </w:pPr>
      <w:r>
        <w:t xml:space="preserve">You </w:t>
      </w:r>
      <w:r w:rsidR="00CC50D1">
        <w:t xml:space="preserve">only </w:t>
      </w:r>
      <w:r>
        <w:t>qualify for the Streamlined Certification Process i</w:t>
      </w:r>
      <w:r w:rsidRPr="00386B84">
        <w:t>f you were required to file the Form 477 "Local Telephone Competition and Broadband Reporting," on March 1, 2013, to report broadband connections to end users as of December 31, 2012</w:t>
      </w:r>
      <w:r w:rsidR="00CC50D1">
        <w:t xml:space="preserve"> and </w:t>
      </w:r>
      <w:r w:rsidRPr="00545621">
        <w:t>are not</w:t>
      </w:r>
      <w:r w:rsidRPr="00386B84">
        <w:t xml:space="preserve"> </w:t>
      </w:r>
      <w:r w:rsidR="00CC50D1">
        <w:t xml:space="preserve">a </w:t>
      </w:r>
      <w:r w:rsidRPr="00545621">
        <w:rPr>
          <w:i/>
        </w:rPr>
        <w:t>Provider</w:t>
      </w:r>
      <w:r w:rsidRPr="00386B84">
        <w:t xml:space="preserve">, </w:t>
      </w:r>
      <w:r w:rsidRPr="00545621">
        <w:rPr>
          <w:i/>
        </w:rPr>
        <w:t>Purchaser</w:t>
      </w:r>
      <w:r w:rsidRPr="00386B84">
        <w:t>, or entit</w:t>
      </w:r>
      <w:r w:rsidR="00CC50D1">
        <w:t>y</w:t>
      </w:r>
      <w:r w:rsidRPr="00386B84">
        <w:t xml:space="preserve"> providing </w:t>
      </w:r>
      <w:r w:rsidRPr="00545621">
        <w:rPr>
          <w:i/>
        </w:rPr>
        <w:t>Best Efforts Business Broadband Internet Access Services</w:t>
      </w:r>
      <w:r w:rsidRPr="00386B84">
        <w:t xml:space="preserve"> to 15,000 or more customers or 1,500 or more business broadband customers in price cap areas.</w:t>
      </w:r>
    </w:p>
    <w:p w:rsidR="00386B84" w:rsidRDefault="00386B84" w:rsidP="00386B84">
      <w:pPr>
        <w:pStyle w:val="NoSpacing"/>
        <w:ind w:left="720"/>
      </w:pPr>
    </w:p>
    <w:p w:rsidR="0009793D" w:rsidRPr="0009793D" w:rsidRDefault="0009793D" w:rsidP="00B65BA0">
      <w:pPr>
        <w:pStyle w:val="NoSpacing"/>
        <w:rPr>
          <w:b/>
          <w:u w:val="single"/>
        </w:rPr>
      </w:pPr>
      <w:r w:rsidRPr="0009793D">
        <w:rPr>
          <w:b/>
          <w:u w:val="single"/>
        </w:rPr>
        <w:t>FILER IDENTIFICATION</w:t>
      </w:r>
    </w:p>
    <w:p w:rsidR="00983A13" w:rsidRDefault="00983A13" w:rsidP="009672CE">
      <w:pPr>
        <w:pStyle w:val="NoSpacing"/>
      </w:pPr>
    </w:p>
    <w:p w:rsidR="00983A13" w:rsidRPr="001D7A41" w:rsidRDefault="001D7A41" w:rsidP="00983A13">
      <w:pPr>
        <w:pStyle w:val="NoSpacing"/>
        <w:numPr>
          <w:ilvl w:val="0"/>
          <w:numId w:val="19"/>
        </w:numPr>
        <w:rPr>
          <w:b/>
        </w:rPr>
      </w:pPr>
      <w:r w:rsidRPr="001D7A41">
        <w:rPr>
          <w:b/>
        </w:rPr>
        <w:t>Who is a “Purchaser – Other”?</w:t>
      </w:r>
    </w:p>
    <w:p w:rsidR="001D7A41" w:rsidRDefault="001D7A41" w:rsidP="001D7A41">
      <w:pPr>
        <w:pStyle w:val="NoSpacing"/>
        <w:ind w:left="720"/>
      </w:pPr>
      <w:r>
        <w:t xml:space="preserve">Refers to Purchasers that are not mobile wireless service providers. For more information, see </w:t>
      </w:r>
      <w:hyperlink r:id="rId27" w:history="1">
        <w:r w:rsidR="00AB262D">
          <w:rPr>
            <w:rStyle w:val="Hyperlink"/>
          </w:rPr>
          <w:t>Data Collection Questions 11.F.1-14</w:t>
        </w:r>
      </w:hyperlink>
      <w:r w:rsidR="00AB262D">
        <w:t xml:space="preserve"> </w:t>
      </w:r>
      <w:r>
        <w:t xml:space="preserve">and </w:t>
      </w:r>
      <w:hyperlink r:id="rId28" w:history="1">
        <w:r w:rsidR="00AB262D">
          <w:rPr>
            <w:rStyle w:val="Hyperlink"/>
            <w:rFonts w:ascii="Calibri" w:eastAsia="Times New Roman" w:hAnsi="Calibri" w:cs="Calibri"/>
          </w:rPr>
          <w:t>Instructions – Pages 64-71</w:t>
        </w:r>
      </w:hyperlink>
      <w:r>
        <w:t>.</w:t>
      </w:r>
    </w:p>
    <w:p w:rsidR="001D7A41" w:rsidRDefault="001D7A41" w:rsidP="001D7A41">
      <w:pPr>
        <w:pStyle w:val="NoSpacing"/>
      </w:pPr>
    </w:p>
    <w:p w:rsidR="001D7A41" w:rsidRPr="001D7A41" w:rsidRDefault="001D7A41" w:rsidP="001D7A41">
      <w:pPr>
        <w:pStyle w:val="NoSpacing"/>
        <w:rPr>
          <w:b/>
          <w:u w:val="single"/>
        </w:rPr>
      </w:pPr>
      <w:r w:rsidRPr="001D7A41">
        <w:rPr>
          <w:b/>
          <w:u w:val="single"/>
        </w:rPr>
        <w:t>ESSAY UPLOADS</w:t>
      </w:r>
    </w:p>
    <w:p w:rsidR="001D7A41" w:rsidRPr="00052828" w:rsidRDefault="001D7A41" w:rsidP="001D7A41">
      <w:pPr>
        <w:pStyle w:val="NoSpacing"/>
        <w:rPr>
          <w:b/>
        </w:rPr>
      </w:pPr>
    </w:p>
    <w:p w:rsidR="00052828" w:rsidRDefault="00052828" w:rsidP="001D7A41">
      <w:pPr>
        <w:pStyle w:val="NoSpacing"/>
        <w:numPr>
          <w:ilvl w:val="0"/>
          <w:numId w:val="20"/>
        </w:numPr>
      </w:pPr>
      <w:r w:rsidRPr="00052828">
        <w:rPr>
          <w:b/>
        </w:rPr>
        <w:t>Is there a file size limit</w:t>
      </w:r>
      <w:r>
        <w:rPr>
          <w:b/>
        </w:rPr>
        <w:t xml:space="preserve"> for Essay Uploads</w:t>
      </w:r>
      <w:r w:rsidRPr="00052828">
        <w:rPr>
          <w:b/>
        </w:rPr>
        <w:t>?</w:t>
      </w:r>
      <w:r>
        <w:t xml:space="preserve"> </w:t>
      </w:r>
    </w:p>
    <w:p w:rsidR="001D7A41" w:rsidRDefault="00D4004D" w:rsidP="00052828">
      <w:pPr>
        <w:pStyle w:val="NoSpacing"/>
        <w:ind w:left="720"/>
      </w:pPr>
      <w:r>
        <w:t xml:space="preserve">Yes. The file size limit is </w:t>
      </w:r>
      <w:r w:rsidR="00052828">
        <w:t>2 GB.</w:t>
      </w:r>
    </w:p>
    <w:p w:rsidR="00052828" w:rsidRDefault="00052828" w:rsidP="00052828">
      <w:pPr>
        <w:pStyle w:val="NoSpacing"/>
        <w:ind w:left="720"/>
      </w:pPr>
    </w:p>
    <w:p w:rsidR="00052828" w:rsidRPr="006A61CF" w:rsidRDefault="00052828" w:rsidP="00052828">
      <w:pPr>
        <w:pStyle w:val="NoSpacing"/>
        <w:numPr>
          <w:ilvl w:val="0"/>
          <w:numId w:val="20"/>
        </w:numPr>
        <w:rPr>
          <w:b/>
        </w:rPr>
      </w:pPr>
      <w:r w:rsidRPr="006A61CF">
        <w:rPr>
          <w:b/>
        </w:rPr>
        <w:t xml:space="preserve">How can I submit files that exceed 2 GB? </w:t>
      </w:r>
    </w:p>
    <w:p w:rsidR="00052828" w:rsidRDefault="00052828" w:rsidP="00052828">
      <w:pPr>
        <w:pStyle w:val="NoSpacing"/>
        <w:ind w:left="720"/>
      </w:pPr>
      <w:r w:rsidRPr="00052828">
        <w:t xml:space="preserve">Respondents can make arrangements with FCC staff to deliver files larger than 2 GB using a portable electronic storage medium.  </w:t>
      </w:r>
    </w:p>
    <w:p w:rsidR="00052828" w:rsidRDefault="00052828" w:rsidP="00052828">
      <w:pPr>
        <w:pStyle w:val="NoSpacing"/>
        <w:ind w:left="720"/>
      </w:pPr>
    </w:p>
    <w:p w:rsidR="00052828" w:rsidRPr="00420C76" w:rsidRDefault="00420C76" w:rsidP="00420C76">
      <w:pPr>
        <w:pStyle w:val="NoSpacing"/>
        <w:numPr>
          <w:ilvl w:val="0"/>
          <w:numId w:val="20"/>
        </w:numPr>
        <w:rPr>
          <w:b/>
        </w:rPr>
      </w:pPr>
      <w:r w:rsidRPr="00420C76">
        <w:rPr>
          <w:b/>
        </w:rPr>
        <w:t>My essay responses do not contain Highly Confidential Information so what am I supposed to upload in the "Highly Confidential" field?</w:t>
      </w:r>
    </w:p>
    <w:p w:rsidR="00420C76" w:rsidRDefault="00420C76" w:rsidP="00420C76">
      <w:pPr>
        <w:pStyle w:val="NoSpacing"/>
        <w:ind w:left="720"/>
      </w:pPr>
      <w:r w:rsidRPr="00420C76">
        <w:t xml:space="preserve">Upload the same Confidential filing in the "Highly Confidential" field.  </w:t>
      </w:r>
    </w:p>
    <w:p w:rsidR="00040DF0" w:rsidRDefault="00040DF0" w:rsidP="00420C76">
      <w:pPr>
        <w:pStyle w:val="NoSpacing"/>
        <w:ind w:left="720"/>
      </w:pPr>
    </w:p>
    <w:p w:rsidR="00420C76" w:rsidRPr="00420C76" w:rsidRDefault="00420C76" w:rsidP="00420C76">
      <w:pPr>
        <w:pStyle w:val="NoSpacing"/>
        <w:numPr>
          <w:ilvl w:val="0"/>
          <w:numId w:val="20"/>
        </w:numPr>
        <w:rPr>
          <w:b/>
        </w:rPr>
      </w:pPr>
      <w:r w:rsidRPr="00420C76">
        <w:rPr>
          <w:b/>
        </w:rPr>
        <w:t>What types of files will the essay upload accept?</w:t>
      </w:r>
    </w:p>
    <w:p w:rsidR="002C1CEF" w:rsidRPr="002C1CEF" w:rsidRDefault="00420C76" w:rsidP="00420C76">
      <w:pPr>
        <w:pStyle w:val="NoSpacing"/>
        <w:ind w:left="720"/>
      </w:pPr>
      <w:r w:rsidRPr="00420C76">
        <w:t xml:space="preserve">There are no formatting restrictions on uploads responding to the Essay Questions.  The essay upload will accept Microsoft Word, Microsoft Excel, Adobe PDFs, text, etc.  </w:t>
      </w:r>
    </w:p>
    <w:p w:rsidR="002C1CEF" w:rsidRDefault="002C1CEF" w:rsidP="00A450D6">
      <w:pPr>
        <w:pStyle w:val="NoSpacing"/>
        <w:rPr>
          <w:b/>
          <w:u w:val="single"/>
        </w:rPr>
      </w:pPr>
    </w:p>
    <w:p w:rsidR="00B07C90" w:rsidRDefault="00B07C90" w:rsidP="00A450D6">
      <w:pPr>
        <w:pStyle w:val="NoSpacing"/>
        <w:rPr>
          <w:b/>
          <w:u w:val="single"/>
        </w:rPr>
      </w:pPr>
      <w:r>
        <w:rPr>
          <w:b/>
          <w:u w:val="single"/>
        </w:rPr>
        <w:t>DATABASE UPLOAD</w:t>
      </w:r>
    </w:p>
    <w:p w:rsidR="00B07C90" w:rsidRDefault="00B07C90" w:rsidP="00A450D6">
      <w:pPr>
        <w:pStyle w:val="NoSpacing"/>
        <w:rPr>
          <w:b/>
          <w:u w:val="single"/>
        </w:rPr>
      </w:pPr>
    </w:p>
    <w:p w:rsidR="000718B6" w:rsidRDefault="000718B6" w:rsidP="000718B6">
      <w:pPr>
        <w:pStyle w:val="NoSpacing"/>
        <w:numPr>
          <w:ilvl w:val="0"/>
          <w:numId w:val="21"/>
        </w:numPr>
      </w:pPr>
      <w:r w:rsidRPr="000718B6">
        <w:rPr>
          <w:b/>
        </w:rPr>
        <w:t>What types of files will the database upload accept?</w:t>
      </w:r>
      <w:r w:rsidRPr="000718B6">
        <w:t xml:space="preserve"> </w:t>
      </w:r>
    </w:p>
    <w:p w:rsidR="003B1461" w:rsidRDefault="000718B6" w:rsidP="000718B6">
      <w:pPr>
        <w:pStyle w:val="NoSpacing"/>
        <w:ind w:left="720"/>
      </w:pPr>
      <w:r>
        <w:t xml:space="preserve">The database container will only accept a .zip file format </w:t>
      </w:r>
      <w:r w:rsidRPr="000718B6">
        <w:t>that do</w:t>
      </w:r>
      <w:r>
        <w:t>es</w:t>
      </w:r>
      <w:r w:rsidRPr="000718B6">
        <w:t xml:space="preserve"> not exceed 2 Gigabytes (GB).</w:t>
      </w:r>
    </w:p>
    <w:p w:rsidR="000718B6" w:rsidRDefault="000718B6" w:rsidP="000718B6">
      <w:pPr>
        <w:pStyle w:val="NoSpacing"/>
        <w:ind w:left="720"/>
      </w:pPr>
    </w:p>
    <w:p w:rsidR="000718B6" w:rsidRPr="000718B6" w:rsidRDefault="000718B6" w:rsidP="000718B6">
      <w:pPr>
        <w:pStyle w:val="NoSpacing"/>
        <w:numPr>
          <w:ilvl w:val="0"/>
          <w:numId w:val="21"/>
        </w:numPr>
        <w:rPr>
          <w:b/>
        </w:rPr>
      </w:pPr>
      <w:r w:rsidRPr="000718B6">
        <w:rPr>
          <w:b/>
        </w:rPr>
        <w:t xml:space="preserve">Is there a file size limit for Essay Uploads? </w:t>
      </w:r>
    </w:p>
    <w:p w:rsidR="000718B6" w:rsidRDefault="003A68CD" w:rsidP="000718B6">
      <w:pPr>
        <w:pStyle w:val="NoSpacing"/>
        <w:ind w:left="720"/>
      </w:pPr>
      <w:r>
        <w:t xml:space="preserve">Yes. </w:t>
      </w:r>
      <w:r w:rsidR="000718B6">
        <w:t>2 GB.</w:t>
      </w:r>
    </w:p>
    <w:p w:rsidR="000718B6" w:rsidRDefault="000718B6" w:rsidP="000718B6">
      <w:pPr>
        <w:pStyle w:val="NoSpacing"/>
        <w:ind w:left="720"/>
      </w:pPr>
    </w:p>
    <w:p w:rsidR="000718B6" w:rsidRPr="000718B6" w:rsidRDefault="000718B6" w:rsidP="000718B6">
      <w:pPr>
        <w:pStyle w:val="NoSpacing"/>
        <w:numPr>
          <w:ilvl w:val="0"/>
          <w:numId w:val="21"/>
        </w:numPr>
        <w:rPr>
          <w:b/>
        </w:rPr>
      </w:pPr>
      <w:r w:rsidRPr="000718B6">
        <w:rPr>
          <w:b/>
        </w:rPr>
        <w:t xml:space="preserve">How can I submit files that exceed 2 GB? </w:t>
      </w:r>
    </w:p>
    <w:p w:rsidR="000718B6" w:rsidRDefault="000718B6" w:rsidP="000718B6">
      <w:pPr>
        <w:pStyle w:val="NoSpacing"/>
        <w:ind w:left="720"/>
      </w:pPr>
      <w:r>
        <w:t xml:space="preserve">Respondents can make arrangements with FCC staff to deliver files larger than 2 GB using a portable electronic storage medium.  </w:t>
      </w:r>
    </w:p>
    <w:p w:rsidR="000718B6" w:rsidRDefault="000718B6" w:rsidP="000718B6">
      <w:pPr>
        <w:pStyle w:val="NoSpacing"/>
      </w:pPr>
    </w:p>
    <w:p w:rsidR="000718B6" w:rsidRPr="000718B6" w:rsidRDefault="000718B6" w:rsidP="000718B6">
      <w:pPr>
        <w:pStyle w:val="NoSpacing"/>
        <w:numPr>
          <w:ilvl w:val="0"/>
          <w:numId w:val="21"/>
        </w:numPr>
        <w:rPr>
          <w:b/>
        </w:rPr>
      </w:pPr>
      <w:r w:rsidRPr="000718B6">
        <w:rPr>
          <w:b/>
        </w:rPr>
        <w:t>What is a Log File?</w:t>
      </w:r>
    </w:p>
    <w:p w:rsidR="000718B6" w:rsidRDefault="000718B6" w:rsidP="000718B6">
      <w:pPr>
        <w:pStyle w:val="NoSpacing"/>
        <w:ind w:left="720"/>
      </w:pPr>
      <w:r w:rsidRPr="000718B6">
        <w:t>A file that provides a system check to ensure that your FCC Registration Number (FRN) matches the database container and that your database container is properly received by the FCC.</w:t>
      </w:r>
    </w:p>
    <w:p w:rsidR="001C6617" w:rsidRDefault="001C6617" w:rsidP="001C6617">
      <w:pPr>
        <w:pStyle w:val="NoSpacing"/>
      </w:pPr>
    </w:p>
    <w:p w:rsidR="001C6617" w:rsidRPr="001C6617" w:rsidRDefault="001C6617" w:rsidP="001C6617">
      <w:pPr>
        <w:pStyle w:val="NoSpacing"/>
        <w:numPr>
          <w:ilvl w:val="0"/>
          <w:numId w:val="21"/>
        </w:numPr>
        <w:rPr>
          <w:b/>
        </w:rPr>
      </w:pPr>
      <w:r w:rsidRPr="001C6617">
        <w:rPr>
          <w:b/>
        </w:rPr>
        <w:t>Why can’t I upload my Log File and Database Container?</w:t>
      </w:r>
    </w:p>
    <w:p w:rsidR="001C6617" w:rsidRPr="000718B6" w:rsidRDefault="001C6617" w:rsidP="001C6617">
      <w:pPr>
        <w:pStyle w:val="NoSpacing"/>
        <w:ind w:left="720"/>
      </w:pPr>
      <w:r>
        <w:t xml:space="preserve">The database container parties will download from the web portal to load and deliver certain data in response to the collection, </w:t>
      </w:r>
      <w:r w:rsidRPr="00157955">
        <w:t>e.g.</w:t>
      </w:r>
      <w:r>
        <w:t xml:space="preserve">, location and pricing data, is undergoing final testing and is not yet available.  Accordingly, the Bureau has deactivated certain functionality on the web portal that respondents will use to electronically upload the database container pending completion of the database container.  </w:t>
      </w:r>
      <w:r w:rsidRPr="00597569">
        <w:t>This feature will become available in the near future</w:t>
      </w:r>
      <w:r>
        <w:t>,</w:t>
      </w:r>
      <w:r w:rsidRPr="00597569">
        <w:t xml:space="preserve"> </w:t>
      </w:r>
      <w:r>
        <w:t xml:space="preserve">in Version 2.0, </w:t>
      </w:r>
      <w:r w:rsidRPr="00597569">
        <w:t>once testing is successfully completed</w:t>
      </w:r>
      <w:r>
        <w:t xml:space="preserve">. </w:t>
      </w:r>
    </w:p>
    <w:p w:rsidR="003B1461" w:rsidRDefault="003B1461" w:rsidP="00A450D6">
      <w:pPr>
        <w:pStyle w:val="NoSpacing"/>
        <w:rPr>
          <w:b/>
          <w:u w:val="single"/>
        </w:rPr>
      </w:pPr>
    </w:p>
    <w:p w:rsidR="00F57ECD" w:rsidRDefault="00F57ECD" w:rsidP="00A450D6">
      <w:pPr>
        <w:pStyle w:val="NoSpacing"/>
        <w:rPr>
          <w:b/>
          <w:u w:val="single"/>
        </w:rPr>
      </w:pPr>
      <w:r>
        <w:rPr>
          <w:b/>
          <w:u w:val="single"/>
        </w:rPr>
        <w:t>CERTIFICATION</w:t>
      </w:r>
    </w:p>
    <w:p w:rsidR="00F57ECD" w:rsidRDefault="00F57ECD" w:rsidP="00A450D6">
      <w:pPr>
        <w:pStyle w:val="NoSpacing"/>
        <w:rPr>
          <w:b/>
          <w:u w:val="single"/>
        </w:rPr>
      </w:pPr>
    </w:p>
    <w:p w:rsidR="00F57ECD" w:rsidRPr="00F57ECD" w:rsidRDefault="00F57ECD" w:rsidP="00F57ECD">
      <w:pPr>
        <w:pStyle w:val="NoSpacing"/>
        <w:numPr>
          <w:ilvl w:val="0"/>
          <w:numId w:val="17"/>
        </w:numPr>
        <w:rPr>
          <w:b/>
        </w:rPr>
      </w:pPr>
      <w:r w:rsidRPr="00F57ECD">
        <w:rPr>
          <w:b/>
        </w:rPr>
        <w:t>May a single Certification Statement cover multiple entities?</w:t>
      </w:r>
    </w:p>
    <w:p w:rsidR="00F57ECD" w:rsidRDefault="002C1CEF" w:rsidP="00F57ECD">
      <w:pPr>
        <w:pStyle w:val="NoSpacing"/>
        <w:ind w:left="720"/>
      </w:pPr>
      <w:r>
        <w:t>Yes.</w:t>
      </w:r>
    </w:p>
    <w:p w:rsidR="00271F1E" w:rsidRDefault="00271F1E" w:rsidP="00271F1E">
      <w:pPr>
        <w:pStyle w:val="NoSpacing"/>
      </w:pPr>
    </w:p>
    <w:p w:rsidR="00271F1E" w:rsidRPr="00271F1E" w:rsidRDefault="00271F1E" w:rsidP="00271F1E">
      <w:pPr>
        <w:pStyle w:val="NoSpacing"/>
        <w:rPr>
          <w:b/>
          <w:u w:val="single"/>
        </w:rPr>
      </w:pPr>
      <w:r w:rsidRPr="00271F1E">
        <w:rPr>
          <w:b/>
          <w:u w:val="single"/>
        </w:rPr>
        <w:t>SUBMISSION</w:t>
      </w:r>
    </w:p>
    <w:p w:rsidR="00271F1E" w:rsidRPr="001B0A5E" w:rsidRDefault="00271F1E" w:rsidP="00271F1E">
      <w:pPr>
        <w:pStyle w:val="NoSpacing"/>
        <w:rPr>
          <w:b/>
        </w:rPr>
      </w:pPr>
    </w:p>
    <w:p w:rsidR="00271F1E" w:rsidRPr="001B0A5E" w:rsidRDefault="001B0A5E" w:rsidP="001B0A5E">
      <w:pPr>
        <w:pStyle w:val="NoSpacing"/>
        <w:numPr>
          <w:ilvl w:val="0"/>
          <w:numId w:val="22"/>
        </w:numPr>
        <w:rPr>
          <w:b/>
        </w:rPr>
      </w:pPr>
      <w:r w:rsidRPr="001B0A5E">
        <w:rPr>
          <w:b/>
        </w:rPr>
        <w:t>Can I print my complete submission package?</w:t>
      </w:r>
    </w:p>
    <w:p w:rsidR="001B0A5E" w:rsidRDefault="001B0A5E" w:rsidP="001B0A5E">
      <w:pPr>
        <w:pStyle w:val="NoSpacing"/>
        <w:ind w:left="720"/>
      </w:pPr>
      <w:r>
        <w:t>No.</w:t>
      </w:r>
    </w:p>
    <w:p w:rsidR="001B0A5E" w:rsidRDefault="001B0A5E" w:rsidP="001B0A5E">
      <w:pPr>
        <w:pStyle w:val="NoSpacing"/>
        <w:ind w:left="720"/>
      </w:pPr>
    </w:p>
    <w:p w:rsidR="001B0A5E" w:rsidRPr="001B0A5E" w:rsidRDefault="001B0A5E" w:rsidP="001B0A5E">
      <w:pPr>
        <w:pStyle w:val="NoSpacing"/>
        <w:numPr>
          <w:ilvl w:val="0"/>
          <w:numId w:val="22"/>
        </w:numPr>
        <w:rPr>
          <w:b/>
        </w:rPr>
      </w:pPr>
      <w:r w:rsidRPr="001B0A5E">
        <w:rPr>
          <w:b/>
        </w:rPr>
        <w:t>Can I print the certification page as proof of filing?</w:t>
      </w:r>
    </w:p>
    <w:p w:rsidR="001B0A5E" w:rsidRDefault="001B0A5E" w:rsidP="001B0A5E">
      <w:pPr>
        <w:pStyle w:val="NoSpacing"/>
        <w:ind w:left="720"/>
      </w:pPr>
      <w:r>
        <w:t>Yes.</w:t>
      </w:r>
    </w:p>
    <w:p w:rsidR="001B0A5E" w:rsidRDefault="001B0A5E" w:rsidP="001B0A5E">
      <w:pPr>
        <w:pStyle w:val="NoSpacing"/>
        <w:ind w:left="720"/>
      </w:pPr>
    </w:p>
    <w:p w:rsidR="001B0A5E" w:rsidRPr="001B0A5E" w:rsidRDefault="001B0A5E" w:rsidP="001B0A5E">
      <w:pPr>
        <w:pStyle w:val="NoSpacing"/>
        <w:numPr>
          <w:ilvl w:val="0"/>
          <w:numId w:val="22"/>
        </w:numPr>
        <w:rPr>
          <w:b/>
        </w:rPr>
      </w:pPr>
      <w:r>
        <w:rPr>
          <w:b/>
        </w:rPr>
        <w:t>When will I be able to</w:t>
      </w:r>
      <w:r w:rsidRPr="001B0A5E">
        <w:rPr>
          <w:b/>
        </w:rPr>
        <w:t xml:space="preserve"> submit responses to the Full Website.</w:t>
      </w:r>
    </w:p>
    <w:p w:rsidR="001B0A5E" w:rsidRDefault="001B0A5E" w:rsidP="001B0A5E">
      <w:pPr>
        <w:pStyle w:val="NoSpacing"/>
        <w:ind w:left="720"/>
      </w:pPr>
      <w:r w:rsidRPr="001B0A5E">
        <w:t xml:space="preserve">You will not be able to submit your responses until the Database Container is uploaded to the Full Website under the "Getting Started" webpage. </w:t>
      </w:r>
      <w:r w:rsidR="006D2AD8" w:rsidRPr="006D2AD8">
        <w:t>The database container parties will download from the web portal to load and deliver certain data in response to the collection, e.g., location and pricing data, is undergoing final testing and is not yet available.  Accordingly, the Bureau has deactivated certain functionality on the web portal that respondents will use to electronically upload the database container pending completion of the database container.  This feature will become available in the near future, in Version 2.0, once testing is successfully completed.</w:t>
      </w:r>
    </w:p>
    <w:p w:rsidR="006D2AD8" w:rsidRDefault="006D2AD8" w:rsidP="001B0A5E">
      <w:pPr>
        <w:pStyle w:val="NoSpacing"/>
        <w:ind w:left="720"/>
      </w:pPr>
    </w:p>
    <w:p w:rsidR="001B0A5E" w:rsidRPr="00040DF0" w:rsidRDefault="001B0A5E" w:rsidP="001B0A5E">
      <w:pPr>
        <w:pStyle w:val="NoSpacing"/>
        <w:numPr>
          <w:ilvl w:val="0"/>
          <w:numId w:val="22"/>
        </w:numPr>
        <w:rPr>
          <w:b/>
        </w:rPr>
      </w:pPr>
      <w:r w:rsidRPr="00040DF0">
        <w:rPr>
          <w:b/>
        </w:rPr>
        <w:t>How do I change the filer type once I submit my responses to the Full Website?</w:t>
      </w:r>
    </w:p>
    <w:p w:rsidR="003D4AEF" w:rsidRDefault="00040DF0" w:rsidP="00040DF0">
      <w:pPr>
        <w:pStyle w:val="NoSpacing"/>
        <w:ind w:left="720"/>
      </w:pPr>
      <w:r w:rsidRPr="00040DF0">
        <w:t xml:space="preserve">You will need to contact FCC staff to reset the system to enable you to resubmit your submission in its entirety.  </w:t>
      </w:r>
    </w:p>
    <w:p w:rsidR="00040DF0" w:rsidRDefault="00040DF0" w:rsidP="00040DF0">
      <w:pPr>
        <w:pStyle w:val="NoSpacing"/>
      </w:pPr>
    </w:p>
    <w:sectPr w:rsidR="00040DF0" w:rsidSect="00C813EF">
      <w:headerReference w:type="even" r:id="rId29"/>
      <w:headerReference w:type="default" r:id="rId30"/>
      <w:footerReference w:type="even" r:id="rId31"/>
      <w:footerReference w:type="default" r:id="rId32"/>
      <w:headerReference w:type="first" r:id="rId33"/>
      <w:footerReference w:type="first" r:id="rId3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96" w:rsidRDefault="00D42396" w:rsidP="00C813EF">
      <w:pPr>
        <w:spacing w:after="0" w:line="240" w:lineRule="auto"/>
      </w:pPr>
      <w:r>
        <w:separator/>
      </w:r>
    </w:p>
  </w:endnote>
  <w:endnote w:type="continuationSeparator" w:id="0">
    <w:p w:rsidR="00D42396" w:rsidRDefault="00D42396" w:rsidP="00C8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EC" w:rsidRDefault="00087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84340"/>
      <w:docPartObj>
        <w:docPartGallery w:val="Page Numbers (Bottom of Page)"/>
        <w:docPartUnique/>
      </w:docPartObj>
    </w:sdtPr>
    <w:sdtEndPr>
      <w:rPr>
        <w:noProof/>
      </w:rPr>
    </w:sdtEndPr>
    <w:sdtContent>
      <w:p w:rsidR="004E7F00" w:rsidRDefault="004E7F00">
        <w:pPr>
          <w:pStyle w:val="Footer"/>
          <w:jc w:val="center"/>
        </w:pPr>
        <w:r>
          <w:fldChar w:fldCharType="begin"/>
        </w:r>
        <w:r>
          <w:instrText xml:space="preserve"> PAGE   \* MERGEFORMAT </w:instrText>
        </w:r>
        <w:r>
          <w:fldChar w:fldCharType="separate"/>
        </w:r>
        <w:r w:rsidR="00FE5468">
          <w:rPr>
            <w:noProof/>
          </w:rPr>
          <w:t>1</w:t>
        </w:r>
        <w:r>
          <w:rPr>
            <w:noProof/>
          </w:rPr>
          <w:fldChar w:fldCharType="end"/>
        </w:r>
      </w:p>
    </w:sdtContent>
  </w:sdt>
  <w:p w:rsidR="004E7F00" w:rsidRDefault="004E7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EC" w:rsidRDefault="0008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96" w:rsidRDefault="00D42396" w:rsidP="00C813EF">
      <w:pPr>
        <w:spacing w:after="0" w:line="240" w:lineRule="auto"/>
      </w:pPr>
      <w:r>
        <w:separator/>
      </w:r>
    </w:p>
  </w:footnote>
  <w:footnote w:type="continuationSeparator" w:id="0">
    <w:p w:rsidR="00D42396" w:rsidRDefault="00D42396" w:rsidP="00C8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EC" w:rsidRDefault="00087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EC" w:rsidRDefault="00087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EC" w:rsidRDefault="00087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9B7"/>
    <w:multiLevelType w:val="hybridMultilevel"/>
    <w:tmpl w:val="68227FBA"/>
    <w:lvl w:ilvl="0" w:tplc="7B12D7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7150B"/>
    <w:multiLevelType w:val="hybridMultilevel"/>
    <w:tmpl w:val="54EAE886"/>
    <w:lvl w:ilvl="0" w:tplc="83607FC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A01999"/>
    <w:multiLevelType w:val="hybridMultilevel"/>
    <w:tmpl w:val="5F34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9516F"/>
    <w:multiLevelType w:val="hybridMultilevel"/>
    <w:tmpl w:val="A616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85A40"/>
    <w:multiLevelType w:val="hybridMultilevel"/>
    <w:tmpl w:val="FED61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C5E10"/>
    <w:multiLevelType w:val="hybridMultilevel"/>
    <w:tmpl w:val="F33A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90185"/>
    <w:multiLevelType w:val="hybridMultilevel"/>
    <w:tmpl w:val="FF027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452E38"/>
    <w:multiLevelType w:val="hybridMultilevel"/>
    <w:tmpl w:val="BEB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B0A8A"/>
    <w:multiLevelType w:val="hybridMultilevel"/>
    <w:tmpl w:val="D1F65ADC"/>
    <w:lvl w:ilvl="0" w:tplc="8B5E02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F2524BE"/>
    <w:multiLevelType w:val="hybridMultilevel"/>
    <w:tmpl w:val="4B62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871CD"/>
    <w:multiLevelType w:val="hybridMultilevel"/>
    <w:tmpl w:val="2AB0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00D"/>
    <w:multiLevelType w:val="hybridMultilevel"/>
    <w:tmpl w:val="0AB63BC8"/>
    <w:lvl w:ilvl="0" w:tplc="8EB42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D75AD"/>
    <w:multiLevelType w:val="hybridMultilevel"/>
    <w:tmpl w:val="448A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776AC"/>
    <w:multiLevelType w:val="hybridMultilevel"/>
    <w:tmpl w:val="54687150"/>
    <w:lvl w:ilvl="0" w:tplc="8EB42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12C49"/>
    <w:multiLevelType w:val="hybridMultilevel"/>
    <w:tmpl w:val="974E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62D48"/>
    <w:multiLevelType w:val="hybridMultilevel"/>
    <w:tmpl w:val="44CE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16F6B"/>
    <w:multiLevelType w:val="hybridMultilevel"/>
    <w:tmpl w:val="0862F664"/>
    <w:lvl w:ilvl="0" w:tplc="118ECF1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4A53747"/>
    <w:multiLevelType w:val="hybridMultilevel"/>
    <w:tmpl w:val="C8223C5E"/>
    <w:lvl w:ilvl="0" w:tplc="3C4A6550">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637BD"/>
    <w:multiLevelType w:val="hybridMultilevel"/>
    <w:tmpl w:val="88083FB4"/>
    <w:lvl w:ilvl="0" w:tplc="464E76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164E1A"/>
    <w:multiLevelType w:val="hybridMultilevel"/>
    <w:tmpl w:val="8FB6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A3DE4"/>
    <w:multiLevelType w:val="hybridMultilevel"/>
    <w:tmpl w:val="50507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A35BA8"/>
    <w:multiLevelType w:val="hybridMultilevel"/>
    <w:tmpl w:val="F5F09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C2875"/>
    <w:multiLevelType w:val="hybridMultilevel"/>
    <w:tmpl w:val="7C729484"/>
    <w:lvl w:ilvl="0" w:tplc="5978D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22"/>
  </w:num>
  <w:num w:numId="5">
    <w:abstractNumId w:val="6"/>
  </w:num>
  <w:num w:numId="6">
    <w:abstractNumId w:val="10"/>
  </w:num>
  <w:num w:numId="7">
    <w:abstractNumId w:val="13"/>
  </w:num>
  <w:num w:numId="8">
    <w:abstractNumId w:val="11"/>
  </w:num>
  <w:num w:numId="9">
    <w:abstractNumId w:val="20"/>
  </w:num>
  <w:num w:numId="10">
    <w:abstractNumId w:val="4"/>
  </w:num>
  <w:num w:numId="11">
    <w:abstractNumId w:val="8"/>
  </w:num>
  <w:num w:numId="12">
    <w:abstractNumId w:val="5"/>
  </w:num>
  <w:num w:numId="13">
    <w:abstractNumId w:val="14"/>
  </w:num>
  <w:num w:numId="14">
    <w:abstractNumId w:val="1"/>
  </w:num>
  <w:num w:numId="15">
    <w:abstractNumId w:val="2"/>
  </w:num>
  <w:num w:numId="16">
    <w:abstractNumId w:val="16"/>
  </w:num>
  <w:num w:numId="17">
    <w:abstractNumId w:val="15"/>
  </w:num>
  <w:num w:numId="18">
    <w:abstractNumId w:val="19"/>
  </w:num>
  <w:num w:numId="19">
    <w:abstractNumId w:val="3"/>
  </w:num>
  <w:num w:numId="20">
    <w:abstractNumId w:val="0"/>
  </w:num>
  <w:num w:numId="21">
    <w:abstractNumId w:val="18"/>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F"/>
    <w:rsid w:val="00001B1B"/>
    <w:rsid w:val="00006CB5"/>
    <w:rsid w:val="0001118A"/>
    <w:rsid w:val="00011EE9"/>
    <w:rsid w:val="000136B4"/>
    <w:rsid w:val="000232AD"/>
    <w:rsid w:val="00034A35"/>
    <w:rsid w:val="00040DF0"/>
    <w:rsid w:val="00045A01"/>
    <w:rsid w:val="00052828"/>
    <w:rsid w:val="00052BBC"/>
    <w:rsid w:val="00067914"/>
    <w:rsid w:val="000718B6"/>
    <w:rsid w:val="000739E1"/>
    <w:rsid w:val="000828D7"/>
    <w:rsid w:val="000828F1"/>
    <w:rsid w:val="00083E3D"/>
    <w:rsid w:val="00084BF9"/>
    <w:rsid w:val="000870EC"/>
    <w:rsid w:val="000936F7"/>
    <w:rsid w:val="00094B39"/>
    <w:rsid w:val="0009793D"/>
    <w:rsid w:val="000A4739"/>
    <w:rsid w:val="000C3112"/>
    <w:rsid w:val="000D0FF5"/>
    <w:rsid w:val="000F4A4B"/>
    <w:rsid w:val="000F59C8"/>
    <w:rsid w:val="00100789"/>
    <w:rsid w:val="00104ECD"/>
    <w:rsid w:val="00115054"/>
    <w:rsid w:val="001272E4"/>
    <w:rsid w:val="001300E1"/>
    <w:rsid w:val="00136BB9"/>
    <w:rsid w:val="001372BA"/>
    <w:rsid w:val="00140FCE"/>
    <w:rsid w:val="00141AED"/>
    <w:rsid w:val="00154E5F"/>
    <w:rsid w:val="00166CF7"/>
    <w:rsid w:val="00176B76"/>
    <w:rsid w:val="0018234E"/>
    <w:rsid w:val="001933C4"/>
    <w:rsid w:val="001950D5"/>
    <w:rsid w:val="001A513C"/>
    <w:rsid w:val="001B0A5E"/>
    <w:rsid w:val="001B5941"/>
    <w:rsid w:val="001C0490"/>
    <w:rsid w:val="001C239D"/>
    <w:rsid w:val="001C6617"/>
    <w:rsid w:val="001C7779"/>
    <w:rsid w:val="001D511F"/>
    <w:rsid w:val="001D7A41"/>
    <w:rsid w:val="001E1ABE"/>
    <w:rsid w:val="001E30BA"/>
    <w:rsid w:val="001F160C"/>
    <w:rsid w:val="001F50C2"/>
    <w:rsid w:val="002007EB"/>
    <w:rsid w:val="00200B78"/>
    <w:rsid w:val="00224B81"/>
    <w:rsid w:val="00225F61"/>
    <w:rsid w:val="00226CE2"/>
    <w:rsid w:val="002303DA"/>
    <w:rsid w:val="00231DA2"/>
    <w:rsid w:val="0024081D"/>
    <w:rsid w:val="002500AB"/>
    <w:rsid w:val="002530D0"/>
    <w:rsid w:val="002577BE"/>
    <w:rsid w:val="002620DC"/>
    <w:rsid w:val="00263EFA"/>
    <w:rsid w:val="002650ED"/>
    <w:rsid w:val="00271F1E"/>
    <w:rsid w:val="00280632"/>
    <w:rsid w:val="00284186"/>
    <w:rsid w:val="00284228"/>
    <w:rsid w:val="00292215"/>
    <w:rsid w:val="00295FE3"/>
    <w:rsid w:val="002B1A1B"/>
    <w:rsid w:val="002B5DB0"/>
    <w:rsid w:val="002C0299"/>
    <w:rsid w:val="002C1CEF"/>
    <w:rsid w:val="002C3660"/>
    <w:rsid w:val="002C58FC"/>
    <w:rsid w:val="002C7E6F"/>
    <w:rsid w:val="002D0ADD"/>
    <w:rsid w:val="002D3318"/>
    <w:rsid w:val="002F287E"/>
    <w:rsid w:val="002F4D27"/>
    <w:rsid w:val="002F6892"/>
    <w:rsid w:val="00301931"/>
    <w:rsid w:val="00307E64"/>
    <w:rsid w:val="00310EB6"/>
    <w:rsid w:val="0031300F"/>
    <w:rsid w:val="0032017D"/>
    <w:rsid w:val="00323FF8"/>
    <w:rsid w:val="00324461"/>
    <w:rsid w:val="00327A03"/>
    <w:rsid w:val="003401A4"/>
    <w:rsid w:val="00340FE4"/>
    <w:rsid w:val="00353498"/>
    <w:rsid w:val="00373278"/>
    <w:rsid w:val="0038608D"/>
    <w:rsid w:val="00386B84"/>
    <w:rsid w:val="003967E0"/>
    <w:rsid w:val="003A5289"/>
    <w:rsid w:val="003A68CD"/>
    <w:rsid w:val="003A694D"/>
    <w:rsid w:val="003B13F2"/>
    <w:rsid w:val="003B1461"/>
    <w:rsid w:val="003B4574"/>
    <w:rsid w:val="003C2410"/>
    <w:rsid w:val="003D4AEF"/>
    <w:rsid w:val="003D7F2C"/>
    <w:rsid w:val="003F51A8"/>
    <w:rsid w:val="003F7EF2"/>
    <w:rsid w:val="00403185"/>
    <w:rsid w:val="00406ECD"/>
    <w:rsid w:val="00411CD4"/>
    <w:rsid w:val="00420C76"/>
    <w:rsid w:val="00425625"/>
    <w:rsid w:val="004422AE"/>
    <w:rsid w:val="004521B3"/>
    <w:rsid w:val="00454460"/>
    <w:rsid w:val="00454A84"/>
    <w:rsid w:val="004625A9"/>
    <w:rsid w:val="00463A07"/>
    <w:rsid w:val="00474E9F"/>
    <w:rsid w:val="00480867"/>
    <w:rsid w:val="00481728"/>
    <w:rsid w:val="004D5826"/>
    <w:rsid w:val="004E7F00"/>
    <w:rsid w:val="00507B36"/>
    <w:rsid w:val="00515AE9"/>
    <w:rsid w:val="00520DEA"/>
    <w:rsid w:val="005447F8"/>
    <w:rsid w:val="00545621"/>
    <w:rsid w:val="00547015"/>
    <w:rsid w:val="00547CC9"/>
    <w:rsid w:val="0056306D"/>
    <w:rsid w:val="00566D49"/>
    <w:rsid w:val="005700FA"/>
    <w:rsid w:val="0057226C"/>
    <w:rsid w:val="00577972"/>
    <w:rsid w:val="00577A14"/>
    <w:rsid w:val="00580652"/>
    <w:rsid w:val="00582C91"/>
    <w:rsid w:val="00584D83"/>
    <w:rsid w:val="0058519F"/>
    <w:rsid w:val="00587639"/>
    <w:rsid w:val="00596C37"/>
    <w:rsid w:val="005B01EC"/>
    <w:rsid w:val="005B7467"/>
    <w:rsid w:val="005C1F9A"/>
    <w:rsid w:val="005C6C88"/>
    <w:rsid w:val="005E33E2"/>
    <w:rsid w:val="005E4676"/>
    <w:rsid w:val="005F018B"/>
    <w:rsid w:val="005F7840"/>
    <w:rsid w:val="006010D5"/>
    <w:rsid w:val="00602407"/>
    <w:rsid w:val="00617BFB"/>
    <w:rsid w:val="0062376B"/>
    <w:rsid w:val="0062421E"/>
    <w:rsid w:val="00640354"/>
    <w:rsid w:val="006409F7"/>
    <w:rsid w:val="00640C01"/>
    <w:rsid w:val="00643406"/>
    <w:rsid w:val="00645FA6"/>
    <w:rsid w:val="00651F3B"/>
    <w:rsid w:val="00653597"/>
    <w:rsid w:val="00661E99"/>
    <w:rsid w:val="006625F7"/>
    <w:rsid w:val="006657CE"/>
    <w:rsid w:val="00672CCC"/>
    <w:rsid w:val="00684E74"/>
    <w:rsid w:val="006901B7"/>
    <w:rsid w:val="0069088C"/>
    <w:rsid w:val="006A142B"/>
    <w:rsid w:val="006A61CF"/>
    <w:rsid w:val="006A7833"/>
    <w:rsid w:val="006B182A"/>
    <w:rsid w:val="006C6C13"/>
    <w:rsid w:val="006D0009"/>
    <w:rsid w:val="006D2AD8"/>
    <w:rsid w:val="006D7C5F"/>
    <w:rsid w:val="006E3CF9"/>
    <w:rsid w:val="006F2245"/>
    <w:rsid w:val="006F3F24"/>
    <w:rsid w:val="006F629A"/>
    <w:rsid w:val="006F781A"/>
    <w:rsid w:val="00701615"/>
    <w:rsid w:val="00706BE7"/>
    <w:rsid w:val="00711113"/>
    <w:rsid w:val="00717923"/>
    <w:rsid w:val="0072767E"/>
    <w:rsid w:val="00727BB8"/>
    <w:rsid w:val="007423E5"/>
    <w:rsid w:val="00744996"/>
    <w:rsid w:val="00747215"/>
    <w:rsid w:val="00750212"/>
    <w:rsid w:val="00752011"/>
    <w:rsid w:val="007533FD"/>
    <w:rsid w:val="007603DD"/>
    <w:rsid w:val="007850D7"/>
    <w:rsid w:val="00790B4A"/>
    <w:rsid w:val="007A2F91"/>
    <w:rsid w:val="007A3C71"/>
    <w:rsid w:val="007B3136"/>
    <w:rsid w:val="007B5E1E"/>
    <w:rsid w:val="007B7D4F"/>
    <w:rsid w:val="007C1BEE"/>
    <w:rsid w:val="007C510A"/>
    <w:rsid w:val="007D1BEF"/>
    <w:rsid w:val="007D20DD"/>
    <w:rsid w:val="007E0A8E"/>
    <w:rsid w:val="007E7650"/>
    <w:rsid w:val="00804ADA"/>
    <w:rsid w:val="00810BEE"/>
    <w:rsid w:val="008142EB"/>
    <w:rsid w:val="00822724"/>
    <w:rsid w:val="0082274E"/>
    <w:rsid w:val="00822C13"/>
    <w:rsid w:val="00822E91"/>
    <w:rsid w:val="008356BA"/>
    <w:rsid w:val="008410CB"/>
    <w:rsid w:val="00863EE2"/>
    <w:rsid w:val="00874D14"/>
    <w:rsid w:val="0088171E"/>
    <w:rsid w:val="0088460B"/>
    <w:rsid w:val="00896F15"/>
    <w:rsid w:val="008A1DCA"/>
    <w:rsid w:val="008A4725"/>
    <w:rsid w:val="008B44B4"/>
    <w:rsid w:val="008B44C9"/>
    <w:rsid w:val="008B5670"/>
    <w:rsid w:val="008B7519"/>
    <w:rsid w:val="008C38D6"/>
    <w:rsid w:val="008D0206"/>
    <w:rsid w:val="008E0FAC"/>
    <w:rsid w:val="008E5A92"/>
    <w:rsid w:val="008E5CE8"/>
    <w:rsid w:val="008F028E"/>
    <w:rsid w:val="008F4073"/>
    <w:rsid w:val="008F506E"/>
    <w:rsid w:val="00911858"/>
    <w:rsid w:val="00912E6B"/>
    <w:rsid w:val="009162F2"/>
    <w:rsid w:val="00926B9B"/>
    <w:rsid w:val="0093324C"/>
    <w:rsid w:val="0094073D"/>
    <w:rsid w:val="00941B6F"/>
    <w:rsid w:val="009440D4"/>
    <w:rsid w:val="00950636"/>
    <w:rsid w:val="00953E07"/>
    <w:rsid w:val="00956F65"/>
    <w:rsid w:val="0096196F"/>
    <w:rsid w:val="009654E7"/>
    <w:rsid w:val="009672CE"/>
    <w:rsid w:val="00982065"/>
    <w:rsid w:val="00983A13"/>
    <w:rsid w:val="00984638"/>
    <w:rsid w:val="00984B3A"/>
    <w:rsid w:val="00994FD4"/>
    <w:rsid w:val="00995DDB"/>
    <w:rsid w:val="009A39E8"/>
    <w:rsid w:val="009B0A7A"/>
    <w:rsid w:val="009B2B65"/>
    <w:rsid w:val="009B3901"/>
    <w:rsid w:val="009B69BF"/>
    <w:rsid w:val="009B6CA4"/>
    <w:rsid w:val="009C0A07"/>
    <w:rsid w:val="009C2F0D"/>
    <w:rsid w:val="009C7E16"/>
    <w:rsid w:val="009D0913"/>
    <w:rsid w:val="009F0F97"/>
    <w:rsid w:val="009F34A3"/>
    <w:rsid w:val="009F45B9"/>
    <w:rsid w:val="00A27B37"/>
    <w:rsid w:val="00A32CAF"/>
    <w:rsid w:val="00A368C5"/>
    <w:rsid w:val="00A450D6"/>
    <w:rsid w:val="00A453AB"/>
    <w:rsid w:val="00A527CA"/>
    <w:rsid w:val="00A55AA4"/>
    <w:rsid w:val="00A62EA0"/>
    <w:rsid w:val="00A678B0"/>
    <w:rsid w:val="00A75208"/>
    <w:rsid w:val="00A83FFB"/>
    <w:rsid w:val="00A855DF"/>
    <w:rsid w:val="00A973C3"/>
    <w:rsid w:val="00A97CC6"/>
    <w:rsid w:val="00AB262D"/>
    <w:rsid w:val="00AB3B31"/>
    <w:rsid w:val="00AB6105"/>
    <w:rsid w:val="00AC4774"/>
    <w:rsid w:val="00AE783A"/>
    <w:rsid w:val="00AF7B9D"/>
    <w:rsid w:val="00B03CDE"/>
    <w:rsid w:val="00B07C90"/>
    <w:rsid w:val="00B208DE"/>
    <w:rsid w:val="00B21E49"/>
    <w:rsid w:val="00B3192E"/>
    <w:rsid w:val="00B45608"/>
    <w:rsid w:val="00B46472"/>
    <w:rsid w:val="00B50FF1"/>
    <w:rsid w:val="00B5207E"/>
    <w:rsid w:val="00B65BA0"/>
    <w:rsid w:val="00B90C13"/>
    <w:rsid w:val="00BA1269"/>
    <w:rsid w:val="00BA618E"/>
    <w:rsid w:val="00BB3700"/>
    <w:rsid w:val="00BC730E"/>
    <w:rsid w:val="00BD42E3"/>
    <w:rsid w:val="00BD547A"/>
    <w:rsid w:val="00BE715B"/>
    <w:rsid w:val="00C20659"/>
    <w:rsid w:val="00C33BE9"/>
    <w:rsid w:val="00C340B0"/>
    <w:rsid w:val="00C37937"/>
    <w:rsid w:val="00C37EDA"/>
    <w:rsid w:val="00C40E8F"/>
    <w:rsid w:val="00C561C2"/>
    <w:rsid w:val="00C56865"/>
    <w:rsid w:val="00C64FE4"/>
    <w:rsid w:val="00C813EF"/>
    <w:rsid w:val="00C83D0E"/>
    <w:rsid w:val="00C8462A"/>
    <w:rsid w:val="00C879F9"/>
    <w:rsid w:val="00CC1BCD"/>
    <w:rsid w:val="00CC50D1"/>
    <w:rsid w:val="00CC58A2"/>
    <w:rsid w:val="00CD091B"/>
    <w:rsid w:val="00CD53EC"/>
    <w:rsid w:val="00CD5D53"/>
    <w:rsid w:val="00CD67F1"/>
    <w:rsid w:val="00CE1C26"/>
    <w:rsid w:val="00CE3732"/>
    <w:rsid w:val="00D01280"/>
    <w:rsid w:val="00D06024"/>
    <w:rsid w:val="00D06A88"/>
    <w:rsid w:val="00D10573"/>
    <w:rsid w:val="00D203D4"/>
    <w:rsid w:val="00D237A3"/>
    <w:rsid w:val="00D24D93"/>
    <w:rsid w:val="00D26697"/>
    <w:rsid w:val="00D27146"/>
    <w:rsid w:val="00D3103C"/>
    <w:rsid w:val="00D4004D"/>
    <w:rsid w:val="00D42396"/>
    <w:rsid w:val="00D5226D"/>
    <w:rsid w:val="00D52A20"/>
    <w:rsid w:val="00D52B8A"/>
    <w:rsid w:val="00D57652"/>
    <w:rsid w:val="00D60C61"/>
    <w:rsid w:val="00D60E44"/>
    <w:rsid w:val="00D6427D"/>
    <w:rsid w:val="00D72746"/>
    <w:rsid w:val="00D74E13"/>
    <w:rsid w:val="00D82017"/>
    <w:rsid w:val="00D85E67"/>
    <w:rsid w:val="00D910DC"/>
    <w:rsid w:val="00D91A45"/>
    <w:rsid w:val="00D94E20"/>
    <w:rsid w:val="00D95606"/>
    <w:rsid w:val="00D9632A"/>
    <w:rsid w:val="00DA1089"/>
    <w:rsid w:val="00DA345A"/>
    <w:rsid w:val="00DC041C"/>
    <w:rsid w:val="00DC4F48"/>
    <w:rsid w:val="00DC5400"/>
    <w:rsid w:val="00DD18CC"/>
    <w:rsid w:val="00DE2132"/>
    <w:rsid w:val="00DF2178"/>
    <w:rsid w:val="00DF6E54"/>
    <w:rsid w:val="00DF79A3"/>
    <w:rsid w:val="00E04288"/>
    <w:rsid w:val="00E1063B"/>
    <w:rsid w:val="00E1373A"/>
    <w:rsid w:val="00E15EE2"/>
    <w:rsid w:val="00E3442E"/>
    <w:rsid w:val="00E3678F"/>
    <w:rsid w:val="00E44BB7"/>
    <w:rsid w:val="00E620D2"/>
    <w:rsid w:val="00E62C99"/>
    <w:rsid w:val="00E71D62"/>
    <w:rsid w:val="00E76ACB"/>
    <w:rsid w:val="00E81071"/>
    <w:rsid w:val="00E82E5C"/>
    <w:rsid w:val="00E845CF"/>
    <w:rsid w:val="00E912C1"/>
    <w:rsid w:val="00EA409E"/>
    <w:rsid w:val="00EA586F"/>
    <w:rsid w:val="00EB497E"/>
    <w:rsid w:val="00EB6DEF"/>
    <w:rsid w:val="00EC3075"/>
    <w:rsid w:val="00EC6973"/>
    <w:rsid w:val="00ED24A6"/>
    <w:rsid w:val="00ED6492"/>
    <w:rsid w:val="00ED6D30"/>
    <w:rsid w:val="00EF1B62"/>
    <w:rsid w:val="00F01287"/>
    <w:rsid w:val="00F12515"/>
    <w:rsid w:val="00F1524E"/>
    <w:rsid w:val="00F17FAF"/>
    <w:rsid w:val="00F20BDD"/>
    <w:rsid w:val="00F22A15"/>
    <w:rsid w:val="00F341A7"/>
    <w:rsid w:val="00F35558"/>
    <w:rsid w:val="00F3657F"/>
    <w:rsid w:val="00F40F5C"/>
    <w:rsid w:val="00F55D74"/>
    <w:rsid w:val="00F57ECD"/>
    <w:rsid w:val="00F61950"/>
    <w:rsid w:val="00F72660"/>
    <w:rsid w:val="00F742CD"/>
    <w:rsid w:val="00F7622E"/>
    <w:rsid w:val="00F83C3B"/>
    <w:rsid w:val="00F96552"/>
    <w:rsid w:val="00FB352A"/>
    <w:rsid w:val="00FB558A"/>
    <w:rsid w:val="00FC7B93"/>
    <w:rsid w:val="00FD42EC"/>
    <w:rsid w:val="00FD49D7"/>
    <w:rsid w:val="00FE5468"/>
    <w:rsid w:val="00FF266E"/>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EF"/>
  </w:style>
  <w:style w:type="paragraph" w:styleId="Footer">
    <w:name w:val="footer"/>
    <w:basedOn w:val="Normal"/>
    <w:link w:val="FooterChar"/>
    <w:uiPriority w:val="99"/>
    <w:unhideWhenUsed/>
    <w:rsid w:val="00C8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EF"/>
  </w:style>
  <w:style w:type="paragraph" w:styleId="BalloonText">
    <w:name w:val="Balloon Text"/>
    <w:basedOn w:val="Normal"/>
    <w:link w:val="BalloonTextChar"/>
    <w:uiPriority w:val="99"/>
    <w:semiHidden/>
    <w:unhideWhenUsed/>
    <w:rsid w:val="00C8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EF"/>
    <w:rPr>
      <w:rFonts w:ascii="Tahoma" w:hAnsi="Tahoma" w:cs="Tahoma"/>
      <w:sz w:val="16"/>
      <w:szCs w:val="16"/>
    </w:rPr>
  </w:style>
  <w:style w:type="paragraph" w:styleId="NoSpacing">
    <w:name w:val="No Spacing"/>
    <w:uiPriority w:val="1"/>
    <w:qFormat/>
    <w:rsid w:val="00D60C61"/>
    <w:pPr>
      <w:spacing w:after="0" w:line="240" w:lineRule="auto"/>
    </w:pPr>
  </w:style>
  <w:style w:type="character" w:styleId="Hyperlink">
    <w:name w:val="Hyperlink"/>
    <w:basedOn w:val="DefaultParagraphFont"/>
    <w:uiPriority w:val="99"/>
    <w:unhideWhenUsed/>
    <w:rsid w:val="00C64FE4"/>
    <w:rPr>
      <w:color w:val="0000FF" w:themeColor="hyperlink"/>
      <w:u w:val="single"/>
    </w:rPr>
  </w:style>
  <w:style w:type="paragraph" w:styleId="ListParagraph">
    <w:name w:val="List Paragraph"/>
    <w:basedOn w:val="Normal"/>
    <w:uiPriority w:val="34"/>
    <w:qFormat/>
    <w:rsid w:val="0056306D"/>
    <w:pPr>
      <w:ind w:left="720"/>
      <w:contextualSpacing/>
    </w:pPr>
  </w:style>
  <w:style w:type="character" w:styleId="CommentReference">
    <w:name w:val="annotation reference"/>
    <w:basedOn w:val="DefaultParagraphFont"/>
    <w:uiPriority w:val="99"/>
    <w:semiHidden/>
    <w:unhideWhenUsed/>
    <w:rsid w:val="00C83D0E"/>
    <w:rPr>
      <w:sz w:val="16"/>
      <w:szCs w:val="16"/>
    </w:rPr>
  </w:style>
  <w:style w:type="paragraph" w:styleId="CommentText">
    <w:name w:val="annotation text"/>
    <w:basedOn w:val="Normal"/>
    <w:link w:val="CommentTextChar"/>
    <w:uiPriority w:val="99"/>
    <w:semiHidden/>
    <w:unhideWhenUsed/>
    <w:rsid w:val="00C83D0E"/>
    <w:pPr>
      <w:spacing w:line="240" w:lineRule="auto"/>
    </w:pPr>
    <w:rPr>
      <w:sz w:val="20"/>
      <w:szCs w:val="20"/>
    </w:rPr>
  </w:style>
  <w:style w:type="character" w:customStyle="1" w:styleId="CommentTextChar">
    <w:name w:val="Comment Text Char"/>
    <w:basedOn w:val="DefaultParagraphFont"/>
    <w:link w:val="CommentText"/>
    <w:uiPriority w:val="99"/>
    <w:semiHidden/>
    <w:rsid w:val="00C83D0E"/>
    <w:rPr>
      <w:sz w:val="20"/>
      <w:szCs w:val="20"/>
    </w:rPr>
  </w:style>
  <w:style w:type="paragraph" w:styleId="CommentSubject">
    <w:name w:val="annotation subject"/>
    <w:basedOn w:val="CommentText"/>
    <w:next w:val="CommentText"/>
    <w:link w:val="CommentSubjectChar"/>
    <w:uiPriority w:val="99"/>
    <w:semiHidden/>
    <w:unhideWhenUsed/>
    <w:rsid w:val="00C83D0E"/>
    <w:rPr>
      <w:b/>
      <w:bCs/>
    </w:rPr>
  </w:style>
  <w:style w:type="character" w:customStyle="1" w:styleId="CommentSubjectChar">
    <w:name w:val="Comment Subject Char"/>
    <w:basedOn w:val="CommentTextChar"/>
    <w:link w:val="CommentSubject"/>
    <w:uiPriority w:val="99"/>
    <w:semiHidden/>
    <w:rsid w:val="00C83D0E"/>
    <w:rPr>
      <w:b/>
      <w:bCs/>
      <w:sz w:val="20"/>
      <w:szCs w:val="20"/>
    </w:rPr>
  </w:style>
  <w:style w:type="paragraph" w:styleId="Revision">
    <w:name w:val="Revision"/>
    <w:hidden/>
    <w:uiPriority w:val="99"/>
    <w:semiHidden/>
    <w:rsid w:val="001272E4"/>
    <w:pPr>
      <w:spacing w:after="0" w:line="240" w:lineRule="auto"/>
    </w:pPr>
  </w:style>
  <w:style w:type="character" w:styleId="FollowedHyperlink">
    <w:name w:val="FollowedHyperlink"/>
    <w:basedOn w:val="DefaultParagraphFont"/>
    <w:uiPriority w:val="99"/>
    <w:semiHidden/>
    <w:unhideWhenUsed/>
    <w:rsid w:val="00F40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EF"/>
  </w:style>
  <w:style w:type="paragraph" w:styleId="Footer">
    <w:name w:val="footer"/>
    <w:basedOn w:val="Normal"/>
    <w:link w:val="FooterChar"/>
    <w:uiPriority w:val="99"/>
    <w:unhideWhenUsed/>
    <w:rsid w:val="00C8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EF"/>
  </w:style>
  <w:style w:type="paragraph" w:styleId="BalloonText">
    <w:name w:val="Balloon Text"/>
    <w:basedOn w:val="Normal"/>
    <w:link w:val="BalloonTextChar"/>
    <w:uiPriority w:val="99"/>
    <w:semiHidden/>
    <w:unhideWhenUsed/>
    <w:rsid w:val="00C8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EF"/>
    <w:rPr>
      <w:rFonts w:ascii="Tahoma" w:hAnsi="Tahoma" w:cs="Tahoma"/>
      <w:sz w:val="16"/>
      <w:szCs w:val="16"/>
    </w:rPr>
  </w:style>
  <w:style w:type="paragraph" w:styleId="NoSpacing">
    <w:name w:val="No Spacing"/>
    <w:uiPriority w:val="1"/>
    <w:qFormat/>
    <w:rsid w:val="00D60C61"/>
    <w:pPr>
      <w:spacing w:after="0" w:line="240" w:lineRule="auto"/>
    </w:pPr>
  </w:style>
  <w:style w:type="character" w:styleId="Hyperlink">
    <w:name w:val="Hyperlink"/>
    <w:basedOn w:val="DefaultParagraphFont"/>
    <w:uiPriority w:val="99"/>
    <w:unhideWhenUsed/>
    <w:rsid w:val="00C64FE4"/>
    <w:rPr>
      <w:color w:val="0000FF" w:themeColor="hyperlink"/>
      <w:u w:val="single"/>
    </w:rPr>
  </w:style>
  <w:style w:type="paragraph" w:styleId="ListParagraph">
    <w:name w:val="List Paragraph"/>
    <w:basedOn w:val="Normal"/>
    <w:uiPriority w:val="34"/>
    <w:qFormat/>
    <w:rsid w:val="0056306D"/>
    <w:pPr>
      <w:ind w:left="720"/>
      <w:contextualSpacing/>
    </w:pPr>
  </w:style>
  <w:style w:type="character" w:styleId="CommentReference">
    <w:name w:val="annotation reference"/>
    <w:basedOn w:val="DefaultParagraphFont"/>
    <w:uiPriority w:val="99"/>
    <w:semiHidden/>
    <w:unhideWhenUsed/>
    <w:rsid w:val="00C83D0E"/>
    <w:rPr>
      <w:sz w:val="16"/>
      <w:szCs w:val="16"/>
    </w:rPr>
  </w:style>
  <w:style w:type="paragraph" w:styleId="CommentText">
    <w:name w:val="annotation text"/>
    <w:basedOn w:val="Normal"/>
    <w:link w:val="CommentTextChar"/>
    <w:uiPriority w:val="99"/>
    <w:semiHidden/>
    <w:unhideWhenUsed/>
    <w:rsid w:val="00C83D0E"/>
    <w:pPr>
      <w:spacing w:line="240" w:lineRule="auto"/>
    </w:pPr>
    <w:rPr>
      <w:sz w:val="20"/>
      <w:szCs w:val="20"/>
    </w:rPr>
  </w:style>
  <w:style w:type="character" w:customStyle="1" w:styleId="CommentTextChar">
    <w:name w:val="Comment Text Char"/>
    <w:basedOn w:val="DefaultParagraphFont"/>
    <w:link w:val="CommentText"/>
    <w:uiPriority w:val="99"/>
    <w:semiHidden/>
    <w:rsid w:val="00C83D0E"/>
    <w:rPr>
      <w:sz w:val="20"/>
      <w:szCs w:val="20"/>
    </w:rPr>
  </w:style>
  <w:style w:type="paragraph" w:styleId="CommentSubject">
    <w:name w:val="annotation subject"/>
    <w:basedOn w:val="CommentText"/>
    <w:next w:val="CommentText"/>
    <w:link w:val="CommentSubjectChar"/>
    <w:uiPriority w:val="99"/>
    <w:semiHidden/>
    <w:unhideWhenUsed/>
    <w:rsid w:val="00C83D0E"/>
    <w:rPr>
      <w:b/>
      <w:bCs/>
    </w:rPr>
  </w:style>
  <w:style w:type="character" w:customStyle="1" w:styleId="CommentSubjectChar">
    <w:name w:val="Comment Subject Char"/>
    <w:basedOn w:val="CommentTextChar"/>
    <w:link w:val="CommentSubject"/>
    <w:uiPriority w:val="99"/>
    <w:semiHidden/>
    <w:rsid w:val="00C83D0E"/>
    <w:rPr>
      <w:b/>
      <w:bCs/>
      <w:sz w:val="20"/>
      <w:szCs w:val="20"/>
    </w:rPr>
  </w:style>
  <w:style w:type="paragraph" w:styleId="Revision">
    <w:name w:val="Revision"/>
    <w:hidden/>
    <w:uiPriority w:val="99"/>
    <w:semiHidden/>
    <w:rsid w:val="001272E4"/>
    <w:pPr>
      <w:spacing w:after="0" w:line="240" w:lineRule="auto"/>
    </w:pPr>
  </w:style>
  <w:style w:type="character" w:styleId="FollowedHyperlink">
    <w:name w:val="FollowedHyperlink"/>
    <w:basedOn w:val="DefaultParagraphFont"/>
    <w:uiPriority w:val="99"/>
    <w:semiHidden/>
    <w:unhideWhenUsed/>
    <w:rsid w:val="00F40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9046">
      <w:bodyDiv w:val="1"/>
      <w:marLeft w:val="0"/>
      <w:marRight w:val="0"/>
      <w:marTop w:val="0"/>
      <w:marBottom w:val="0"/>
      <w:divBdr>
        <w:top w:val="none" w:sz="0" w:space="0" w:color="auto"/>
        <w:left w:val="none" w:sz="0" w:space="0" w:color="auto"/>
        <w:bottom w:val="none" w:sz="0" w:space="0" w:color="auto"/>
        <w:right w:val="none" w:sz="0" w:space="0" w:color="auto"/>
      </w:divBdr>
    </w:div>
    <w:div w:id="446240438">
      <w:bodyDiv w:val="1"/>
      <w:marLeft w:val="0"/>
      <w:marRight w:val="0"/>
      <w:marTop w:val="0"/>
      <w:marBottom w:val="0"/>
      <w:divBdr>
        <w:top w:val="none" w:sz="0" w:space="0" w:color="auto"/>
        <w:left w:val="none" w:sz="0" w:space="0" w:color="auto"/>
        <w:bottom w:val="none" w:sz="0" w:space="0" w:color="auto"/>
        <w:right w:val="none" w:sz="0" w:space="0" w:color="auto"/>
      </w:divBdr>
    </w:div>
    <w:div w:id="732849554">
      <w:bodyDiv w:val="1"/>
      <w:marLeft w:val="0"/>
      <w:marRight w:val="0"/>
      <w:marTop w:val="0"/>
      <w:marBottom w:val="0"/>
      <w:divBdr>
        <w:top w:val="none" w:sz="0" w:space="0" w:color="auto"/>
        <w:left w:val="none" w:sz="0" w:space="0" w:color="auto"/>
        <w:bottom w:val="none" w:sz="0" w:space="0" w:color="auto"/>
        <w:right w:val="none" w:sz="0" w:space="0" w:color="auto"/>
      </w:divBdr>
    </w:div>
    <w:div w:id="735930612">
      <w:bodyDiv w:val="1"/>
      <w:marLeft w:val="0"/>
      <w:marRight w:val="0"/>
      <w:marTop w:val="0"/>
      <w:marBottom w:val="0"/>
      <w:divBdr>
        <w:top w:val="none" w:sz="0" w:space="0" w:color="auto"/>
        <w:left w:val="none" w:sz="0" w:space="0" w:color="auto"/>
        <w:bottom w:val="none" w:sz="0" w:space="0" w:color="auto"/>
        <w:right w:val="none" w:sz="0" w:space="0" w:color="auto"/>
      </w:divBdr>
    </w:div>
    <w:div w:id="879366321">
      <w:bodyDiv w:val="1"/>
      <w:marLeft w:val="0"/>
      <w:marRight w:val="0"/>
      <w:marTop w:val="0"/>
      <w:marBottom w:val="0"/>
      <w:divBdr>
        <w:top w:val="none" w:sz="0" w:space="0" w:color="auto"/>
        <w:left w:val="none" w:sz="0" w:space="0" w:color="auto"/>
        <w:bottom w:val="none" w:sz="0" w:space="0" w:color="auto"/>
        <w:right w:val="none" w:sz="0" w:space="0" w:color="auto"/>
      </w:divBdr>
    </w:div>
    <w:div w:id="969474230">
      <w:bodyDiv w:val="1"/>
      <w:marLeft w:val="0"/>
      <w:marRight w:val="0"/>
      <w:marTop w:val="0"/>
      <w:marBottom w:val="0"/>
      <w:divBdr>
        <w:top w:val="none" w:sz="0" w:space="0" w:color="auto"/>
        <w:left w:val="none" w:sz="0" w:space="0" w:color="auto"/>
        <w:bottom w:val="none" w:sz="0" w:space="0" w:color="auto"/>
        <w:right w:val="none" w:sz="0" w:space="0" w:color="auto"/>
      </w:divBdr>
    </w:div>
    <w:div w:id="1068068955">
      <w:bodyDiv w:val="1"/>
      <w:marLeft w:val="0"/>
      <w:marRight w:val="0"/>
      <w:marTop w:val="0"/>
      <w:marBottom w:val="0"/>
      <w:divBdr>
        <w:top w:val="none" w:sz="0" w:space="0" w:color="auto"/>
        <w:left w:val="none" w:sz="0" w:space="0" w:color="auto"/>
        <w:bottom w:val="none" w:sz="0" w:space="0" w:color="auto"/>
        <w:right w:val="none" w:sz="0" w:space="0" w:color="auto"/>
      </w:divBdr>
    </w:div>
    <w:div w:id="1084448163">
      <w:bodyDiv w:val="1"/>
      <w:marLeft w:val="0"/>
      <w:marRight w:val="0"/>
      <w:marTop w:val="0"/>
      <w:marBottom w:val="0"/>
      <w:divBdr>
        <w:top w:val="none" w:sz="0" w:space="0" w:color="auto"/>
        <w:left w:val="none" w:sz="0" w:space="0" w:color="auto"/>
        <w:bottom w:val="none" w:sz="0" w:space="0" w:color="auto"/>
        <w:right w:val="none" w:sz="0" w:space="0" w:color="auto"/>
      </w:divBdr>
    </w:div>
    <w:div w:id="1406339181">
      <w:bodyDiv w:val="1"/>
      <w:marLeft w:val="0"/>
      <w:marRight w:val="0"/>
      <w:marTop w:val="0"/>
      <w:marBottom w:val="0"/>
      <w:divBdr>
        <w:top w:val="none" w:sz="0" w:space="0" w:color="auto"/>
        <w:left w:val="none" w:sz="0" w:space="0" w:color="auto"/>
        <w:bottom w:val="none" w:sz="0" w:space="0" w:color="auto"/>
        <w:right w:val="none" w:sz="0" w:space="0" w:color="auto"/>
      </w:divBdr>
    </w:div>
    <w:div w:id="1480266038">
      <w:bodyDiv w:val="1"/>
      <w:marLeft w:val="0"/>
      <w:marRight w:val="0"/>
      <w:marTop w:val="0"/>
      <w:marBottom w:val="0"/>
      <w:divBdr>
        <w:top w:val="none" w:sz="0" w:space="0" w:color="auto"/>
        <w:left w:val="none" w:sz="0" w:space="0" w:color="auto"/>
        <w:bottom w:val="none" w:sz="0" w:space="0" w:color="auto"/>
        <w:right w:val="none" w:sz="0" w:space="0" w:color="auto"/>
      </w:divBdr>
    </w:div>
    <w:div w:id="1597708071">
      <w:bodyDiv w:val="1"/>
      <w:marLeft w:val="0"/>
      <w:marRight w:val="0"/>
      <w:marTop w:val="0"/>
      <w:marBottom w:val="0"/>
      <w:divBdr>
        <w:top w:val="none" w:sz="0" w:space="0" w:color="auto"/>
        <w:left w:val="none" w:sz="0" w:space="0" w:color="auto"/>
        <w:bottom w:val="none" w:sz="0" w:space="0" w:color="auto"/>
        <w:right w:val="none" w:sz="0" w:space="0" w:color="auto"/>
      </w:divBdr>
    </w:div>
    <w:div w:id="1795294451">
      <w:bodyDiv w:val="1"/>
      <w:marLeft w:val="0"/>
      <w:marRight w:val="0"/>
      <w:marTop w:val="0"/>
      <w:marBottom w:val="0"/>
      <w:divBdr>
        <w:top w:val="none" w:sz="0" w:space="0" w:color="auto"/>
        <w:left w:val="none" w:sz="0" w:space="0" w:color="auto"/>
        <w:bottom w:val="none" w:sz="0" w:space="0" w:color="auto"/>
        <w:right w:val="none" w:sz="0" w:space="0" w:color="auto"/>
      </w:divBdr>
    </w:div>
    <w:div w:id="21189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mandatory-data-collection-glossary-terms" TargetMode="External"/><Relationship Id="rId13" Type="http://schemas.openxmlformats.org/officeDocument/2006/relationships/hyperlink" Target="http://www.fcc.gov/maps/regulatory-type-holding-company-level-study-area" TargetMode="External"/><Relationship Id="rId18" Type="http://schemas.openxmlformats.org/officeDocument/2006/relationships/hyperlink" Target="http://transition.fcc.gov/wcb/Instructions091814.pdf" TargetMode="External"/><Relationship Id="rId26" Type="http://schemas.openxmlformats.org/officeDocument/2006/relationships/hyperlink" Target="http://www.fcc.gov/encyclopedia/special-access-data-collection-overview-0" TargetMode="External"/><Relationship Id="rId3" Type="http://schemas.microsoft.com/office/2007/relationships/stylesWithEffects" Target="stylesWithEffects.xml"/><Relationship Id="rId21" Type="http://schemas.openxmlformats.org/officeDocument/2006/relationships/hyperlink" Target="http://transition.fcc.gov/wcb/Instructions091814.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maps/regulatory-type-holding-company-level-study-area" TargetMode="External"/><Relationship Id="rId17" Type="http://schemas.openxmlformats.org/officeDocument/2006/relationships/hyperlink" Target="http://transition.fcc.gov/wcb/Data_Questions091514.pdf" TargetMode="External"/><Relationship Id="rId25" Type="http://schemas.openxmlformats.org/officeDocument/2006/relationships/hyperlink" Target="http://transition.fcc.gov/wcb/Instructions091814.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pps.fcc.gov/edocs_public/attachmatch/FCC-12-153A1_Rcd.pdf" TargetMode="External"/><Relationship Id="rId20" Type="http://schemas.openxmlformats.org/officeDocument/2006/relationships/hyperlink" Target="https://apps.fcc.gov/edocs_public/attachmatch/DA-13-1909A1_Rcd.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special-access-data-collection-overview-0" TargetMode="External"/><Relationship Id="rId24" Type="http://schemas.openxmlformats.org/officeDocument/2006/relationships/hyperlink" Target="https://appsat.fcc.gov/coresWeb/enterFrnForPwdReset.d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mandatory-data-collection-glossary-terms" TargetMode="External"/><Relationship Id="rId23" Type="http://schemas.openxmlformats.org/officeDocument/2006/relationships/hyperlink" Target="https://apps.fcc.gov/coresWeb/publicHome.do" TargetMode="External"/><Relationship Id="rId28" Type="http://schemas.openxmlformats.org/officeDocument/2006/relationships/hyperlink" Target="http://transition.fcc.gov/wcb/Instructions091814.pdf" TargetMode="External"/><Relationship Id="rId36" Type="http://schemas.openxmlformats.org/officeDocument/2006/relationships/theme" Target="theme/theme1.xml"/><Relationship Id="rId10" Type="http://schemas.openxmlformats.org/officeDocument/2006/relationships/hyperlink" Target="http://www.fcc.gov/encyclopedia/mandatory-data-collection-glossary-terms" TargetMode="External"/><Relationship Id="rId19" Type="http://schemas.openxmlformats.org/officeDocument/2006/relationships/hyperlink" Target="http://transition.fcc.gov/wcb/Data_Questions091514.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encyclopedia/mandatory-data-collection-glossary-terms" TargetMode="External"/><Relationship Id="rId14" Type="http://schemas.openxmlformats.org/officeDocument/2006/relationships/hyperlink" Target="http://transition.fcc.gov/wcb/Data_Questions091514.pdf" TargetMode="External"/><Relationship Id="rId22" Type="http://schemas.openxmlformats.org/officeDocument/2006/relationships/hyperlink" Target="https://specialaccessfiling.fcc.gov/spadc/login" TargetMode="External"/><Relationship Id="rId27" Type="http://schemas.openxmlformats.org/officeDocument/2006/relationships/hyperlink" Target="http://transition.fcc.gov/wcb/Data_Questions091514.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2544</Words>
  <Characters>13523</Characters>
  <Application>Microsoft Office Word</Application>
  <DocSecurity>0</DocSecurity>
  <Lines>277</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2014-10-01T16:55:00Z</cp:lastPrinted>
  <dcterms:created xsi:type="dcterms:W3CDTF">2014-10-02T13:43:00Z</dcterms:created>
  <dcterms:modified xsi:type="dcterms:W3CDTF">2014-10-02T13:43:00Z</dcterms:modified>
  <cp:category> </cp:category>
  <cp:contentStatus> </cp:contentStatus>
</cp:coreProperties>
</file>