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Default="0060228B" w:rsidP="00BD787C">
      <w:pPr>
        <w:jc w:val="center"/>
        <w:rPr>
          <w:b/>
        </w:rPr>
      </w:pPr>
      <w:bookmarkStart w:id="0" w:name="_GoBack"/>
      <w:bookmarkEnd w:id="0"/>
      <w:r>
        <w:rPr>
          <w:b/>
        </w:rPr>
        <w:t>Before the</w:t>
      </w:r>
    </w:p>
    <w:p w:rsidR="0060228B" w:rsidRDefault="0060228B" w:rsidP="00BD787C">
      <w:pPr>
        <w:jc w:val="center"/>
        <w:rPr>
          <w:b/>
        </w:rPr>
      </w:pPr>
      <w:r>
        <w:rPr>
          <w:b/>
        </w:rPr>
        <w:t>Federal Communications Commission</w:t>
      </w:r>
    </w:p>
    <w:p w:rsidR="0060228B" w:rsidRDefault="0060228B" w:rsidP="00BD787C">
      <w:pPr>
        <w:jc w:val="center"/>
        <w:rPr>
          <w:b/>
        </w:rPr>
      </w:pPr>
      <w:r>
        <w:rPr>
          <w:b/>
        </w:rPr>
        <w:t>Washington, D.C. 20554</w:t>
      </w:r>
    </w:p>
    <w:p w:rsidR="0060228B" w:rsidRDefault="0060228B" w:rsidP="00BD787C"/>
    <w:p w:rsidR="0060228B" w:rsidRDefault="0060228B"/>
    <w:tbl>
      <w:tblPr>
        <w:tblW w:w="0" w:type="auto"/>
        <w:tblLayout w:type="fixed"/>
        <w:tblLook w:val="0000" w:firstRow="0" w:lastRow="0" w:firstColumn="0" w:lastColumn="0" w:noHBand="0" w:noVBand="0"/>
      </w:tblPr>
      <w:tblGrid>
        <w:gridCol w:w="4698"/>
        <w:gridCol w:w="720"/>
        <w:gridCol w:w="4230"/>
      </w:tblGrid>
      <w:tr w:rsidR="0060228B">
        <w:tc>
          <w:tcPr>
            <w:tcW w:w="4698" w:type="dxa"/>
          </w:tcPr>
          <w:p w:rsidR="0060228B" w:rsidRDefault="0060228B">
            <w:pPr>
              <w:ind w:right="-18"/>
            </w:pPr>
            <w:r>
              <w:t xml:space="preserve">In the </w:t>
            </w:r>
            <w:r w:rsidR="00634931">
              <w:t>M</w:t>
            </w:r>
            <w:r>
              <w:t>atter of</w:t>
            </w:r>
          </w:p>
          <w:p w:rsidR="0060228B" w:rsidRDefault="0060228B">
            <w:pPr>
              <w:ind w:right="-18"/>
              <w:rPr>
                <w:snapToGrid/>
              </w:rPr>
            </w:pPr>
          </w:p>
          <w:p w:rsidR="0060228B" w:rsidRDefault="009C6115">
            <w:pPr>
              <w:ind w:right="-18"/>
              <w:rPr>
                <w:snapToGrid/>
              </w:rPr>
            </w:pPr>
            <w:r>
              <w:t xml:space="preserve">Modernizing the E-rate </w:t>
            </w:r>
          </w:p>
          <w:p w:rsidR="009C6115" w:rsidRDefault="009C6115">
            <w:pPr>
              <w:ind w:right="-18"/>
              <w:rPr>
                <w:snapToGrid/>
              </w:rPr>
            </w:pPr>
            <w:r>
              <w:t>Program for Schools and Libraries</w:t>
            </w:r>
          </w:p>
        </w:tc>
        <w:tc>
          <w:tcPr>
            <w:tcW w:w="720" w:type="dxa"/>
          </w:tcPr>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9C6115">
            <w:pPr>
              <w:rPr>
                <w:b/>
              </w:rPr>
            </w:pPr>
            <w:r>
              <w:rPr>
                <w:b/>
              </w:rPr>
              <w:t xml:space="preserve"> </w:t>
            </w:r>
          </w:p>
        </w:tc>
        <w:tc>
          <w:tcPr>
            <w:tcW w:w="4230" w:type="dxa"/>
          </w:tcPr>
          <w:p w:rsidR="0060228B" w:rsidRDefault="0060228B"/>
          <w:p w:rsidR="0060228B" w:rsidRDefault="0060228B"/>
          <w:p w:rsidR="0060228B" w:rsidRDefault="009C6115">
            <w:pPr>
              <w:rPr>
                <w:snapToGrid/>
              </w:rPr>
            </w:pPr>
            <w:r>
              <w:t>WC Docket No. 13-184</w:t>
            </w:r>
          </w:p>
          <w:p w:rsidR="0060228B" w:rsidRPr="00EB1A95" w:rsidRDefault="0060228B">
            <w:pPr>
              <w:rPr>
                <w:b/>
                <w:snapToGrid/>
              </w:rPr>
            </w:pPr>
          </w:p>
        </w:tc>
      </w:tr>
    </w:tbl>
    <w:p w:rsidR="0060228B" w:rsidRDefault="002E484C" w:rsidP="00BD787C">
      <w:pPr>
        <w:spacing w:before="120"/>
        <w:jc w:val="center"/>
        <w:rPr>
          <w:b/>
          <w:spacing w:val="-2"/>
        </w:rPr>
      </w:pPr>
      <w:r>
        <w:rPr>
          <w:b/>
          <w:spacing w:val="-2"/>
        </w:rPr>
        <w:t>ERRATUM</w:t>
      </w:r>
    </w:p>
    <w:p w:rsidR="00E00E22" w:rsidRDefault="00E00E22" w:rsidP="00C21111">
      <w:pPr>
        <w:rPr>
          <w:b/>
        </w:rPr>
      </w:pPr>
    </w:p>
    <w:p w:rsidR="0060228B" w:rsidRDefault="0060228B" w:rsidP="00C21111">
      <w:pPr>
        <w:jc w:val="right"/>
        <w:rPr>
          <w:b/>
        </w:rPr>
      </w:pPr>
      <w:r>
        <w:rPr>
          <w:b/>
        </w:rPr>
        <w:t xml:space="preserve">Released:  </w:t>
      </w:r>
      <w:r w:rsidR="00806BDD">
        <w:rPr>
          <w:b/>
        </w:rPr>
        <w:t>October 10</w:t>
      </w:r>
      <w:r w:rsidR="009C6115">
        <w:rPr>
          <w:b/>
        </w:rPr>
        <w:t>, 2014</w:t>
      </w:r>
    </w:p>
    <w:p w:rsidR="0060228B" w:rsidRDefault="0060228B" w:rsidP="00C21111">
      <w:pPr>
        <w:rPr>
          <w:b/>
        </w:rPr>
      </w:pPr>
    </w:p>
    <w:p w:rsidR="0060228B" w:rsidRDefault="0060228B" w:rsidP="00C21111">
      <w:r>
        <w:t xml:space="preserve">By the </w:t>
      </w:r>
      <w:r w:rsidR="009C6115">
        <w:rPr>
          <w:spacing w:val="-2"/>
        </w:rPr>
        <w:t>Chief, Wireline Competition Bureau</w:t>
      </w:r>
      <w:r>
        <w:rPr>
          <w:spacing w:val="-2"/>
        </w:rPr>
        <w:t>:</w:t>
      </w:r>
    </w:p>
    <w:p w:rsidR="0060228B" w:rsidRDefault="0060228B" w:rsidP="00BD787C"/>
    <w:p w:rsidR="009D4125" w:rsidRDefault="00B07300" w:rsidP="00BD787C">
      <w:pPr>
        <w:pStyle w:val="ParaNum"/>
        <w:numPr>
          <w:ilvl w:val="0"/>
          <w:numId w:val="0"/>
        </w:numPr>
        <w:tabs>
          <w:tab w:val="left" w:pos="720"/>
        </w:tabs>
        <w:ind w:firstLine="720"/>
      </w:pPr>
      <w:r>
        <w:t xml:space="preserve">On </w:t>
      </w:r>
      <w:r w:rsidR="009C6115">
        <w:t xml:space="preserve">July 23, 2014, the Commission </w:t>
      </w:r>
      <w:r>
        <w:t>released a</w:t>
      </w:r>
      <w:r w:rsidRPr="00A6678A">
        <w:t xml:space="preserve"> </w:t>
      </w:r>
      <w:r w:rsidR="009C6115">
        <w:t>Report and Order and Further Notice of Proposed Rulemaking (</w:t>
      </w:r>
      <w:r w:rsidR="009C6115">
        <w:rPr>
          <w:i/>
        </w:rPr>
        <w:t>E-rate Modernization Order and FNPRM</w:t>
      </w:r>
      <w:r w:rsidR="009C6115">
        <w:t>)</w:t>
      </w:r>
      <w:r w:rsidRPr="003332C2">
        <w:t>,</w:t>
      </w:r>
      <w:r w:rsidR="009C6115">
        <w:rPr>
          <w:i/>
        </w:rPr>
        <w:t xml:space="preserve"> </w:t>
      </w:r>
      <w:r w:rsidR="009C6115">
        <w:t>FCC 14-99</w:t>
      </w:r>
      <w:r>
        <w:t xml:space="preserve">, in the above captioned proceeding.  This Erratum </w:t>
      </w:r>
      <w:r w:rsidR="009C6115">
        <w:t xml:space="preserve">amends the </w:t>
      </w:r>
      <w:r w:rsidR="009C6115">
        <w:rPr>
          <w:i/>
        </w:rPr>
        <w:t xml:space="preserve">E-rate Modernization Order and FNPRM </w:t>
      </w:r>
      <w:r w:rsidR="009C6115">
        <w:t>as indicated below:</w:t>
      </w:r>
    </w:p>
    <w:p w:rsidR="009D4125" w:rsidRPr="00A448F1" w:rsidRDefault="00B20277" w:rsidP="00C21111">
      <w:pPr>
        <w:pStyle w:val="ParaNum"/>
        <w:numPr>
          <w:ilvl w:val="0"/>
          <w:numId w:val="22"/>
        </w:numPr>
        <w:tabs>
          <w:tab w:val="left" w:pos="720"/>
        </w:tabs>
        <w:ind w:left="0" w:firstLine="360"/>
      </w:pPr>
      <w:r>
        <w:t xml:space="preserve">In paragraph 7, </w:t>
      </w:r>
      <w:r w:rsidR="00133D11">
        <w:t xml:space="preserve">in </w:t>
      </w:r>
      <w:r w:rsidR="002B5A74">
        <w:t>the last sentence</w:t>
      </w:r>
      <w:r w:rsidR="00133D11">
        <w:t>, add</w:t>
      </w:r>
      <w:r w:rsidR="002B5A74">
        <w:t xml:space="preserve"> </w:t>
      </w:r>
      <w:r w:rsidR="00133D11" w:rsidRPr="00133D11">
        <w:t>“</w:t>
      </w:r>
      <w:r w:rsidR="002B5A74">
        <w:t>, we continue the Commission’s commitment to meeting schools</w:t>
      </w:r>
      <w:r w:rsidR="00A448F1">
        <w:t>’</w:t>
      </w:r>
      <w:r w:rsidR="002B5A74">
        <w:t xml:space="preserve"> and libraries’ connectivity needs</w:t>
      </w:r>
      <w:r w:rsidR="00A448F1">
        <w:t>”</w:t>
      </w:r>
      <w:r w:rsidR="00DD6882">
        <w:t xml:space="preserve"> after “connections”. </w:t>
      </w:r>
    </w:p>
    <w:p w:rsidR="00A448F1" w:rsidRDefault="00BB7FC5" w:rsidP="00C21111">
      <w:pPr>
        <w:pStyle w:val="ParaNum"/>
        <w:numPr>
          <w:ilvl w:val="0"/>
          <w:numId w:val="22"/>
        </w:numPr>
        <w:tabs>
          <w:tab w:val="left" w:pos="720"/>
        </w:tabs>
        <w:ind w:left="0" w:firstLine="360"/>
      </w:pPr>
      <w:r>
        <w:t xml:space="preserve">In footnote 86, </w:t>
      </w:r>
      <w:r w:rsidR="00AB5FED">
        <w:t xml:space="preserve">correct </w:t>
      </w:r>
      <w:r>
        <w:t xml:space="preserve">“NRPM” </w:t>
      </w:r>
      <w:r w:rsidR="00AB5FED">
        <w:t>to read as</w:t>
      </w:r>
      <w:r>
        <w:t xml:space="preserve"> “NPRM.”</w:t>
      </w:r>
    </w:p>
    <w:p w:rsidR="00265325" w:rsidRDefault="00265325" w:rsidP="00C21111">
      <w:pPr>
        <w:pStyle w:val="ParaNum"/>
        <w:numPr>
          <w:ilvl w:val="0"/>
          <w:numId w:val="22"/>
        </w:numPr>
        <w:tabs>
          <w:tab w:val="left" w:pos="720"/>
        </w:tabs>
        <w:ind w:left="0" w:firstLine="360"/>
      </w:pPr>
      <w:r>
        <w:t>In footnote 142, in the second sentence, replace “PIA” with “Program Integrity Assurance (PIA).”</w:t>
      </w:r>
    </w:p>
    <w:p w:rsidR="00265325" w:rsidRDefault="00265325" w:rsidP="00C21111">
      <w:pPr>
        <w:pStyle w:val="ParaNum"/>
        <w:numPr>
          <w:ilvl w:val="0"/>
          <w:numId w:val="22"/>
        </w:numPr>
        <w:tabs>
          <w:tab w:val="left" w:pos="720"/>
        </w:tabs>
        <w:ind w:left="0" w:firstLine="360"/>
      </w:pPr>
      <w:r>
        <w:t xml:space="preserve">In paragraph 78, </w:t>
      </w:r>
      <w:r w:rsidR="006828F7">
        <w:t xml:space="preserve">in the sixth sentence, delete the comma after “eligible requests for category one services”. </w:t>
      </w:r>
    </w:p>
    <w:p w:rsidR="003737A0" w:rsidRDefault="003737A0" w:rsidP="00C21111">
      <w:pPr>
        <w:pStyle w:val="ParaNum"/>
        <w:numPr>
          <w:ilvl w:val="0"/>
          <w:numId w:val="22"/>
        </w:numPr>
        <w:tabs>
          <w:tab w:val="left" w:pos="720"/>
        </w:tabs>
        <w:ind w:left="0" w:firstLine="360"/>
      </w:pPr>
      <w:r>
        <w:t>In paragraph 83, in the last sentence, replace “supports” with “supported.”</w:t>
      </w:r>
    </w:p>
    <w:p w:rsidR="003737A0" w:rsidRDefault="003737A0" w:rsidP="00C21111">
      <w:pPr>
        <w:pStyle w:val="ParaNum"/>
        <w:numPr>
          <w:ilvl w:val="0"/>
          <w:numId w:val="22"/>
        </w:numPr>
        <w:tabs>
          <w:tab w:val="left" w:pos="720"/>
        </w:tabs>
        <w:ind w:left="0" w:firstLine="360"/>
      </w:pPr>
      <w:r>
        <w:t xml:space="preserve">In paragraph 86, in the fourth sentence, </w:t>
      </w:r>
      <w:r w:rsidR="00B5743D">
        <w:t>correct</w:t>
      </w:r>
      <w:r>
        <w:t xml:space="preserve"> the phrase </w:t>
      </w:r>
      <w:r w:rsidR="00AB5FED">
        <w:t>“subsequent f</w:t>
      </w:r>
      <w:r w:rsidR="00C21111">
        <w:t>ive</w:t>
      </w:r>
      <w:r w:rsidR="00AB5FED">
        <w:t xml:space="preserve"> funding years”</w:t>
      </w:r>
      <w:r w:rsidR="00B5743D">
        <w:t xml:space="preserve"> to read as</w:t>
      </w:r>
      <w:r w:rsidR="00AB5FED">
        <w:t xml:space="preserve"> </w:t>
      </w:r>
      <w:r>
        <w:t>“subsequent f</w:t>
      </w:r>
      <w:r w:rsidR="00C21111">
        <w:t>our</w:t>
      </w:r>
      <w:r>
        <w:t xml:space="preserve"> funding years</w:t>
      </w:r>
      <w:r w:rsidR="00B5743D">
        <w:t>.</w:t>
      </w:r>
      <w:r>
        <w:t>”</w:t>
      </w:r>
    </w:p>
    <w:p w:rsidR="006828F7" w:rsidRDefault="006828F7" w:rsidP="00C21111">
      <w:pPr>
        <w:pStyle w:val="ParaNum"/>
        <w:numPr>
          <w:ilvl w:val="0"/>
          <w:numId w:val="22"/>
        </w:numPr>
        <w:tabs>
          <w:tab w:val="left" w:pos="720"/>
        </w:tabs>
        <w:ind w:left="0" w:firstLine="360"/>
      </w:pPr>
      <w:r>
        <w:t>In paragraph 88, in the first sentence, add “do” after “five-year budgets.”</w:t>
      </w:r>
    </w:p>
    <w:p w:rsidR="00E2648A" w:rsidRDefault="006828F7" w:rsidP="00C21111">
      <w:pPr>
        <w:pStyle w:val="ParaNum"/>
        <w:numPr>
          <w:ilvl w:val="0"/>
          <w:numId w:val="22"/>
        </w:numPr>
        <w:tabs>
          <w:tab w:val="left" w:pos="720"/>
        </w:tabs>
        <w:ind w:left="0" w:firstLine="360"/>
      </w:pPr>
      <w:r>
        <w:t>In paragraph 102, in the second sentence, replace “Further Notice” with “FNPRM.”</w:t>
      </w:r>
    </w:p>
    <w:p w:rsidR="00A86FBD" w:rsidRDefault="00A86FBD" w:rsidP="00C21111">
      <w:pPr>
        <w:pStyle w:val="ParaNum"/>
        <w:numPr>
          <w:ilvl w:val="0"/>
          <w:numId w:val="22"/>
        </w:numPr>
        <w:tabs>
          <w:tab w:val="left" w:pos="720"/>
        </w:tabs>
        <w:ind w:left="0" w:firstLine="360"/>
        <w:rPr>
          <w:szCs w:val="22"/>
        </w:rPr>
      </w:pPr>
      <w:r>
        <w:rPr>
          <w:szCs w:val="22"/>
        </w:rPr>
        <w:t>In f</w:t>
      </w:r>
      <w:r w:rsidR="00E2648A" w:rsidRPr="007C393C">
        <w:rPr>
          <w:szCs w:val="22"/>
        </w:rPr>
        <w:t>ootnote 228</w:t>
      </w:r>
      <w:r>
        <w:rPr>
          <w:szCs w:val="22"/>
        </w:rPr>
        <w:t>, in the second sentence, delete “x (discount level)</w:t>
      </w:r>
      <w:r w:rsidR="0064297C">
        <w:rPr>
          <w:szCs w:val="22"/>
        </w:rPr>
        <w:t>,</w:t>
      </w:r>
      <w:r>
        <w:rPr>
          <w:szCs w:val="22"/>
        </w:rPr>
        <w:t>” replace “E-rate funding received” with “Pre-discount budget used</w:t>
      </w:r>
      <w:r w:rsidR="0064297C">
        <w:rPr>
          <w:szCs w:val="22"/>
        </w:rPr>
        <w:t>,</w:t>
      </w:r>
      <w:r>
        <w:rPr>
          <w:szCs w:val="22"/>
        </w:rPr>
        <w:t>”</w:t>
      </w:r>
      <w:r w:rsidR="0064297C">
        <w:rPr>
          <w:szCs w:val="22"/>
        </w:rPr>
        <w:t xml:space="preserve"> and </w:t>
      </w:r>
      <w:r w:rsidR="00A07388">
        <w:rPr>
          <w:szCs w:val="22"/>
        </w:rPr>
        <w:t>add</w:t>
      </w:r>
      <w:r w:rsidR="0064297C">
        <w:rPr>
          <w:szCs w:val="22"/>
        </w:rPr>
        <w:t xml:space="preserve"> “x (discount level)” after “years)].”</w:t>
      </w:r>
    </w:p>
    <w:p w:rsidR="00A85837" w:rsidRDefault="00E971AD" w:rsidP="00C21111">
      <w:pPr>
        <w:pStyle w:val="ParaNum"/>
        <w:numPr>
          <w:ilvl w:val="0"/>
          <w:numId w:val="22"/>
        </w:numPr>
        <w:tabs>
          <w:tab w:val="left" w:pos="720"/>
        </w:tabs>
        <w:ind w:left="0" w:firstLine="360"/>
        <w:rPr>
          <w:szCs w:val="22"/>
        </w:rPr>
      </w:pPr>
      <w:r>
        <w:rPr>
          <w:szCs w:val="22"/>
        </w:rPr>
        <w:t>In f</w:t>
      </w:r>
      <w:r w:rsidR="008C7137" w:rsidRPr="007C393C">
        <w:rPr>
          <w:szCs w:val="22"/>
        </w:rPr>
        <w:t>ootnote 228</w:t>
      </w:r>
      <w:r w:rsidR="008C7137">
        <w:rPr>
          <w:szCs w:val="22"/>
        </w:rPr>
        <w:t>, the last sentence</w:t>
      </w:r>
      <w:r w:rsidR="008C7137" w:rsidRPr="007C393C">
        <w:rPr>
          <w:szCs w:val="22"/>
        </w:rPr>
        <w:t xml:space="preserve"> </w:t>
      </w:r>
      <w:r w:rsidR="00A85837">
        <w:rPr>
          <w:szCs w:val="22"/>
        </w:rPr>
        <w:t>is corrected to</w:t>
      </w:r>
      <w:r w:rsidR="008C7137" w:rsidRPr="007C393C">
        <w:rPr>
          <w:szCs w:val="22"/>
        </w:rPr>
        <w:t xml:space="preserve"> read as</w:t>
      </w:r>
      <w:r w:rsidR="00A85837">
        <w:rPr>
          <w:szCs w:val="22"/>
        </w:rPr>
        <w:t xml:space="preserve"> follows:</w:t>
      </w:r>
    </w:p>
    <w:p w:rsidR="008C7137" w:rsidRPr="007C393C" w:rsidRDefault="008C7137" w:rsidP="00C21111">
      <w:pPr>
        <w:pStyle w:val="ParaNum"/>
        <w:numPr>
          <w:ilvl w:val="0"/>
          <w:numId w:val="0"/>
        </w:numPr>
        <w:ind w:left="720"/>
        <w:rPr>
          <w:szCs w:val="22"/>
        </w:rPr>
      </w:pPr>
      <w:r w:rsidRPr="007C393C">
        <w:rPr>
          <w:szCs w:val="22"/>
        </w:rPr>
        <w:t xml:space="preserve">“An 80 percent discount school with 1,000 students that </w:t>
      </w:r>
      <w:r>
        <w:rPr>
          <w:szCs w:val="22"/>
        </w:rPr>
        <w:t xml:space="preserve">receives support </w:t>
      </w:r>
      <w:r w:rsidRPr="007C393C">
        <w:rPr>
          <w:szCs w:val="22"/>
        </w:rPr>
        <w:t xml:space="preserve">in one funding year for </w:t>
      </w:r>
      <w:r>
        <w:rPr>
          <w:szCs w:val="22"/>
        </w:rPr>
        <w:t xml:space="preserve">the purchase of internal connections that cost </w:t>
      </w:r>
      <w:r w:rsidRPr="007C393C">
        <w:rPr>
          <w:szCs w:val="22"/>
        </w:rPr>
        <w:t>$60,000 pre-discount</w:t>
      </w:r>
      <w:r>
        <w:rPr>
          <w:szCs w:val="22"/>
        </w:rPr>
        <w:t xml:space="preserve">, and that hasn’t received any other support under its category two budget, </w:t>
      </w:r>
      <w:r w:rsidRPr="007C393C">
        <w:rPr>
          <w:szCs w:val="22"/>
        </w:rPr>
        <w:t>would therefore use the following formula: (1,000 x $150) = $150,000 – $60,000 = $90,000 x (0.80) = $72,000 in E-rate support available to request in the next funding year if necessary.</w:t>
      </w:r>
      <w:r>
        <w:rPr>
          <w:szCs w:val="22"/>
        </w:rPr>
        <w:t>”</w:t>
      </w:r>
    </w:p>
    <w:p w:rsidR="00955997" w:rsidRDefault="003519BE" w:rsidP="00C21111">
      <w:pPr>
        <w:pStyle w:val="ParaNum"/>
        <w:numPr>
          <w:ilvl w:val="0"/>
          <w:numId w:val="22"/>
        </w:numPr>
        <w:tabs>
          <w:tab w:val="left" w:pos="720"/>
        </w:tabs>
        <w:ind w:left="0" w:firstLine="360"/>
      </w:pPr>
      <w:r>
        <w:t>In paragraph 107</w:t>
      </w:r>
      <w:r w:rsidR="00A96521">
        <w:t>,</w:t>
      </w:r>
      <w:r w:rsidR="00955997">
        <w:t xml:space="preserve"> </w:t>
      </w:r>
      <w:r w:rsidR="00A96521">
        <w:t>the corrections are as follows</w:t>
      </w:r>
      <w:r w:rsidR="00955997">
        <w:t>:</w:t>
      </w:r>
    </w:p>
    <w:p w:rsidR="00955997" w:rsidRDefault="00955997" w:rsidP="00C21111">
      <w:pPr>
        <w:pStyle w:val="ParaNum"/>
        <w:numPr>
          <w:ilvl w:val="0"/>
          <w:numId w:val="34"/>
        </w:numPr>
        <w:tabs>
          <w:tab w:val="left" w:pos="1080"/>
        </w:tabs>
        <w:ind w:left="720" w:firstLine="0"/>
      </w:pPr>
      <w:r>
        <w:t>I</w:t>
      </w:r>
      <w:r w:rsidR="003519BE">
        <w:t>n the first sentence, replace “and” with “and/or.”</w:t>
      </w:r>
    </w:p>
    <w:p w:rsidR="00A85837" w:rsidRDefault="00E971AD" w:rsidP="00C21111">
      <w:pPr>
        <w:pStyle w:val="ParaNum"/>
        <w:numPr>
          <w:ilvl w:val="0"/>
          <w:numId w:val="34"/>
        </w:numPr>
        <w:tabs>
          <w:tab w:val="left" w:pos="1080"/>
        </w:tabs>
        <w:ind w:left="720" w:firstLine="0"/>
      </w:pPr>
      <w:r>
        <w:t>Correct t</w:t>
      </w:r>
      <w:r w:rsidR="00ED5901">
        <w:t>he second sentence to read as</w:t>
      </w:r>
      <w:r w:rsidR="00A85837">
        <w:t>:</w:t>
      </w:r>
    </w:p>
    <w:p w:rsidR="00ED5901" w:rsidRDefault="00ED5901" w:rsidP="00C21111">
      <w:pPr>
        <w:pStyle w:val="ParaNum"/>
        <w:numPr>
          <w:ilvl w:val="0"/>
          <w:numId w:val="0"/>
        </w:numPr>
        <w:ind w:left="1080"/>
      </w:pPr>
      <w:r>
        <w:t xml:space="preserve">“In other words, for schools in districts receiving funding in years 2015 and/or 2016, we adopt a rolling funding cycle of five years for category two services, which begins the first year that a school receives E-rate support, and remove the two-in-five rule that applied to </w:t>
      </w:r>
      <w:r>
        <w:lastRenderedPageBreak/>
        <w:t>priority two internal connections.”</w:t>
      </w:r>
    </w:p>
    <w:p w:rsidR="00955997" w:rsidRDefault="00E971AD" w:rsidP="00C21111">
      <w:pPr>
        <w:pStyle w:val="ParaNum"/>
        <w:numPr>
          <w:ilvl w:val="0"/>
          <w:numId w:val="34"/>
        </w:numPr>
        <w:tabs>
          <w:tab w:val="left" w:pos="1080"/>
        </w:tabs>
        <w:ind w:left="720" w:firstLine="0"/>
      </w:pPr>
      <w:r>
        <w:t>Correct t</w:t>
      </w:r>
      <w:r w:rsidR="00287404">
        <w:t>he fourth</w:t>
      </w:r>
      <w:r w:rsidR="00A96521">
        <w:t xml:space="preserve"> sentence and change the</w:t>
      </w:r>
      <w:r>
        <w:t xml:space="preserve"> </w:t>
      </w:r>
      <w:r w:rsidR="00833393">
        <w:t xml:space="preserve">fifth </w:t>
      </w:r>
      <w:r>
        <w:t xml:space="preserve">and sixth </w:t>
      </w:r>
      <w:r w:rsidR="00287404">
        <w:t>sentence to read as</w:t>
      </w:r>
      <w:r w:rsidR="00A96521">
        <w:t xml:space="preserve"> follows</w:t>
      </w:r>
      <w:r w:rsidR="00955997">
        <w:t>:</w:t>
      </w:r>
    </w:p>
    <w:p w:rsidR="00287404" w:rsidRDefault="00287404" w:rsidP="00C21111">
      <w:pPr>
        <w:pStyle w:val="ParaNum"/>
        <w:numPr>
          <w:ilvl w:val="0"/>
          <w:numId w:val="0"/>
        </w:numPr>
        <w:tabs>
          <w:tab w:val="left" w:pos="1080"/>
        </w:tabs>
        <w:ind w:left="1080"/>
      </w:pPr>
      <w:r>
        <w:t>“Therefore</w:t>
      </w:r>
      <w:r w:rsidR="00C06D4B">
        <w:t xml:space="preserve">, </w:t>
      </w:r>
      <w:r>
        <w:t xml:space="preserve">schools that seek category two support in funding year 2015 will calculate their available </w:t>
      </w:r>
      <w:r w:rsidR="005C1DD5">
        <w:t xml:space="preserve">pre-discount </w:t>
      </w:r>
      <w:r>
        <w:t>support budget as $150 per student</w:t>
      </w:r>
      <w:r w:rsidR="005C1DD5">
        <w:t xml:space="preserve"> over five years beginning with funding year 2015.</w:t>
      </w:r>
      <w:r w:rsidR="0042660E">
        <w:t xml:space="preserve">  Schools that seek category two support in funding year 2016 will calculate their available </w:t>
      </w:r>
      <w:r w:rsidR="005C1DD5">
        <w:t xml:space="preserve">pre-discount </w:t>
      </w:r>
      <w:r w:rsidR="0042660E">
        <w:t xml:space="preserve">support budget as $150 per student, less any </w:t>
      </w:r>
      <w:r w:rsidR="00C06D4B">
        <w:t>of the five year pre-discount budget used in</w:t>
      </w:r>
      <w:r w:rsidR="005C1DD5">
        <w:t xml:space="preserve"> funding year 2015.</w:t>
      </w:r>
      <w:r w:rsidR="00E971AD">
        <w:t xml:space="preserve">  </w:t>
      </w:r>
      <w:r w:rsidR="005C1DD5">
        <w:t xml:space="preserve">In later years, schools that received category two support in funding years 2015 and/or 2016 will calculate their available pre-discount budget based on $150 per student, less any </w:t>
      </w:r>
      <w:r w:rsidR="00C06D4B">
        <w:t xml:space="preserve">of the </w:t>
      </w:r>
      <w:r w:rsidR="00D3194F">
        <w:t xml:space="preserve">category two </w:t>
      </w:r>
      <w:r w:rsidR="00C06D4B">
        <w:t>pre-discount budget used</w:t>
      </w:r>
      <w:r w:rsidR="005C1DD5">
        <w:t xml:space="preserve"> in the prior funding years that are part of</w:t>
      </w:r>
      <w:r w:rsidR="00A62D27">
        <w:t xml:space="preserve"> that</w:t>
      </w:r>
      <w:r w:rsidR="005C1DD5">
        <w:t xml:space="preserve"> school’s five year funding cycle.”</w:t>
      </w:r>
    </w:p>
    <w:p w:rsidR="00AA4715" w:rsidRDefault="00AA4715" w:rsidP="00C21111">
      <w:pPr>
        <w:pStyle w:val="ParaNum"/>
        <w:numPr>
          <w:ilvl w:val="0"/>
          <w:numId w:val="22"/>
        </w:numPr>
        <w:tabs>
          <w:tab w:val="left" w:pos="720"/>
        </w:tabs>
        <w:ind w:left="0" w:firstLine="360"/>
      </w:pPr>
      <w:r>
        <w:t>In paragraph 112, in the second sentence, delete the extra “s” from “networks.”</w:t>
      </w:r>
    </w:p>
    <w:p w:rsidR="007C393C" w:rsidRDefault="007C393C" w:rsidP="00C21111">
      <w:pPr>
        <w:pStyle w:val="ParaNum"/>
        <w:numPr>
          <w:ilvl w:val="0"/>
          <w:numId w:val="22"/>
        </w:numPr>
        <w:tabs>
          <w:tab w:val="left" w:pos="720"/>
        </w:tabs>
        <w:ind w:left="0" w:firstLine="360"/>
      </w:pPr>
      <w:r>
        <w:t>In paragraph 125, in the first sentence, replace “Under” with “For example, under.”</w:t>
      </w:r>
    </w:p>
    <w:p w:rsidR="00774259" w:rsidRDefault="00511C10" w:rsidP="00C21111">
      <w:pPr>
        <w:pStyle w:val="ParaNum"/>
        <w:numPr>
          <w:ilvl w:val="0"/>
          <w:numId w:val="22"/>
        </w:numPr>
        <w:tabs>
          <w:tab w:val="left" w:pos="720"/>
        </w:tabs>
        <w:ind w:left="0" w:firstLine="360"/>
      </w:pPr>
      <w:r>
        <w:t>In f</w:t>
      </w:r>
      <w:r w:rsidR="00774259">
        <w:t xml:space="preserve">ootnote 289, </w:t>
      </w:r>
      <w:r w:rsidR="00E971AD">
        <w:t xml:space="preserve">add a new sentence </w:t>
      </w:r>
      <w:r w:rsidR="00274A3E">
        <w:t xml:space="preserve">at the end </w:t>
      </w:r>
      <w:r w:rsidR="00E971AD">
        <w:t xml:space="preserve">to read as </w:t>
      </w:r>
      <w:r>
        <w:t>“</w:t>
      </w:r>
      <w:r>
        <w:rPr>
          <w:i/>
        </w:rPr>
        <w:t>See, e.g.</w:t>
      </w:r>
      <w:r w:rsidR="00D3194F">
        <w:t>,</w:t>
      </w:r>
      <w:r>
        <w:rPr>
          <w:i/>
        </w:rPr>
        <w:t xml:space="preserve"> </w:t>
      </w:r>
      <w:r w:rsidR="0047764B">
        <w:rPr>
          <w:i/>
        </w:rPr>
        <w:t>Schools and Libraries Universal Service Support Mechanism</w:t>
      </w:r>
      <w:r w:rsidR="0047764B">
        <w:t xml:space="preserve">; </w:t>
      </w:r>
      <w:r w:rsidR="0047764B">
        <w:rPr>
          <w:i/>
        </w:rPr>
        <w:t>A National Broadband Plan for Our Future</w:t>
      </w:r>
      <w:r w:rsidR="00D3194F">
        <w:t>,</w:t>
      </w:r>
      <w:r w:rsidR="0047764B">
        <w:rPr>
          <w:i/>
        </w:rPr>
        <w:t xml:space="preserve"> </w:t>
      </w:r>
      <w:r w:rsidR="0047764B">
        <w:t>CC Docket No. 02-6, GN 09-51</w:t>
      </w:r>
      <w:r w:rsidR="00D3194F">
        <w:t>,</w:t>
      </w:r>
      <w:r w:rsidR="0047764B">
        <w:t xml:space="preserve"> Order, 28 FCC Rcd 14534, 14554 (Wireline Comp. Bur. 2013).</w:t>
      </w:r>
      <w:r w:rsidR="00F22FAC">
        <w:t>”</w:t>
      </w:r>
    </w:p>
    <w:p w:rsidR="00494395" w:rsidRDefault="00774F69" w:rsidP="00C21111">
      <w:pPr>
        <w:pStyle w:val="ParaNum"/>
        <w:numPr>
          <w:ilvl w:val="0"/>
          <w:numId w:val="22"/>
        </w:numPr>
        <w:tabs>
          <w:tab w:val="left" w:pos="720"/>
        </w:tabs>
        <w:ind w:left="0" w:firstLine="360"/>
      </w:pPr>
      <w:r>
        <w:t>In footnote 293, replace “technology can help the affordable available bandwidth” with “</w:t>
      </w:r>
      <w:r w:rsidR="003A6E8C">
        <w:t>C</w:t>
      </w:r>
      <w:r>
        <w:t>aching can help affordable and available bandwidth.”</w:t>
      </w:r>
    </w:p>
    <w:p w:rsidR="002B40ED" w:rsidRDefault="002B40ED" w:rsidP="00C21111">
      <w:pPr>
        <w:pStyle w:val="ParaNum"/>
        <w:numPr>
          <w:ilvl w:val="0"/>
          <w:numId w:val="22"/>
        </w:numPr>
        <w:tabs>
          <w:tab w:val="left" w:pos="720"/>
        </w:tabs>
        <w:ind w:left="0" w:firstLine="360"/>
      </w:pPr>
      <w:r>
        <w:t>In paragraph 140</w:t>
      </w:r>
      <w:r w:rsidR="006A1799">
        <w:t>, in the second sentence, delete “</w:t>
      </w:r>
      <w:r>
        <w:t>for</w:t>
      </w:r>
      <w:r w:rsidR="006A1799">
        <w:t>”</w:t>
      </w:r>
      <w:r>
        <w:t xml:space="preserve"> after “sufficient funding”</w:t>
      </w:r>
      <w:r w:rsidR="00BD787C">
        <w:t xml:space="preserve"> and </w:t>
      </w:r>
      <w:r>
        <w:t>in the penultimate sentence, add “will” after “We.”</w:t>
      </w:r>
    </w:p>
    <w:p w:rsidR="002B40ED" w:rsidRDefault="002B40ED" w:rsidP="00C21111">
      <w:pPr>
        <w:pStyle w:val="ParaNum"/>
        <w:numPr>
          <w:ilvl w:val="0"/>
          <w:numId w:val="22"/>
        </w:numPr>
        <w:tabs>
          <w:tab w:val="left" w:pos="720"/>
        </w:tabs>
        <w:ind w:left="0" w:firstLine="360"/>
      </w:pPr>
      <w:r>
        <w:t xml:space="preserve">In footnote 327, replace “SIP” with “session initiation protocol (SIP)”, replace “PRI” with “primary rate interface (PRI)”, and replace “LATAs” with “local access and </w:t>
      </w:r>
      <w:r w:rsidR="00D21E27">
        <w:t>transport areas (LATAs)</w:t>
      </w:r>
      <w:r w:rsidR="00E971AD">
        <w:t>.</w:t>
      </w:r>
      <w:r w:rsidR="00D21E27">
        <w:t>”</w:t>
      </w:r>
    </w:p>
    <w:p w:rsidR="00D21E27" w:rsidRDefault="00D21E27" w:rsidP="00C21111">
      <w:pPr>
        <w:pStyle w:val="ParaNum"/>
        <w:numPr>
          <w:ilvl w:val="0"/>
          <w:numId w:val="22"/>
        </w:numPr>
        <w:tabs>
          <w:tab w:val="left" w:pos="720"/>
        </w:tabs>
        <w:ind w:left="0" w:firstLine="360"/>
      </w:pPr>
      <w:r>
        <w:t xml:space="preserve">In footnote 331, delete </w:t>
      </w:r>
      <w:r w:rsidR="009A0AF4">
        <w:t>“</w:t>
      </w:r>
      <w:r>
        <w:t>WVDE NPRM Comments</w:t>
      </w:r>
      <w:r w:rsidR="009A0AF4">
        <w:t xml:space="preserve"> at 86 (there can be some justification for data plans on cell phone for administrators provided that the plans are minimal)</w:t>
      </w:r>
      <w:r>
        <w:t>.</w:t>
      </w:r>
      <w:r w:rsidR="009A0AF4">
        <w:t>”</w:t>
      </w:r>
    </w:p>
    <w:p w:rsidR="00D21E27" w:rsidRDefault="00D21E27" w:rsidP="00C21111">
      <w:pPr>
        <w:pStyle w:val="ParaNum"/>
        <w:numPr>
          <w:ilvl w:val="0"/>
          <w:numId w:val="22"/>
        </w:numPr>
        <w:tabs>
          <w:tab w:val="left" w:pos="720"/>
        </w:tabs>
        <w:ind w:left="0" w:firstLine="360"/>
      </w:pPr>
      <w:r>
        <w:t xml:space="preserve">In footnote 354, in first cite, add “email” after “eliminate funding for.”  </w:t>
      </w:r>
    </w:p>
    <w:p w:rsidR="00774F69" w:rsidRDefault="00CF386D" w:rsidP="00C21111">
      <w:pPr>
        <w:pStyle w:val="ParaNum"/>
        <w:numPr>
          <w:ilvl w:val="0"/>
          <w:numId w:val="22"/>
        </w:numPr>
        <w:tabs>
          <w:tab w:val="left" w:pos="720"/>
        </w:tabs>
        <w:ind w:left="0" w:firstLine="360"/>
      </w:pPr>
      <w:r>
        <w:t>In paragraph 151, in the second sentence, delete “on-campus use.”</w:t>
      </w:r>
    </w:p>
    <w:p w:rsidR="00CF386D" w:rsidRDefault="00CF386D" w:rsidP="00C21111">
      <w:pPr>
        <w:pStyle w:val="ParaNum"/>
        <w:numPr>
          <w:ilvl w:val="0"/>
          <w:numId w:val="22"/>
        </w:numPr>
        <w:tabs>
          <w:tab w:val="left" w:pos="720"/>
        </w:tabs>
        <w:ind w:left="0" w:firstLine="360"/>
      </w:pPr>
      <w:r>
        <w:t>In paragraph 160, in the last sentence, replace “APIs” with “application programming interfaces (APIs).”</w:t>
      </w:r>
    </w:p>
    <w:p w:rsidR="00BD787C" w:rsidRDefault="00BD787C" w:rsidP="00C21111">
      <w:pPr>
        <w:pStyle w:val="ParaNum"/>
        <w:numPr>
          <w:ilvl w:val="0"/>
          <w:numId w:val="22"/>
        </w:numPr>
        <w:tabs>
          <w:tab w:val="left" w:pos="720"/>
        </w:tabs>
        <w:ind w:left="0" w:firstLine="360"/>
      </w:pPr>
      <w:r>
        <w:t>In p</w:t>
      </w:r>
      <w:r w:rsidR="002D067C">
        <w:t>aragraph 180, the third sentence is corrected to read as</w:t>
      </w:r>
      <w:r>
        <w:t xml:space="preserve"> follows:</w:t>
      </w:r>
    </w:p>
    <w:p w:rsidR="002D067C" w:rsidRDefault="002D067C" w:rsidP="00C21111">
      <w:pPr>
        <w:pStyle w:val="ParaNum"/>
        <w:numPr>
          <w:ilvl w:val="0"/>
          <w:numId w:val="0"/>
        </w:numPr>
        <w:tabs>
          <w:tab w:val="left" w:pos="720"/>
        </w:tabs>
        <w:ind w:left="720"/>
      </w:pPr>
      <w:r>
        <w:t xml:space="preserve">“To show that it is authorized to seek </w:t>
      </w:r>
      <w:r w:rsidR="006F2455">
        <w:t>and/</w:t>
      </w:r>
      <w:r>
        <w:t xml:space="preserve">or order eligible services for the applicants, a consortium lead may provide copies of relevant state statutes or regulations </w:t>
      </w:r>
      <w:r w:rsidRPr="002D067C">
        <w:t xml:space="preserve">authorizing consortium leads to seek </w:t>
      </w:r>
      <w:r w:rsidR="003A6E8C">
        <w:t>and/</w:t>
      </w:r>
      <w:r w:rsidRPr="002D067C">
        <w:t>or order services on</w:t>
      </w:r>
      <w:r>
        <w:rPr>
          <w:color w:val="FF0000"/>
        </w:rPr>
        <w:t xml:space="preserve"> </w:t>
      </w:r>
      <w:r w:rsidRPr="002D067C">
        <w:t>members’ behalf</w:t>
      </w:r>
      <w:r>
        <w:t xml:space="preserve"> or other proof that </w:t>
      </w:r>
      <w:r w:rsidRPr="002D067C">
        <w:t>a</w:t>
      </w:r>
      <w:r>
        <w:rPr>
          <w:color w:val="FF0000"/>
        </w:rPr>
        <w:t xml:space="preserve"> </w:t>
      </w:r>
      <w:r w:rsidRPr="002D067C">
        <w:t xml:space="preserve">consortium lead </w:t>
      </w:r>
      <w:r w:rsidR="008B1CF6">
        <w:t xml:space="preserve">is authorized </w:t>
      </w:r>
      <w:r w:rsidRPr="002D067C">
        <w:t xml:space="preserve">to seek </w:t>
      </w:r>
      <w:r w:rsidR="003A6E8C">
        <w:t>and/</w:t>
      </w:r>
      <w:r w:rsidRPr="002D067C">
        <w:t>or order services on behalf</w:t>
      </w:r>
      <w:r w:rsidR="00360118">
        <w:t xml:space="preserve"> of its members</w:t>
      </w:r>
      <w:r>
        <w:t>.</w:t>
      </w:r>
      <w:r w:rsidR="00D41A92">
        <w:t>”</w:t>
      </w:r>
    </w:p>
    <w:p w:rsidR="00CF386D" w:rsidRDefault="00CF386D" w:rsidP="00C21111">
      <w:pPr>
        <w:pStyle w:val="ParaNum"/>
        <w:numPr>
          <w:ilvl w:val="0"/>
          <w:numId w:val="22"/>
        </w:numPr>
        <w:tabs>
          <w:tab w:val="left" w:pos="720"/>
        </w:tabs>
        <w:ind w:left="0" w:firstLine="360"/>
      </w:pPr>
      <w:r>
        <w:t>In footnote 477, replace “NRPM” with “NPRM.”</w:t>
      </w:r>
    </w:p>
    <w:p w:rsidR="00CF386D" w:rsidRDefault="00CF386D" w:rsidP="00C21111">
      <w:pPr>
        <w:pStyle w:val="ParaNum"/>
        <w:numPr>
          <w:ilvl w:val="0"/>
          <w:numId w:val="22"/>
        </w:numPr>
        <w:tabs>
          <w:tab w:val="left" w:pos="720"/>
        </w:tabs>
        <w:ind w:left="0" w:firstLine="360"/>
      </w:pPr>
      <w:r>
        <w:t>In footnote 478, replace “model” with “modem” and replace “support” with “supports.”</w:t>
      </w:r>
    </w:p>
    <w:p w:rsidR="00D41A92" w:rsidRDefault="00D41A92" w:rsidP="00C21111">
      <w:pPr>
        <w:pStyle w:val="ParaNum"/>
        <w:numPr>
          <w:ilvl w:val="0"/>
          <w:numId w:val="22"/>
        </w:numPr>
        <w:tabs>
          <w:tab w:val="left" w:pos="720"/>
        </w:tabs>
        <w:ind w:left="0" w:firstLine="360"/>
      </w:pPr>
      <w:r>
        <w:t>In paragraph 214, in the first sentence</w:t>
      </w:r>
      <w:r w:rsidR="00783FC6">
        <w:t xml:space="preserve"> after </w:t>
      </w:r>
      <w:r w:rsidR="00E53809">
        <w:t>“which already use the district-wide”, replace “discount rate” with “NSLP level of poverty.”</w:t>
      </w:r>
    </w:p>
    <w:p w:rsidR="00555CE3" w:rsidRDefault="00EE5531" w:rsidP="00C21111">
      <w:pPr>
        <w:pStyle w:val="ParaNum"/>
        <w:numPr>
          <w:ilvl w:val="0"/>
          <w:numId w:val="22"/>
        </w:numPr>
        <w:tabs>
          <w:tab w:val="left" w:pos="720"/>
        </w:tabs>
        <w:ind w:left="0" w:firstLine="360"/>
      </w:pPr>
      <w:r>
        <w:t>In footnote 497, replace “</w:t>
      </w:r>
      <w:r>
        <w:rPr>
          <w:i/>
        </w:rPr>
        <w:t>See</w:t>
      </w:r>
      <w:r>
        <w:t>,</w:t>
      </w:r>
      <w:r>
        <w:rPr>
          <w:i/>
        </w:rPr>
        <w:t xml:space="preserve"> e.g.</w:t>
      </w:r>
      <w:r>
        <w:t>, EdLiNC NPRM Comments at 31.” with “</w:t>
      </w:r>
      <w:r>
        <w:rPr>
          <w:i/>
        </w:rPr>
        <w:t>See</w:t>
      </w:r>
      <w:r>
        <w:t xml:space="preserve"> 47 C.F.R. § 54.505(b)(2).” </w:t>
      </w:r>
    </w:p>
    <w:p w:rsidR="00ED5901" w:rsidRDefault="00ED5901" w:rsidP="00C21111">
      <w:pPr>
        <w:pStyle w:val="ParaNum"/>
        <w:numPr>
          <w:ilvl w:val="0"/>
          <w:numId w:val="22"/>
        </w:numPr>
        <w:tabs>
          <w:tab w:val="left" w:pos="720"/>
        </w:tabs>
        <w:ind w:left="0" w:firstLine="360"/>
      </w:pPr>
      <w:r>
        <w:t>Paragraph 217 is corrected to read as follows:</w:t>
      </w:r>
    </w:p>
    <w:p w:rsidR="002E4F11" w:rsidRDefault="00BD787C" w:rsidP="00C21111">
      <w:pPr>
        <w:pStyle w:val="ParaNum"/>
        <w:numPr>
          <w:ilvl w:val="0"/>
          <w:numId w:val="0"/>
        </w:numPr>
        <w:tabs>
          <w:tab w:val="left" w:pos="1080"/>
        </w:tabs>
        <w:ind w:left="720"/>
      </w:pPr>
      <w:r>
        <w:tab/>
      </w:r>
      <w:r w:rsidR="00ED5901">
        <w:t xml:space="preserve">“In light of the benefits to school districts and libraries of adopting a district-wide discount, we revise section 54.505(b)(4) of our rules to require school districts to calculate their E-rate discounts by: dividing the total number of students in the district eligible for the NSLP by the total number of students in the district and comparing that single figure against the discount </w:t>
      </w:r>
      <w:r w:rsidR="00ED5901">
        <w:lastRenderedPageBreak/>
        <w:t>matrix to determine the school district’s discount rate for E-rate supported services.  All public schools and libraries within that public school district will receive the same discount rate</w:t>
      </w:r>
      <w:r w:rsidR="00ED5901" w:rsidRPr="00E53809">
        <w:t>, except under the circumstances described below</w:t>
      </w:r>
      <w:r w:rsidR="00ED5901">
        <w:t xml:space="preserve">.  </w:t>
      </w:r>
      <w:r w:rsidR="00ED5901" w:rsidRPr="00E53809">
        <w:t>First, f</w:t>
      </w:r>
      <w:r w:rsidR="00ED5901">
        <w:t xml:space="preserve">or the sake of simplicity, </w:t>
      </w:r>
      <w:r w:rsidR="00ED5901" w:rsidRPr="00E53809">
        <w:t>when a</w:t>
      </w:r>
      <w:r w:rsidR="00ED5901">
        <w:rPr>
          <w:color w:val="FF0000"/>
        </w:rPr>
        <w:t xml:space="preserve"> </w:t>
      </w:r>
      <w:r w:rsidR="00ED5901">
        <w:t>library system</w:t>
      </w:r>
      <w:r w:rsidR="00ED5901">
        <w:rPr>
          <w:color w:val="FF0000"/>
        </w:rPr>
        <w:t xml:space="preserve"> </w:t>
      </w:r>
      <w:r w:rsidR="00ED5901" w:rsidRPr="00E53809">
        <w:t>has</w:t>
      </w:r>
      <w:r w:rsidR="00ED5901">
        <w:rPr>
          <w:color w:val="FF0000"/>
        </w:rPr>
        <w:t xml:space="preserve"> </w:t>
      </w:r>
      <w:r w:rsidR="00ED5901">
        <w:t>branches or outlets in more than one public school district</w:t>
      </w:r>
      <w:r w:rsidR="00ED5901" w:rsidRPr="00E53809">
        <w:t>, that library system and all library outlets within that system</w:t>
      </w:r>
      <w:r w:rsidR="00ED5901" w:rsidRPr="00E53809">
        <w:rPr>
          <w:color w:val="FF0000"/>
        </w:rPr>
        <w:t xml:space="preserve"> </w:t>
      </w:r>
      <w:r w:rsidR="00ED5901">
        <w:t>should use the address of the central outlet or main administrative office to determine which public school district the library system is in, and should use that public</w:t>
      </w:r>
      <w:r w:rsidR="00ED5901">
        <w:rPr>
          <w:color w:val="FF0000"/>
        </w:rPr>
        <w:t xml:space="preserve"> </w:t>
      </w:r>
      <w:r w:rsidR="00ED5901">
        <w:t xml:space="preserve">school district’s </w:t>
      </w:r>
      <w:r w:rsidR="00ED5901" w:rsidRPr="00E53809">
        <w:t>NSLP level of poverty to determine its</w:t>
      </w:r>
      <w:r w:rsidR="00ED5901">
        <w:rPr>
          <w:color w:val="FF0000"/>
        </w:rPr>
        <w:t xml:space="preserve"> </w:t>
      </w:r>
      <w:r w:rsidR="00ED5901">
        <w:t>discount rate whet</w:t>
      </w:r>
      <w:r w:rsidR="00ED5901" w:rsidRPr="00E53809">
        <w:t>her</w:t>
      </w:r>
      <w:r w:rsidR="00ED5901">
        <w:t xml:space="preserve"> applying as a library system or </w:t>
      </w:r>
      <w:r w:rsidR="00ED5901" w:rsidRPr="00E53809">
        <w:t xml:space="preserve">as one or more </w:t>
      </w:r>
      <w:r w:rsidR="00ED5901">
        <w:t>individual</w:t>
      </w:r>
      <w:r w:rsidR="00ED5901">
        <w:rPr>
          <w:color w:val="1F497D"/>
        </w:rPr>
        <w:t xml:space="preserve"> </w:t>
      </w:r>
      <w:r w:rsidR="00ED5901" w:rsidRPr="00E53809">
        <w:t xml:space="preserve">library outlets </w:t>
      </w:r>
      <w:r w:rsidR="00ED5901">
        <w:t>within that system</w:t>
      </w:r>
      <w:r w:rsidR="00ED5901" w:rsidRPr="00E53809">
        <w:t>.  Second, library systems, and individual libraries that are not part of a library system, must separately determine their urban/rural status.  All outlets within a library system receive the same discount rate.”</w:t>
      </w:r>
    </w:p>
    <w:p w:rsidR="002C4213" w:rsidRDefault="00CF386D" w:rsidP="00C21111">
      <w:pPr>
        <w:pStyle w:val="ParaNum"/>
        <w:numPr>
          <w:ilvl w:val="0"/>
          <w:numId w:val="22"/>
        </w:numPr>
        <w:tabs>
          <w:tab w:val="left" w:pos="720"/>
        </w:tabs>
        <w:ind w:left="0" w:firstLine="360"/>
      </w:pPr>
      <w:r>
        <w:t xml:space="preserve">In paragraph </w:t>
      </w:r>
      <w:r w:rsidR="002C4213">
        <w:t>222, in the first</w:t>
      </w:r>
      <w:r>
        <w:t xml:space="preserve"> sentence, replace</w:t>
      </w:r>
      <w:r w:rsidR="002C4213">
        <w:t xml:space="preserve"> “(Census)” with “(Census Bureau)” and in the third, fifth, and sixth sentence, add “Bureau” after “Census.”</w:t>
      </w:r>
    </w:p>
    <w:p w:rsidR="00BD787C" w:rsidRDefault="00AC7248" w:rsidP="00C21111">
      <w:pPr>
        <w:pStyle w:val="ParaNum"/>
        <w:numPr>
          <w:ilvl w:val="0"/>
          <w:numId w:val="22"/>
        </w:numPr>
        <w:tabs>
          <w:tab w:val="left" w:pos="720"/>
        </w:tabs>
        <w:ind w:left="0" w:firstLine="360"/>
      </w:pPr>
      <w:r>
        <w:t>In p</w:t>
      </w:r>
      <w:r w:rsidR="00E030C1">
        <w:t>aragraph 223</w:t>
      </w:r>
      <w:r w:rsidR="00A96521">
        <w:t>, the</w:t>
      </w:r>
      <w:r w:rsidR="00BD787C">
        <w:t xml:space="preserve"> correct</w:t>
      </w:r>
      <w:r w:rsidR="00A96521">
        <w:t>ions are</w:t>
      </w:r>
      <w:r w:rsidR="00BD787C">
        <w:t xml:space="preserve"> as follows:</w:t>
      </w:r>
    </w:p>
    <w:p w:rsidR="00AC7248" w:rsidRDefault="00BD787C" w:rsidP="00C21111">
      <w:pPr>
        <w:pStyle w:val="ParaNum"/>
        <w:numPr>
          <w:ilvl w:val="0"/>
          <w:numId w:val="35"/>
        </w:numPr>
        <w:tabs>
          <w:tab w:val="left" w:pos="720"/>
        </w:tabs>
      </w:pPr>
      <w:r>
        <w:t>I</w:t>
      </w:r>
      <w:r w:rsidR="00AC7248">
        <w:t xml:space="preserve">n the second </w:t>
      </w:r>
      <w:r>
        <w:t xml:space="preserve">and third </w:t>
      </w:r>
      <w:r w:rsidR="00AC7248">
        <w:t>sentence</w:t>
      </w:r>
      <w:r w:rsidR="00C21111">
        <w:t>s</w:t>
      </w:r>
      <w:r w:rsidR="00AC7248">
        <w:t>, add “Bureau” after “Census.”</w:t>
      </w:r>
    </w:p>
    <w:p w:rsidR="006173D2" w:rsidRDefault="00AC7248" w:rsidP="00C21111">
      <w:pPr>
        <w:pStyle w:val="ParaNum"/>
        <w:numPr>
          <w:ilvl w:val="0"/>
          <w:numId w:val="35"/>
        </w:numPr>
        <w:tabs>
          <w:tab w:val="left" w:pos="720"/>
        </w:tabs>
      </w:pPr>
      <w:r>
        <w:t xml:space="preserve">In the </w:t>
      </w:r>
      <w:r w:rsidR="00F95A4D">
        <w:t xml:space="preserve">fourth sentence, replace “2010 </w:t>
      </w:r>
      <w:r>
        <w:t>Census” with “2010 decennial census,” add “for urbanized areas and 2,500 to 50,000 for urban clusters” after “more</w:t>
      </w:r>
      <w:r w:rsidR="006601A3">
        <w:t>,</w:t>
      </w:r>
      <w:r>
        <w:t>” and replace “of at least 2,500 people that link to” with “</w:t>
      </w:r>
      <w:r w:rsidRPr="00FA52EA">
        <w:t>containing non-residential urban land uses as well as territory with low population density included to link outlying densely settled territory with</w:t>
      </w:r>
      <w:r>
        <w:t>.”</w:t>
      </w:r>
    </w:p>
    <w:p w:rsidR="00E030C1" w:rsidRDefault="00AC7248" w:rsidP="00C21111">
      <w:pPr>
        <w:pStyle w:val="ParaNum"/>
        <w:numPr>
          <w:ilvl w:val="0"/>
          <w:numId w:val="35"/>
        </w:numPr>
        <w:tabs>
          <w:tab w:val="left" w:pos="720"/>
        </w:tabs>
      </w:pPr>
      <w:r>
        <w:t xml:space="preserve">In the sixth sentence, uncapitalize the word “census.” </w:t>
      </w:r>
      <w:r w:rsidR="00E030C1">
        <w:t xml:space="preserve"> </w:t>
      </w:r>
    </w:p>
    <w:p w:rsidR="007C44D5" w:rsidRDefault="009963BA" w:rsidP="00C21111">
      <w:pPr>
        <w:pStyle w:val="ParaNum"/>
        <w:numPr>
          <w:ilvl w:val="0"/>
          <w:numId w:val="22"/>
        </w:numPr>
        <w:tabs>
          <w:tab w:val="left" w:pos="720"/>
        </w:tabs>
        <w:ind w:left="0" w:firstLine="360"/>
      </w:pPr>
      <w:r>
        <w:t xml:space="preserve">In footnote 520, </w:t>
      </w:r>
      <w:r w:rsidR="006601A3">
        <w:t>with</w:t>
      </w:r>
      <w:r>
        <w:t xml:space="preserve">in </w:t>
      </w:r>
      <w:r w:rsidR="006601A3">
        <w:t xml:space="preserve">the </w:t>
      </w:r>
      <w:r>
        <w:t>parenthe</w:t>
      </w:r>
      <w:r w:rsidR="006601A3">
        <w:t>s</w:t>
      </w:r>
      <w:r>
        <w:t>i</w:t>
      </w:r>
      <w:r w:rsidR="006601A3">
        <w:t>s</w:t>
      </w:r>
      <w:r>
        <w:t>, replace “Bureau of the Census” with “Census Bureau.”</w:t>
      </w:r>
    </w:p>
    <w:p w:rsidR="006601A3" w:rsidRDefault="006601A3" w:rsidP="00C21111">
      <w:pPr>
        <w:pStyle w:val="ParaNum"/>
        <w:numPr>
          <w:ilvl w:val="0"/>
          <w:numId w:val="22"/>
        </w:numPr>
        <w:tabs>
          <w:tab w:val="left" w:pos="720"/>
        </w:tabs>
        <w:ind w:left="0" w:firstLine="360"/>
      </w:pPr>
      <w:r>
        <w:t>In p</w:t>
      </w:r>
      <w:r w:rsidR="00555CE3">
        <w:t>aragraph 225, the fourth sentence is corrected to read as</w:t>
      </w:r>
      <w:r>
        <w:t>:</w:t>
      </w:r>
    </w:p>
    <w:p w:rsidR="00555CE3" w:rsidRDefault="00555CE3" w:rsidP="00C21111">
      <w:pPr>
        <w:pStyle w:val="ParaNum"/>
        <w:numPr>
          <w:ilvl w:val="0"/>
          <w:numId w:val="0"/>
        </w:numPr>
        <w:tabs>
          <w:tab w:val="left" w:pos="720"/>
        </w:tabs>
        <w:ind w:left="720"/>
      </w:pPr>
      <w:r>
        <w:t xml:space="preserve">“Libraries’ discount percentages will continue to be based on </w:t>
      </w:r>
      <w:r w:rsidRPr="00555CE3">
        <w:t xml:space="preserve">the level of poverty, CEP or otherwise, </w:t>
      </w:r>
      <w:r>
        <w:t>of the public school district in which they are physically located</w:t>
      </w:r>
      <w:r w:rsidRPr="00555CE3">
        <w:t>, though library systems and individual libraries not part of a library system will separately determine their urban/rural status</w:t>
      </w:r>
      <w:r>
        <w:t xml:space="preserve">.” </w:t>
      </w:r>
    </w:p>
    <w:p w:rsidR="00A41CDC" w:rsidRDefault="00A41CDC" w:rsidP="00C21111">
      <w:pPr>
        <w:pStyle w:val="ParaNum"/>
        <w:numPr>
          <w:ilvl w:val="0"/>
          <w:numId w:val="22"/>
        </w:numPr>
        <w:tabs>
          <w:tab w:val="left" w:pos="720"/>
        </w:tabs>
        <w:ind w:left="0" w:firstLine="360"/>
      </w:pPr>
      <w:r>
        <w:t xml:space="preserve">In footnote 533, replace “§ 54.505(b)(2)” with “§§ 54.505(b)(2), (3)(ii).” </w:t>
      </w:r>
    </w:p>
    <w:p w:rsidR="00385A93" w:rsidRDefault="00385A93" w:rsidP="00C21111">
      <w:pPr>
        <w:pStyle w:val="ParaNum"/>
        <w:numPr>
          <w:ilvl w:val="0"/>
          <w:numId w:val="22"/>
        </w:numPr>
        <w:tabs>
          <w:tab w:val="left" w:pos="720"/>
        </w:tabs>
        <w:ind w:left="0" w:firstLine="360"/>
      </w:pPr>
      <w:r>
        <w:t xml:space="preserve">In paragraph 230, </w:t>
      </w:r>
      <w:r w:rsidR="0071745D">
        <w:t xml:space="preserve">in the seventh sentence, </w:t>
      </w:r>
      <w:r>
        <w:t>add “on” before “only the surveys returned.”</w:t>
      </w:r>
    </w:p>
    <w:p w:rsidR="00385A93" w:rsidRDefault="00385A93" w:rsidP="00C21111">
      <w:pPr>
        <w:pStyle w:val="ParaNum"/>
        <w:numPr>
          <w:ilvl w:val="0"/>
          <w:numId w:val="22"/>
        </w:numPr>
        <w:tabs>
          <w:tab w:val="left" w:pos="720"/>
        </w:tabs>
        <w:ind w:left="0" w:firstLine="360"/>
      </w:pPr>
      <w:r>
        <w:t xml:space="preserve">In </w:t>
      </w:r>
      <w:r w:rsidR="0071745D">
        <w:t xml:space="preserve">footnote 601, replace “NCAI NRPM” with “NCAI NPRM.”  </w:t>
      </w:r>
    </w:p>
    <w:p w:rsidR="00AC3D0D" w:rsidRDefault="00AC3D0D" w:rsidP="00C21111">
      <w:pPr>
        <w:pStyle w:val="ParaNum"/>
        <w:numPr>
          <w:ilvl w:val="0"/>
          <w:numId w:val="22"/>
        </w:numPr>
        <w:tabs>
          <w:tab w:val="left" w:pos="720"/>
        </w:tabs>
        <w:ind w:left="0" w:firstLine="360"/>
      </w:pPr>
      <w:r>
        <w:t>In paragraph 269, in the fifth sentence, replace “programs” with “program’s.”</w:t>
      </w:r>
    </w:p>
    <w:p w:rsidR="00AC3D0D" w:rsidRDefault="00AC3D0D" w:rsidP="00C21111">
      <w:pPr>
        <w:pStyle w:val="ParaNum"/>
        <w:numPr>
          <w:ilvl w:val="0"/>
          <w:numId w:val="22"/>
        </w:numPr>
        <w:tabs>
          <w:tab w:val="left" w:pos="720"/>
        </w:tabs>
        <w:ind w:left="0" w:firstLine="360"/>
      </w:pPr>
      <w:r>
        <w:t>In footnote 654, replace “Verizon NRPM Comments” with “Verizon NPRM Comments.”</w:t>
      </w:r>
    </w:p>
    <w:p w:rsidR="00AC3D0D" w:rsidRDefault="00AC3D0D" w:rsidP="00C21111">
      <w:pPr>
        <w:pStyle w:val="ParaNum"/>
        <w:numPr>
          <w:ilvl w:val="0"/>
          <w:numId w:val="22"/>
        </w:numPr>
        <w:tabs>
          <w:tab w:val="left" w:pos="720"/>
        </w:tabs>
        <w:ind w:left="0" w:firstLine="360"/>
      </w:pPr>
      <w:r>
        <w:t>In footnote 659, replace “eDimension NRPM Comments” with “eDimension NPRM Comments” and replace “Philadelphia SD NRPM Comments” with “Philadelphia SD NPRM Comments.”</w:t>
      </w:r>
    </w:p>
    <w:p w:rsidR="00AC3D0D" w:rsidRDefault="00AC3D0D" w:rsidP="00C21111">
      <w:pPr>
        <w:pStyle w:val="ParaNum"/>
        <w:numPr>
          <w:ilvl w:val="0"/>
          <w:numId w:val="22"/>
        </w:numPr>
        <w:tabs>
          <w:tab w:val="left" w:pos="720"/>
        </w:tabs>
        <w:ind w:left="0" w:firstLine="360"/>
      </w:pPr>
      <w:r>
        <w:t>In paragraph 285, in the second sentence, replace “</w:t>
      </w:r>
      <w:r>
        <w:rPr>
          <w:i/>
        </w:rPr>
        <w:t>E-rate Modernization Order</w:t>
      </w:r>
      <w:r>
        <w:t>” with “Report and Order.”</w:t>
      </w:r>
    </w:p>
    <w:p w:rsidR="00AC3D0D" w:rsidRDefault="00221D1C" w:rsidP="00C21111">
      <w:pPr>
        <w:pStyle w:val="ParaNum"/>
        <w:numPr>
          <w:ilvl w:val="0"/>
          <w:numId w:val="22"/>
        </w:numPr>
        <w:tabs>
          <w:tab w:val="left" w:pos="720"/>
        </w:tabs>
        <w:ind w:left="0" w:firstLine="360"/>
      </w:pPr>
      <w:r>
        <w:t xml:space="preserve">In paragraph 288, in the third sentence, </w:t>
      </w:r>
      <w:r w:rsidR="00A54042">
        <w:t>correct</w:t>
      </w:r>
      <w:r w:rsidR="00EB077E">
        <w:t xml:space="preserve"> the number </w:t>
      </w:r>
      <w:r w:rsidR="00ED76DF">
        <w:t xml:space="preserve">“5000” </w:t>
      </w:r>
      <w:r w:rsidR="00A54042">
        <w:t>to read as “5,000</w:t>
      </w:r>
      <w:r w:rsidR="00EB077E">
        <w:t>.</w:t>
      </w:r>
      <w:r w:rsidR="00A54042">
        <w:t>”</w:t>
      </w:r>
    </w:p>
    <w:p w:rsidR="00EB077E" w:rsidRDefault="00EB077E" w:rsidP="00C21111">
      <w:pPr>
        <w:pStyle w:val="ParaNum"/>
        <w:numPr>
          <w:ilvl w:val="0"/>
          <w:numId w:val="22"/>
        </w:numPr>
        <w:tabs>
          <w:tab w:val="left" w:pos="720"/>
        </w:tabs>
        <w:ind w:left="0" w:firstLine="360"/>
      </w:pPr>
      <w:r>
        <w:t>In paragraph 299, in the third sentence, delete “we” from the phrase “should we libraries be locked.”</w:t>
      </w:r>
    </w:p>
    <w:p w:rsidR="00EB077E" w:rsidRDefault="00E575B2" w:rsidP="00C21111">
      <w:pPr>
        <w:pStyle w:val="ParaNum"/>
        <w:numPr>
          <w:ilvl w:val="0"/>
          <w:numId w:val="22"/>
        </w:numPr>
        <w:tabs>
          <w:tab w:val="left" w:pos="720"/>
        </w:tabs>
        <w:ind w:left="0" w:firstLine="360"/>
      </w:pPr>
      <w:r>
        <w:t>Paragraph 313 is corrected to read as follows:</w:t>
      </w:r>
    </w:p>
    <w:p w:rsidR="00211504" w:rsidRDefault="00E575B2" w:rsidP="00C21111">
      <w:pPr>
        <w:pStyle w:val="ParaNum"/>
        <w:numPr>
          <w:ilvl w:val="0"/>
          <w:numId w:val="0"/>
        </w:numPr>
        <w:tabs>
          <w:tab w:val="left" w:pos="1080"/>
        </w:tabs>
        <w:ind w:left="720"/>
      </w:pPr>
      <w:r>
        <w:rPr>
          <w:szCs w:val="22"/>
        </w:rPr>
        <w:tab/>
      </w:r>
      <w:r w:rsidR="00211504">
        <w:rPr>
          <w:szCs w:val="22"/>
        </w:rPr>
        <w:t>“</w:t>
      </w:r>
      <w:r>
        <w:rPr>
          <w:szCs w:val="22"/>
        </w:rPr>
        <w:t xml:space="preserve">IT IS FURTHER ORDERED, </w:t>
      </w:r>
      <w:r w:rsidRPr="00BD02DC">
        <w:rPr>
          <w:szCs w:val="22"/>
        </w:rPr>
        <w:t xml:space="preserve">that pursuant to the </w:t>
      </w:r>
      <w:r w:rsidRPr="00217ED6">
        <w:t>authority contain</w:t>
      </w:r>
      <w:r>
        <w:t xml:space="preserve">ed in sections 1 through 4, 201 through </w:t>
      </w:r>
      <w:r w:rsidRPr="00217ED6">
        <w:t>205, 254, 303(r), and 403 of the Communications Act of 1934, as amended, 47 U.S.C. §§ 151</w:t>
      </w:r>
      <w:r>
        <w:t>-</w:t>
      </w:r>
      <w:r w:rsidRPr="00217ED6">
        <w:t>154, 201</w:t>
      </w:r>
      <w:r>
        <w:t>-</w:t>
      </w:r>
      <w:r w:rsidRPr="00217ED6">
        <w:t>205, 254, 303(r), and 403,</w:t>
      </w:r>
      <w:r w:rsidRPr="00017104">
        <w:t xml:space="preserve"> and </w:t>
      </w:r>
      <w:r>
        <w:t xml:space="preserve">section 706 of the Telecommunications Act of 1996, 47 U.S.C. </w:t>
      </w:r>
      <w:r w:rsidRPr="00217ED6">
        <w:t>§</w:t>
      </w:r>
      <w:r>
        <w:t xml:space="preserve"> 1302, Part 54 of the Commission’s rules, 47 C.F.R. Part 54, </w:t>
      </w:r>
      <w:r>
        <w:rPr>
          <w:szCs w:val="22"/>
        </w:rPr>
        <w:t xml:space="preserve"> is AMENDED as set forth in Appendix A, and such rule amendments shall be effective </w:t>
      </w:r>
      <w:r w:rsidR="00A63F0B">
        <w:rPr>
          <w:szCs w:val="22"/>
        </w:rPr>
        <w:t xml:space="preserve">thirty </w:t>
      </w:r>
      <w:r>
        <w:rPr>
          <w:szCs w:val="22"/>
        </w:rPr>
        <w:t xml:space="preserve">(30) days after the publication of this Report and Order and Further Notice of Proposed Rulemaking in </w:t>
      </w:r>
      <w:r>
        <w:rPr>
          <w:szCs w:val="22"/>
        </w:rPr>
        <w:lastRenderedPageBreak/>
        <w:t>the Federal Register, except for sections</w:t>
      </w:r>
      <w:r w:rsidR="00C80CD1">
        <w:rPr>
          <w:szCs w:val="22"/>
        </w:rPr>
        <w:t xml:space="preserve"> 54.503(c), 54.507(d)</w:t>
      </w:r>
      <w:r w:rsidR="00914EE8">
        <w:rPr>
          <w:szCs w:val="22"/>
        </w:rPr>
        <w:t>-(f)</w:t>
      </w:r>
      <w:r w:rsidR="00C80CD1">
        <w:rPr>
          <w:szCs w:val="22"/>
        </w:rPr>
        <w:t>, 54.514(a), and 54.720</w:t>
      </w:r>
      <w:r w:rsidR="00A63F0B">
        <w:rPr>
          <w:szCs w:val="22"/>
        </w:rPr>
        <w:t xml:space="preserve">(a), which shall be effective </w:t>
      </w:r>
      <w:r w:rsidR="00C80CD1">
        <w:rPr>
          <w:szCs w:val="22"/>
        </w:rPr>
        <w:t>after publication of this Report and Order and Further Notice of Proposed Rulemaking in the Federal Register</w:t>
      </w:r>
      <w:r w:rsidR="00A63F0B">
        <w:rPr>
          <w:szCs w:val="22"/>
        </w:rPr>
        <w:t xml:space="preserve"> and announcement of the effective date of these </w:t>
      </w:r>
      <w:r w:rsidR="002D7C51">
        <w:rPr>
          <w:szCs w:val="22"/>
        </w:rPr>
        <w:t>sections</w:t>
      </w:r>
      <w:r w:rsidR="00C80CD1">
        <w:rPr>
          <w:szCs w:val="22"/>
        </w:rPr>
        <w:t xml:space="preserve">; </w:t>
      </w:r>
      <w:r>
        <w:rPr>
          <w:szCs w:val="22"/>
        </w:rPr>
        <w:t xml:space="preserve"> </w:t>
      </w:r>
      <w:r w:rsidR="0037164B">
        <w:rPr>
          <w:szCs w:val="22"/>
        </w:rPr>
        <w:t xml:space="preserve">and </w:t>
      </w:r>
      <w:r w:rsidR="00C80CD1">
        <w:rPr>
          <w:szCs w:val="22"/>
        </w:rPr>
        <w:t xml:space="preserve">except for sections </w:t>
      </w:r>
      <w:r>
        <w:rPr>
          <w:szCs w:val="22"/>
        </w:rPr>
        <w:t>54.502(b)(2)-(3) and (5), 54.504(a)</w:t>
      </w:r>
      <w:r w:rsidR="00A90ED2">
        <w:rPr>
          <w:szCs w:val="22"/>
        </w:rPr>
        <w:t>,</w:t>
      </w:r>
      <w:r w:rsidR="00211504">
        <w:rPr>
          <w:szCs w:val="22"/>
        </w:rPr>
        <w:t xml:space="preserve"> and 54.516(a)-(c)</w:t>
      </w:r>
      <w:r>
        <w:rPr>
          <w:szCs w:val="22"/>
        </w:rPr>
        <w:t xml:space="preserve">, which are subject to the PRA and will become effective upon announcement in the Federal Register of OMB approval of the subject information collection requirements; and except for amendments in sections 54.5, 54.500, 54.501(a)(1), 54.502(a), 54.504(d), 54.507(a)-(c) and (e), 54.516(d), and 54.720(b) and (c), which shall become effective on July 1, 2015; and amendments in </w:t>
      </w:r>
      <w:r w:rsidR="005E7753">
        <w:rPr>
          <w:szCs w:val="22"/>
        </w:rPr>
        <w:t xml:space="preserve">sections </w:t>
      </w:r>
      <w:r>
        <w:rPr>
          <w:szCs w:val="22"/>
        </w:rPr>
        <w:t>54.504(f)(4) and (f)(5) and 54.514(c), which shall be</w:t>
      </w:r>
      <w:r w:rsidR="00211504">
        <w:rPr>
          <w:szCs w:val="22"/>
        </w:rPr>
        <w:t>come effective on July 1, 2016.”</w:t>
      </w:r>
      <w:r>
        <w:rPr>
          <w:szCs w:val="22"/>
        </w:rPr>
        <w:t xml:space="preserve"> </w:t>
      </w:r>
    </w:p>
    <w:p w:rsidR="00EB077E" w:rsidRDefault="006601A3" w:rsidP="00C21111">
      <w:pPr>
        <w:pStyle w:val="ParaNum"/>
        <w:numPr>
          <w:ilvl w:val="0"/>
          <w:numId w:val="0"/>
        </w:numPr>
        <w:tabs>
          <w:tab w:val="left" w:pos="720"/>
        </w:tabs>
      </w:pPr>
      <w:r>
        <w:t xml:space="preserve">This Erratum also amends </w:t>
      </w:r>
      <w:r w:rsidR="00EB077E">
        <w:t>APPENDIX A</w:t>
      </w:r>
      <w:r w:rsidRPr="006601A3">
        <w:t xml:space="preserve"> </w:t>
      </w:r>
      <w:r>
        <w:t xml:space="preserve">of the </w:t>
      </w:r>
      <w:r>
        <w:rPr>
          <w:i/>
        </w:rPr>
        <w:t xml:space="preserve">E-rate Modernization Order and FNPRM </w:t>
      </w:r>
      <w:r w:rsidR="00EB077E">
        <w:t>as indicated below:</w:t>
      </w:r>
    </w:p>
    <w:p w:rsidR="006601A3" w:rsidRDefault="00A54042" w:rsidP="00C21111">
      <w:pPr>
        <w:pStyle w:val="ParaNum"/>
        <w:numPr>
          <w:ilvl w:val="0"/>
          <w:numId w:val="22"/>
        </w:numPr>
        <w:tabs>
          <w:tab w:val="left" w:pos="720"/>
        </w:tabs>
        <w:ind w:left="0" w:firstLine="360"/>
      </w:pPr>
      <w:r>
        <w:t xml:space="preserve">In </w:t>
      </w:r>
      <w:r w:rsidR="004662A0">
        <w:t xml:space="preserve">paragraph (c) of </w:t>
      </w:r>
      <w:r w:rsidR="006601A3">
        <w:t>s</w:t>
      </w:r>
      <w:r w:rsidR="004662A0">
        <w:t>ection 54.500</w:t>
      </w:r>
      <w:r w:rsidR="001D09F8">
        <w:t>, the second sentence is corrected to read as</w:t>
      </w:r>
      <w:r w:rsidR="006601A3">
        <w:t>:</w:t>
      </w:r>
    </w:p>
    <w:p w:rsidR="001D09F8" w:rsidRDefault="001D09F8" w:rsidP="00C21111">
      <w:pPr>
        <w:pStyle w:val="ParaNum"/>
        <w:numPr>
          <w:ilvl w:val="0"/>
          <w:numId w:val="0"/>
        </w:numPr>
        <w:tabs>
          <w:tab w:val="left" w:pos="720"/>
        </w:tabs>
        <w:ind w:left="720"/>
      </w:pPr>
      <w:r>
        <w:t xml:space="preserve">“A consortium may also include health care providers eligible under subpart G, and public sector (governmental) entities, including, but not limited to, state colleges and state universities, state educational broadcasters, counties, and municipalities, although such entities are not eligible for support.” </w:t>
      </w:r>
    </w:p>
    <w:p w:rsidR="007C393C" w:rsidRDefault="007C393C" w:rsidP="00C21111">
      <w:pPr>
        <w:pStyle w:val="ParaNum"/>
        <w:numPr>
          <w:ilvl w:val="0"/>
          <w:numId w:val="22"/>
        </w:numPr>
        <w:tabs>
          <w:tab w:val="left" w:pos="720"/>
        </w:tabs>
        <w:ind w:left="0" w:firstLine="360"/>
      </w:pPr>
      <w:r>
        <w:t xml:space="preserve">In </w:t>
      </w:r>
      <w:r w:rsidR="004662A0">
        <w:t>paragraph (j) of s</w:t>
      </w:r>
      <w:r>
        <w:t>ection 54.500, replace “</w:t>
      </w:r>
      <w:r w:rsidR="00802C83">
        <w:t xml:space="preserve">management, </w:t>
      </w:r>
      <w:r>
        <w:t>and/or</w:t>
      </w:r>
      <w:r w:rsidR="00802C83">
        <w:t xml:space="preserve"> monitoring</w:t>
      </w:r>
      <w:r>
        <w:t>” with “</w:t>
      </w:r>
      <w:r w:rsidR="00802C83">
        <w:t xml:space="preserve">management, </w:t>
      </w:r>
      <w:r>
        <w:t>and</w:t>
      </w:r>
      <w:r w:rsidR="00802C83">
        <w:t xml:space="preserve"> monitoring</w:t>
      </w:r>
      <w:r>
        <w:t>” and replace “</w:t>
      </w:r>
      <w:r w:rsidR="00802C83">
        <w:t xml:space="preserve">local area network (LAN) </w:t>
      </w:r>
      <w:r>
        <w:t>and</w:t>
      </w:r>
      <w:r w:rsidR="00802C83">
        <w:t xml:space="preserve"> wireless LAN</w:t>
      </w:r>
      <w:r>
        <w:t>” with “</w:t>
      </w:r>
      <w:r w:rsidR="00802C83">
        <w:t xml:space="preserve">local area network (LAN) </w:t>
      </w:r>
      <w:r>
        <w:t>and/or</w:t>
      </w:r>
      <w:r w:rsidR="00802C83">
        <w:t xml:space="preserve"> wireless LAN</w:t>
      </w:r>
      <w:r>
        <w:t>.”</w:t>
      </w:r>
    </w:p>
    <w:p w:rsidR="00AC2DA2" w:rsidRDefault="00AC2DA2" w:rsidP="00C21111">
      <w:pPr>
        <w:pStyle w:val="ParaNum"/>
        <w:numPr>
          <w:ilvl w:val="0"/>
          <w:numId w:val="22"/>
        </w:numPr>
        <w:tabs>
          <w:tab w:val="left" w:pos="720"/>
        </w:tabs>
        <w:ind w:left="0" w:firstLine="360"/>
      </w:pPr>
      <w:r>
        <w:t xml:space="preserve">In </w:t>
      </w:r>
      <w:r w:rsidR="004662A0">
        <w:t>paragraph (1) of s</w:t>
      </w:r>
      <w:r>
        <w:t xml:space="preserve">ection 54.501(a), replace the phrase ““elementary school” and “secondary school”” with ““elementary school” or “secondary school”” and replace the phrase “§ 54.500(e) and (o)” with “§ 54.500(e) or (o).”  </w:t>
      </w:r>
    </w:p>
    <w:p w:rsidR="00BD1E69" w:rsidRDefault="006601A3" w:rsidP="00C21111">
      <w:pPr>
        <w:pStyle w:val="ParaNum"/>
        <w:numPr>
          <w:ilvl w:val="0"/>
          <w:numId w:val="22"/>
        </w:numPr>
        <w:tabs>
          <w:tab w:val="left" w:pos="720"/>
        </w:tabs>
        <w:ind w:left="0" w:firstLine="360"/>
      </w:pPr>
      <w:r>
        <w:t>P</w:t>
      </w:r>
      <w:r w:rsidR="00BD1E69">
        <w:t xml:space="preserve">aragraph </w:t>
      </w:r>
      <w:r>
        <w:t>(2) of section 54.505</w:t>
      </w:r>
      <w:r w:rsidR="00BD1E69">
        <w:t>(b)</w:t>
      </w:r>
      <w:r>
        <w:t>,</w:t>
      </w:r>
      <w:r w:rsidR="00BD1E69">
        <w:t xml:space="preserve"> is corrected to read as follows:</w:t>
      </w:r>
    </w:p>
    <w:p w:rsidR="00BD1E69" w:rsidRDefault="00BD1E69" w:rsidP="00C21111">
      <w:pPr>
        <w:tabs>
          <w:tab w:val="left" w:pos="1080"/>
        </w:tabs>
        <w:ind w:left="720"/>
      </w:pPr>
      <w:r>
        <w:tab/>
        <w:t xml:space="preserve">“For libraries and library consortia, the level of poverty shall be based on the percentage of the student enrollment that is eligible for a free or reduced price lunch under the national school lunch program or a federally-approved alternative mechanism in the public school district in which they are located and should use that school district’s </w:t>
      </w:r>
      <w:r w:rsidRPr="00A41CDC">
        <w:t>level of poverty to determine their</w:t>
      </w:r>
      <w:r>
        <w:rPr>
          <w:color w:val="FF0000"/>
        </w:rPr>
        <w:t xml:space="preserve"> </w:t>
      </w:r>
      <w:r>
        <w:t xml:space="preserve">discount rate when applying as a library system or </w:t>
      </w:r>
      <w:r w:rsidRPr="00A41CDC">
        <w:t>as an</w:t>
      </w:r>
      <w:r>
        <w:rPr>
          <w:color w:val="FF0000"/>
        </w:rPr>
        <w:t xml:space="preserve"> </w:t>
      </w:r>
      <w:r>
        <w:t xml:space="preserve">individual </w:t>
      </w:r>
      <w:r w:rsidRPr="00A41CDC">
        <w:t>library outlet</w:t>
      </w:r>
      <w:r>
        <w:rPr>
          <w:color w:val="FF0000"/>
        </w:rPr>
        <w:t xml:space="preserve"> </w:t>
      </w:r>
      <w:r>
        <w:t xml:space="preserve">within that system.  </w:t>
      </w:r>
      <w:r w:rsidRPr="00A41CDC">
        <w:t>When a l</w:t>
      </w:r>
      <w:r>
        <w:t xml:space="preserve">ibrary system </w:t>
      </w:r>
      <w:r w:rsidRPr="00A41CDC">
        <w:t xml:space="preserve">has </w:t>
      </w:r>
      <w:r>
        <w:t>branches or outlets in more than one public school district</w:t>
      </w:r>
      <w:r w:rsidRPr="00A41CDC">
        <w:t>, that library system and all library outlets within that system</w:t>
      </w:r>
      <w:r>
        <w:rPr>
          <w:color w:val="FF0000"/>
        </w:rPr>
        <w:t xml:space="preserve"> </w:t>
      </w:r>
      <w:r>
        <w:t xml:space="preserve">should use the address of the central outlet or main administrative office to determine which school district the library system is in, and should use that school district’s </w:t>
      </w:r>
      <w:r w:rsidRPr="00A41CDC">
        <w:t>level of poverty to determine its</w:t>
      </w:r>
      <w:r>
        <w:rPr>
          <w:color w:val="FF0000"/>
        </w:rPr>
        <w:t xml:space="preserve"> </w:t>
      </w:r>
      <w:r>
        <w:t xml:space="preserve">discount rate when applying as a library system </w:t>
      </w:r>
      <w:r w:rsidRPr="00A41CDC">
        <w:t>or as one or more library outlets</w:t>
      </w:r>
      <w:r>
        <w:t>.  If the library is not in a school district, then its level of poverty shall be based on an average of the percentage of students eligible for the national school lunch program in each of the school districts that children living in the library's location attend.</w:t>
      </w:r>
      <w:r w:rsidR="00A41CDC">
        <w:t>”</w:t>
      </w:r>
      <w:r>
        <w:t xml:space="preserve"> </w:t>
      </w:r>
    </w:p>
    <w:p w:rsidR="00A41CDC" w:rsidRDefault="00A41CDC" w:rsidP="00BD787C"/>
    <w:p w:rsidR="009A0AF4" w:rsidRDefault="00E575B2" w:rsidP="00C21111">
      <w:pPr>
        <w:pStyle w:val="ParaNum"/>
        <w:numPr>
          <w:ilvl w:val="0"/>
          <w:numId w:val="22"/>
        </w:numPr>
        <w:tabs>
          <w:tab w:val="left" w:pos="720"/>
        </w:tabs>
        <w:spacing w:after="220"/>
        <w:ind w:left="0" w:firstLine="360"/>
      </w:pPr>
      <w:r>
        <w:t xml:space="preserve">In </w:t>
      </w:r>
      <w:r w:rsidR="004662A0">
        <w:t xml:space="preserve">paragraph (i) of </w:t>
      </w:r>
      <w:r w:rsidR="006601A3">
        <w:t>s</w:t>
      </w:r>
      <w:r w:rsidR="00EB077E">
        <w:t>ection 54.505(b)(3), replace “urbanized” with “urban.”</w:t>
      </w:r>
    </w:p>
    <w:p w:rsidR="00B07300" w:rsidRPr="00C21111" w:rsidRDefault="00B07300" w:rsidP="00BD787C">
      <w:pPr>
        <w:pStyle w:val="Heading1"/>
        <w:numPr>
          <w:ilvl w:val="0"/>
          <w:numId w:val="0"/>
        </w:numPr>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C21111">
        <w:rPr>
          <w:rFonts w:ascii="Times New Roman" w:hAnsi="Times New Roman"/>
          <w:b w:val="0"/>
          <w:caps w:val="0"/>
          <w:spacing w:val="-2"/>
        </w:rPr>
        <w:t>FEDERAL COMMUNICATIONS COMMISSION</w:t>
      </w:r>
    </w:p>
    <w:p w:rsidR="00B07300" w:rsidRPr="00C21111" w:rsidRDefault="00B07300" w:rsidP="00BD787C">
      <w:pPr>
        <w:pStyle w:val="Heading1"/>
        <w:numPr>
          <w:ilvl w:val="0"/>
          <w:numId w:val="0"/>
        </w:numPr>
        <w:rPr>
          <w:rFonts w:ascii="Times New Roman" w:hAnsi="Times New Roman"/>
          <w:b w:val="0"/>
          <w:caps w:val="0"/>
          <w:spacing w:val="-2"/>
        </w:rPr>
      </w:pPr>
    </w:p>
    <w:p w:rsidR="00BF7662" w:rsidRDefault="00BF7662" w:rsidP="00BD787C">
      <w:pPr>
        <w:pStyle w:val="Heading1"/>
        <w:numPr>
          <w:ilvl w:val="0"/>
          <w:numId w:val="0"/>
        </w:numPr>
        <w:spacing w:after="0"/>
        <w:rPr>
          <w:rFonts w:ascii="Times New Roman" w:hAnsi="Times New Roman"/>
          <w:b w:val="0"/>
          <w:caps w:val="0"/>
          <w:spacing w:val="-2"/>
        </w:rPr>
      </w:pPr>
    </w:p>
    <w:p w:rsidR="00BF7662" w:rsidRDefault="00BF7662" w:rsidP="00BD787C">
      <w:pPr>
        <w:pStyle w:val="Heading1"/>
        <w:numPr>
          <w:ilvl w:val="0"/>
          <w:numId w:val="0"/>
        </w:numPr>
        <w:spacing w:after="0"/>
        <w:rPr>
          <w:rFonts w:ascii="Times New Roman" w:hAnsi="Times New Roman"/>
          <w:b w:val="0"/>
          <w:caps w:val="0"/>
          <w:spacing w:val="-2"/>
        </w:rPr>
      </w:pPr>
    </w:p>
    <w:p w:rsidR="00B07300" w:rsidRPr="00C21111" w:rsidRDefault="00B07300" w:rsidP="00BD787C">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Julie A. Veach</w:t>
      </w:r>
      <w:r w:rsidRPr="00C21111">
        <w:rPr>
          <w:rFonts w:ascii="Times New Roman" w:hAnsi="Times New Roman"/>
          <w:b w:val="0"/>
          <w:caps w:val="0"/>
          <w:spacing w:val="-2"/>
        </w:rPr>
        <w:t xml:space="preserve"> </w:t>
      </w:r>
    </w:p>
    <w:p w:rsidR="00B07300" w:rsidRPr="00C21111" w:rsidRDefault="00B07300" w:rsidP="00BD787C">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Chief</w:t>
      </w:r>
    </w:p>
    <w:p w:rsidR="00B07300" w:rsidRPr="00C21111" w:rsidRDefault="00B07300" w:rsidP="00BD787C">
      <w:pPr>
        <w:pStyle w:val="Heading1"/>
        <w:numPr>
          <w:ilvl w:val="0"/>
          <w:numId w:val="0"/>
        </w:numPr>
        <w:spacing w:after="0"/>
        <w:rPr>
          <w:rFonts w:ascii="Times New Roman" w:hAnsi="Times New Roman"/>
          <w:i/>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Wireline Competition Bureau</w:t>
      </w:r>
    </w:p>
    <w:p w:rsidR="0060228B" w:rsidRDefault="0060228B" w:rsidP="006601A3"/>
    <w:p w:rsidR="002E484C" w:rsidRDefault="002E484C">
      <w:pPr>
        <w:pStyle w:val="Heading1"/>
        <w:numPr>
          <w:ilvl w:val="0"/>
          <w:numId w:val="0"/>
        </w:numPr>
      </w:pP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0F" w:rsidRDefault="00DD260F">
      <w:r>
        <w:separator/>
      </w:r>
    </w:p>
  </w:endnote>
  <w:endnote w:type="continuationSeparator" w:id="0">
    <w:p w:rsidR="00DD260F" w:rsidRDefault="00D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6C" w:rsidRDefault="00621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C" w:rsidRDefault="002D651C">
    <w:pPr>
      <w:pStyle w:val="Footer"/>
      <w:jc w:val="center"/>
    </w:pPr>
    <w:r>
      <w:rPr>
        <w:rStyle w:val="PageNumber"/>
      </w:rPr>
      <w:fldChar w:fldCharType="begin"/>
    </w:r>
    <w:r>
      <w:rPr>
        <w:rStyle w:val="PageNumber"/>
      </w:rPr>
      <w:instrText xml:space="preserve"> PAGE </w:instrText>
    </w:r>
    <w:r>
      <w:rPr>
        <w:rStyle w:val="PageNumber"/>
      </w:rPr>
      <w:fldChar w:fldCharType="separate"/>
    </w:r>
    <w:r w:rsidR="00A1391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6C" w:rsidRDefault="0062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0F" w:rsidRDefault="00DD260F">
      <w:pPr>
        <w:rPr>
          <w:sz w:val="20"/>
        </w:rPr>
      </w:pPr>
      <w:r>
        <w:rPr>
          <w:sz w:val="20"/>
        </w:rPr>
        <w:separator/>
      </w:r>
    </w:p>
  </w:footnote>
  <w:footnote w:type="continuationSeparator" w:id="0">
    <w:p w:rsidR="00DD260F" w:rsidRDefault="00DD260F">
      <w:pPr>
        <w:rPr>
          <w:sz w:val="20"/>
        </w:rPr>
      </w:pPr>
      <w:r>
        <w:rPr>
          <w:sz w:val="20"/>
        </w:rPr>
        <w:separator/>
      </w:r>
    </w:p>
    <w:p w:rsidR="00DD260F" w:rsidRDefault="00DD260F">
      <w:pPr>
        <w:rPr>
          <w:sz w:val="20"/>
        </w:rPr>
      </w:pPr>
      <w:r>
        <w:rPr>
          <w:sz w:val="20"/>
        </w:rPr>
        <w:t>(...continued from previous page)</w:t>
      </w:r>
    </w:p>
  </w:footnote>
  <w:footnote w:type="continuationNotice" w:id="1">
    <w:p w:rsidR="00DD260F" w:rsidRDefault="00DD260F">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6C" w:rsidRDefault="00621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C" w:rsidRPr="00A85837" w:rsidRDefault="002D651C" w:rsidP="00A85837">
    <w:pPr>
      <w:pStyle w:val="Header"/>
    </w:pPr>
    <w:r w:rsidRPr="00A85837">
      <w:tab/>
      <w:t>Federal Communications Commission</w:t>
    </w:r>
    <w:r w:rsidRPr="00A85837">
      <w:tab/>
    </w:r>
    <w:r w:rsidR="003332C2" w:rsidRPr="00A85837">
      <w:t xml:space="preserve"> DA </w:t>
    </w:r>
    <w:r w:rsidRPr="00A85837">
      <w:t>14-</w:t>
    </w:r>
    <w:r w:rsidR="00BF7662">
      <w:t>1472</w:t>
    </w:r>
    <w:r w:rsidRPr="00A85837">
      <w:t xml:space="preserve"> </w:t>
    </w:r>
  </w:p>
  <w:p w:rsidR="002D651C" w:rsidRDefault="004D2EB9" w:rsidP="00A85837">
    <w:pPr>
      <w:pStyle w:val="Header"/>
    </w:pPr>
    <w:r>
      <w:rPr>
        <w:b w:val="0"/>
        <w:noProof/>
      </w:rPr>
      <mc:AlternateContent>
        <mc:Choice Requires="wps">
          <w:drawing>
            <wp:anchor distT="0" distB="0" distL="114300" distR="114300" simplePos="0" relativeHeight="251658240" behindDoc="0" locked="0" layoutInCell="0" allowOverlap="1" wp14:anchorId="26B7972E" wp14:editId="6C2F801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1C" w:rsidRDefault="002D651C" w:rsidP="00A85837">
    <w:pPr>
      <w:pStyle w:val="Header"/>
    </w:pPr>
    <w:r>
      <w:tab/>
      <w:t>Federal Communications Commission</w:t>
    </w:r>
    <w:r>
      <w:tab/>
    </w:r>
    <w:r w:rsidR="003332C2">
      <w:t>DA 14-</w:t>
    </w:r>
    <w:r w:rsidR="00BF7662">
      <w:t>1472</w:t>
    </w:r>
    <w:r>
      <w:t xml:space="preserve"> </w:t>
    </w:r>
  </w:p>
  <w:p w:rsidR="002D651C" w:rsidRDefault="004D2EB9" w:rsidP="00BD787C">
    <w:pPr>
      <w:pStyle w:val="Header"/>
    </w:pPr>
    <w:r>
      <w:rPr>
        <w:noProof/>
      </w:rPr>
      <mc:AlternateContent>
        <mc:Choice Requires="wps">
          <w:drawing>
            <wp:anchor distT="0" distB="0" distL="114300" distR="114300" simplePos="0" relativeHeight="251657216" behindDoc="0" locked="0" layoutInCell="0" allowOverlap="1" wp14:anchorId="19ED450E" wp14:editId="3E7EF53D">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DC7A31"/>
    <w:multiLevelType w:val="hybridMultilevel"/>
    <w:tmpl w:val="E61ED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273784"/>
    <w:multiLevelType w:val="hybridMultilevel"/>
    <w:tmpl w:val="8012C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E9245A"/>
    <w:multiLevelType w:val="hybridMultilevel"/>
    <w:tmpl w:val="92A89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95699E"/>
    <w:multiLevelType w:val="hybridMultilevel"/>
    <w:tmpl w:val="33744054"/>
    <w:lvl w:ilvl="0" w:tplc="BB46176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05CC4"/>
    <w:multiLevelType w:val="hybridMultilevel"/>
    <w:tmpl w:val="34B0C7E6"/>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1332F92"/>
    <w:multiLevelType w:val="hybridMultilevel"/>
    <w:tmpl w:val="82F449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1"/>
  </w:num>
  <w:num w:numId="2">
    <w:abstractNumId w:val="32"/>
  </w:num>
  <w:num w:numId="3">
    <w:abstractNumId w:val="4"/>
  </w:num>
  <w:num w:numId="4">
    <w:abstractNumId w:val="22"/>
  </w:num>
  <w:num w:numId="5">
    <w:abstractNumId w:val="9"/>
  </w:num>
  <w:num w:numId="6">
    <w:abstractNumId w:val="28"/>
  </w:num>
  <w:num w:numId="7">
    <w:abstractNumId w:val="18"/>
  </w:num>
  <w:num w:numId="8">
    <w:abstractNumId w:val="10"/>
  </w:num>
  <w:num w:numId="9">
    <w:abstractNumId w:val="26"/>
  </w:num>
  <w:num w:numId="10">
    <w:abstractNumId w:val="16"/>
  </w:num>
  <w:num w:numId="11">
    <w:abstractNumId w:val="14"/>
  </w:num>
  <w:num w:numId="12">
    <w:abstractNumId w:val="11"/>
  </w:num>
  <w:num w:numId="13">
    <w:abstractNumId w:val="17"/>
  </w:num>
  <w:num w:numId="14">
    <w:abstractNumId w:val="24"/>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7"/>
    <w:lvlOverride w:ilvl="0">
      <w:startOverride w:val="1"/>
    </w:lvlOverride>
  </w:num>
  <w:num w:numId="26">
    <w:abstractNumId w:val="15"/>
  </w:num>
  <w:num w:numId="27">
    <w:abstractNumId w:val="5"/>
  </w:num>
  <w:num w:numId="28">
    <w:abstractNumId w:val="8"/>
  </w:num>
  <w:num w:numId="29">
    <w:abstractNumId w:val="20"/>
  </w:num>
  <w:num w:numId="30">
    <w:abstractNumId w:val="6"/>
  </w:num>
  <w:num w:numId="31">
    <w:abstractNumId w:val="0"/>
  </w:num>
  <w:num w:numId="32">
    <w:abstractNumId w:val="15"/>
  </w:num>
  <w:num w:numId="33">
    <w:abstractNumId w:val="23"/>
  </w:num>
  <w:num w:numId="34">
    <w:abstractNumId w:val="30"/>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0225D"/>
    <w:rsid w:val="0002733C"/>
    <w:rsid w:val="0004313F"/>
    <w:rsid w:val="00045FD5"/>
    <w:rsid w:val="00046A49"/>
    <w:rsid w:val="00053D4A"/>
    <w:rsid w:val="00085263"/>
    <w:rsid w:val="0009643E"/>
    <w:rsid w:val="00110091"/>
    <w:rsid w:val="00125625"/>
    <w:rsid w:val="001275C7"/>
    <w:rsid w:val="00133D11"/>
    <w:rsid w:val="0014128D"/>
    <w:rsid w:val="00145C79"/>
    <w:rsid w:val="00175017"/>
    <w:rsid w:val="00194A16"/>
    <w:rsid w:val="001B3A03"/>
    <w:rsid w:val="001C3417"/>
    <w:rsid w:val="001D09F8"/>
    <w:rsid w:val="00211504"/>
    <w:rsid w:val="00221D1C"/>
    <w:rsid w:val="0023332C"/>
    <w:rsid w:val="00265325"/>
    <w:rsid w:val="00274A3E"/>
    <w:rsid w:val="00275098"/>
    <w:rsid w:val="00287404"/>
    <w:rsid w:val="0029186E"/>
    <w:rsid w:val="00296EF4"/>
    <w:rsid w:val="002A4E36"/>
    <w:rsid w:val="002B40ED"/>
    <w:rsid w:val="002B5A74"/>
    <w:rsid w:val="002B5BE9"/>
    <w:rsid w:val="002C4213"/>
    <w:rsid w:val="002D0606"/>
    <w:rsid w:val="002D067C"/>
    <w:rsid w:val="002D651C"/>
    <w:rsid w:val="002D7C51"/>
    <w:rsid w:val="002E484C"/>
    <w:rsid w:val="002E4F11"/>
    <w:rsid w:val="002F2B31"/>
    <w:rsid w:val="003332C2"/>
    <w:rsid w:val="00333FD9"/>
    <w:rsid w:val="003519BE"/>
    <w:rsid w:val="00360118"/>
    <w:rsid w:val="00367533"/>
    <w:rsid w:val="0037164B"/>
    <w:rsid w:val="003737A0"/>
    <w:rsid w:val="00385A93"/>
    <w:rsid w:val="003965A9"/>
    <w:rsid w:val="003A6E8C"/>
    <w:rsid w:val="003F1F2B"/>
    <w:rsid w:val="003F4DEB"/>
    <w:rsid w:val="003F7D21"/>
    <w:rsid w:val="00412BE5"/>
    <w:rsid w:val="0041328F"/>
    <w:rsid w:val="0042660E"/>
    <w:rsid w:val="00456E40"/>
    <w:rsid w:val="004662A0"/>
    <w:rsid w:val="0047764B"/>
    <w:rsid w:val="00494395"/>
    <w:rsid w:val="004B64DE"/>
    <w:rsid w:val="004D2EB9"/>
    <w:rsid w:val="00511C10"/>
    <w:rsid w:val="0051510E"/>
    <w:rsid w:val="00526053"/>
    <w:rsid w:val="00555CE3"/>
    <w:rsid w:val="00593275"/>
    <w:rsid w:val="005A6A1B"/>
    <w:rsid w:val="005C1DD5"/>
    <w:rsid w:val="005E2E04"/>
    <w:rsid w:val="005E7753"/>
    <w:rsid w:val="005F570F"/>
    <w:rsid w:val="005F7798"/>
    <w:rsid w:val="0060228B"/>
    <w:rsid w:val="006173D2"/>
    <w:rsid w:val="0062116C"/>
    <w:rsid w:val="00634931"/>
    <w:rsid w:val="0064297C"/>
    <w:rsid w:val="006436B4"/>
    <w:rsid w:val="006601A3"/>
    <w:rsid w:val="006828F7"/>
    <w:rsid w:val="00685AD2"/>
    <w:rsid w:val="006A1799"/>
    <w:rsid w:val="006A656C"/>
    <w:rsid w:val="006C0444"/>
    <w:rsid w:val="006D7714"/>
    <w:rsid w:val="006E6840"/>
    <w:rsid w:val="006F2455"/>
    <w:rsid w:val="0071745D"/>
    <w:rsid w:val="00736734"/>
    <w:rsid w:val="00771C94"/>
    <w:rsid w:val="00774259"/>
    <w:rsid w:val="00774F69"/>
    <w:rsid w:val="00783FC6"/>
    <w:rsid w:val="007908B2"/>
    <w:rsid w:val="007A08A0"/>
    <w:rsid w:val="007C393C"/>
    <w:rsid w:val="007C44D5"/>
    <w:rsid w:val="007E15C2"/>
    <w:rsid w:val="00802C83"/>
    <w:rsid w:val="00806BDD"/>
    <w:rsid w:val="0080757F"/>
    <w:rsid w:val="00815F1D"/>
    <w:rsid w:val="00833393"/>
    <w:rsid w:val="00891ADC"/>
    <w:rsid w:val="008B1CF6"/>
    <w:rsid w:val="008C7137"/>
    <w:rsid w:val="008E21AF"/>
    <w:rsid w:val="009003C4"/>
    <w:rsid w:val="00913036"/>
    <w:rsid w:val="00914EE8"/>
    <w:rsid w:val="00955997"/>
    <w:rsid w:val="009650FE"/>
    <w:rsid w:val="009963BA"/>
    <w:rsid w:val="009A0AF4"/>
    <w:rsid w:val="009B226B"/>
    <w:rsid w:val="009C6115"/>
    <w:rsid w:val="009D4125"/>
    <w:rsid w:val="009E1285"/>
    <w:rsid w:val="00A07388"/>
    <w:rsid w:val="00A073E2"/>
    <w:rsid w:val="00A1289E"/>
    <w:rsid w:val="00A1391C"/>
    <w:rsid w:val="00A41CDC"/>
    <w:rsid w:val="00A448F1"/>
    <w:rsid w:val="00A54042"/>
    <w:rsid w:val="00A5420B"/>
    <w:rsid w:val="00A62D27"/>
    <w:rsid w:val="00A63F0B"/>
    <w:rsid w:val="00A72332"/>
    <w:rsid w:val="00A85837"/>
    <w:rsid w:val="00A869DB"/>
    <w:rsid w:val="00A86FBD"/>
    <w:rsid w:val="00A90ED2"/>
    <w:rsid w:val="00A96521"/>
    <w:rsid w:val="00AA4715"/>
    <w:rsid w:val="00AB5FED"/>
    <w:rsid w:val="00AC2DA2"/>
    <w:rsid w:val="00AC3D0D"/>
    <w:rsid w:val="00AC7248"/>
    <w:rsid w:val="00AE24EC"/>
    <w:rsid w:val="00AF1764"/>
    <w:rsid w:val="00B07300"/>
    <w:rsid w:val="00B20277"/>
    <w:rsid w:val="00B5743D"/>
    <w:rsid w:val="00BB027B"/>
    <w:rsid w:val="00BB7FC5"/>
    <w:rsid w:val="00BD1E69"/>
    <w:rsid w:val="00BD787C"/>
    <w:rsid w:val="00BE69D8"/>
    <w:rsid w:val="00BF7662"/>
    <w:rsid w:val="00C06D4B"/>
    <w:rsid w:val="00C21111"/>
    <w:rsid w:val="00C27211"/>
    <w:rsid w:val="00C304B6"/>
    <w:rsid w:val="00C73E79"/>
    <w:rsid w:val="00C75F77"/>
    <w:rsid w:val="00C7671A"/>
    <w:rsid w:val="00C80CD1"/>
    <w:rsid w:val="00C84137"/>
    <w:rsid w:val="00CA5ACC"/>
    <w:rsid w:val="00CF386D"/>
    <w:rsid w:val="00D21E27"/>
    <w:rsid w:val="00D3194F"/>
    <w:rsid w:val="00D41A92"/>
    <w:rsid w:val="00D50E81"/>
    <w:rsid w:val="00D70274"/>
    <w:rsid w:val="00D71AD2"/>
    <w:rsid w:val="00DD260F"/>
    <w:rsid w:val="00DD6882"/>
    <w:rsid w:val="00E00E22"/>
    <w:rsid w:val="00E030C1"/>
    <w:rsid w:val="00E2648A"/>
    <w:rsid w:val="00E443B7"/>
    <w:rsid w:val="00E443EA"/>
    <w:rsid w:val="00E53809"/>
    <w:rsid w:val="00E575B2"/>
    <w:rsid w:val="00E971AD"/>
    <w:rsid w:val="00EB077E"/>
    <w:rsid w:val="00EB09AD"/>
    <w:rsid w:val="00EB1A95"/>
    <w:rsid w:val="00ED2EA8"/>
    <w:rsid w:val="00ED5901"/>
    <w:rsid w:val="00ED76DF"/>
    <w:rsid w:val="00EE5531"/>
    <w:rsid w:val="00F078E0"/>
    <w:rsid w:val="00F22FAC"/>
    <w:rsid w:val="00F25AEA"/>
    <w:rsid w:val="00F77272"/>
    <w:rsid w:val="00F9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91C"/>
    <w:pPr>
      <w:widowControl w:val="0"/>
    </w:pPr>
    <w:rPr>
      <w:snapToGrid w:val="0"/>
      <w:kern w:val="28"/>
      <w:sz w:val="22"/>
    </w:rPr>
  </w:style>
  <w:style w:type="paragraph" w:styleId="Heading1">
    <w:name w:val="heading 1"/>
    <w:basedOn w:val="Normal"/>
    <w:next w:val="ParaNum"/>
    <w:qFormat/>
    <w:rsid w:val="00A1391C"/>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391C"/>
    <w:pPr>
      <w:keepNext/>
      <w:numPr>
        <w:ilvl w:val="1"/>
        <w:numId w:val="28"/>
      </w:numPr>
      <w:spacing w:after="120"/>
      <w:outlineLvl w:val="1"/>
    </w:pPr>
    <w:rPr>
      <w:b/>
    </w:rPr>
  </w:style>
  <w:style w:type="paragraph" w:styleId="Heading3">
    <w:name w:val="heading 3"/>
    <w:basedOn w:val="Normal"/>
    <w:next w:val="ParaNum"/>
    <w:qFormat/>
    <w:rsid w:val="00A1391C"/>
    <w:pPr>
      <w:keepNext/>
      <w:numPr>
        <w:ilvl w:val="2"/>
        <w:numId w:val="28"/>
      </w:numPr>
      <w:tabs>
        <w:tab w:val="left" w:pos="2160"/>
      </w:tabs>
      <w:spacing w:after="120"/>
      <w:outlineLvl w:val="2"/>
    </w:pPr>
    <w:rPr>
      <w:b/>
    </w:rPr>
  </w:style>
  <w:style w:type="paragraph" w:styleId="Heading4">
    <w:name w:val="heading 4"/>
    <w:basedOn w:val="Normal"/>
    <w:next w:val="ParaNum"/>
    <w:qFormat/>
    <w:rsid w:val="00A1391C"/>
    <w:pPr>
      <w:keepNext/>
      <w:numPr>
        <w:ilvl w:val="3"/>
        <w:numId w:val="28"/>
      </w:numPr>
      <w:tabs>
        <w:tab w:val="left" w:pos="2880"/>
      </w:tabs>
      <w:spacing w:after="120"/>
      <w:outlineLvl w:val="3"/>
    </w:pPr>
    <w:rPr>
      <w:b/>
    </w:rPr>
  </w:style>
  <w:style w:type="paragraph" w:styleId="Heading5">
    <w:name w:val="heading 5"/>
    <w:basedOn w:val="Normal"/>
    <w:next w:val="ParaNum"/>
    <w:qFormat/>
    <w:rsid w:val="00A1391C"/>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A1391C"/>
    <w:pPr>
      <w:numPr>
        <w:ilvl w:val="5"/>
        <w:numId w:val="28"/>
      </w:numPr>
      <w:tabs>
        <w:tab w:val="left" w:pos="4320"/>
      </w:tabs>
      <w:spacing w:after="120"/>
      <w:outlineLvl w:val="5"/>
    </w:pPr>
    <w:rPr>
      <w:b/>
    </w:rPr>
  </w:style>
  <w:style w:type="paragraph" w:styleId="Heading7">
    <w:name w:val="heading 7"/>
    <w:basedOn w:val="Normal"/>
    <w:next w:val="ParaNum"/>
    <w:qFormat/>
    <w:rsid w:val="00A1391C"/>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A1391C"/>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A1391C"/>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3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91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A1391C"/>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A1391C"/>
    <w:pPr>
      <w:spacing w:after="120"/>
    </w:pPr>
  </w:style>
  <w:style w:type="paragraph" w:customStyle="1" w:styleId="Bullet">
    <w:name w:val="Bullet"/>
    <w:basedOn w:val="Normal"/>
    <w:rsid w:val="00A1391C"/>
    <w:pPr>
      <w:tabs>
        <w:tab w:val="left" w:pos="2160"/>
      </w:tabs>
      <w:spacing w:after="220"/>
      <w:ind w:left="2160" w:hanging="720"/>
    </w:pPr>
  </w:style>
  <w:style w:type="paragraph" w:styleId="BlockText">
    <w:name w:val="Block Text"/>
    <w:basedOn w:val="Normal"/>
    <w:rsid w:val="00A1391C"/>
    <w:pPr>
      <w:spacing w:after="240"/>
      <w:ind w:left="1440" w:right="1440"/>
    </w:pPr>
  </w:style>
  <w:style w:type="paragraph" w:customStyle="1" w:styleId="TableFormat">
    <w:name w:val="TableFormat"/>
    <w:basedOn w:val="Bullet"/>
    <w:rsid w:val="00A1391C"/>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A1391C"/>
    <w:rPr>
      <w:rFonts w:ascii="Times New Roman" w:hAnsi="Times New Roman"/>
      <w:dstrike w:val="0"/>
      <w:color w:val="auto"/>
      <w:sz w:val="20"/>
      <w:vertAlign w:val="superscript"/>
    </w:rPr>
  </w:style>
  <w:style w:type="paragraph" w:styleId="Header">
    <w:name w:val="header"/>
    <w:basedOn w:val="Normal"/>
    <w:autoRedefine/>
    <w:rsid w:val="00A1391C"/>
    <w:pPr>
      <w:tabs>
        <w:tab w:val="center" w:pos="4680"/>
        <w:tab w:val="right" w:pos="9360"/>
      </w:tabs>
    </w:pPr>
    <w:rPr>
      <w:b/>
    </w:rPr>
  </w:style>
  <w:style w:type="paragraph" w:styleId="Footer">
    <w:name w:val="footer"/>
    <w:basedOn w:val="Normal"/>
    <w:rsid w:val="00A1391C"/>
    <w:pPr>
      <w:tabs>
        <w:tab w:val="center" w:pos="4320"/>
        <w:tab w:val="right" w:pos="8640"/>
      </w:tabs>
    </w:pPr>
  </w:style>
  <w:style w:type="paragraph" w:styleId="TOC2">
    <w:name w:val="toc 2"/>
    <w:basedOn w:val="Normal"/>
    <w:next w:val="Normal"/>
    <w:semiHidden/>
    <w:rsid w:val="00A1391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139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13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3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3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3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3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3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391C"/>
    <w:pPr>
      <w:tabs>
        <w:tab w:val="left" w:pos="3240"/>
        <w:tab w:val="right" w:leader="dot" w:pos="9360"/>
      </w:tabs>
      <w:suppressAutoHyphens/>
      <w:ind w:left="3240" w:hanging="360"/>
    </w:pPr>
    <w:rPr>
      <w:noProof/>
    </w:rPr>
  </w:style>
  <w:style w:type="character" w:styleId="PageNumber">
    <w:name w:val="page number"/>
    <w:basedOn w:val="DefaultParagraphFont"/>
    <w:rsid w:val="00A1391C"/>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A1391C"/>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A1391C"/>
    <w:rPr>
      <w:vertAlign w:val="superscript"/>
    </w:rPr>
  </w:style>
  <w:style w:type="paragraph" w:styleId="TOAHeading">
    <w:name w:val="toa heading"/>
    <w:basedOn w:val="Normal"/>
    <w:next w:val="Normal"/>
    <w:rsid w:val="00A1391C"/>
    <w:pPr>
      <w:tabs>
        <w:tab w:val="right" w:pos="9360"/>
      </w:tabs>
      <w:suppressAutoHyphens/>
    </w:pPr>
  </w:style>
  <w:style w:type="character" w:customStyle="1" w:styleId="EquationCaption">
    <w:name w:val="_Equation Caption"/>
    <w:rsid w:val="00A1391C"/>
  </w:style>
  <w:style w:type="paragraph" w:customStyle="1" w:styleId="Paratitle">
    <w:name w:val="Para title"/>
    <w:basedOn w:val="Normal"/>
    <w:rsid w:val="00A1391C"/>
    <w:pPr>
      <w:tabs>
        <w:tab w:val="center" w:pos="9270"/>
      </w:tabs>
      <w:spacing w:after="240"/>
    </w:pPr>
    <w:rPr>
      <w:spacing w:val="-2"/>
    </w:rPr>
  </w:style>
  <w:style w:type="paragraph" w:customStyle="1" w:styleId="TOCTitle">
    <w:name w:val="TOC Title"/>
    <w:basedOn w:val="Normal"/>
    <w:rsid w:val="00A13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391C"/>
    <w:pPr>
      <w:jc w:val="center"/>
    </w:pPr>
    <w:rPr>
      <w:rFonts w:ascii="Times New Roman Bold" w:hAnsi="Times New Roman Bold"/>
      <w:b/>
      <w:bCs/>
      <w:caps/>
      <w:szCs w:val="22"/>
    </w:rPr>
  </w:style>
  <w:style w:type="character" w:styleId="Hyperlink">
    <w:name w:val="Hyperlink"/>
    <w:rsid w:val="00A13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91C"/>
    <w:pPr>
      <w:widowControl w:val="0"/>
    </w:pPr>
    <w:rPr>
      <w:snapToGrid w:val="0"/>
      <w:kern w:val="28"/>
      <w:sz w:val="22"/>
    </w:rPr>
  </w:style>
  <w:style w:type="paragraph" w:styleId="Heading1">
    <w:name w:val="heading 1"/>
    <w:basedOn w:val="Normal"/>
    <w:next w:val="ParaNum"/>
    <w:qFormat/>
    <w:rsid w:val="00A1391C"/>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391C"/>
    <w:pPr>
      <w:keepNext/>
      <w:numPr>
        <w:ilvl w:val="1"/>
        <w:numId w:val="28"/>
      </w:numPr>
      <w:spacing w:after="120"/>
      <w:outlineLvl w:val="1"/>
    </w:pPr>
    <w:rPr>
      <w:b/>
    </w:rPr>
  </w:style>
  <w:style w:type="paragraph" w:styleId="Heading3">
    <w:name w:val="heading 3"/>
    <w:basedOn w:val="Normal"/>
    <w:next w:val="ParaNum"/>
    <w:qFormat/>
    <w:rsid w:val="00A1391C"/>
    <w:pPr>
      <w:keepNext/>
      <w:numPr>
        <w:ilvl w:val="2"/>
        <w:numId w:val="28"/>
      </w:numPr>
      <w:tabs>
        <w:tab w:val="left" w:pos="2160"/>
      </w:tabs>
      <w:spacing w:after="120"/>
      <w:outlineLvl w:val="2"/>
    </w:pPr>
    <w:rPr>
      <w:b/>
    </w:rPr>
  </w:style>
  <w:style w:type="paragraph" w:styleId="Heading4">
    <w:name w:val="heading 4"/>
    <w:basedOn w:val="Normal"/>
    <w:next w:val="ParaNum"/>
    <w:qFormat/>
    <w:rsid w:val="00A1391C"/>
    <w:pPr>
      <w:keepNext/>
      <w:numPr>
        <w:ilvl w:val="3"/>
        <w:numId w:val="28"/>
      </w:numPr>
      <w:tabs>
        <w:tab w:val="left" w:pos="2880"/>
      </w:tabs>
      <w:spacing w:after="120"/>
      <w:outlineLvl w:val="3"/>
    </w:pPr>
    <w:rPr>
      <w:b/>
    </w:rPr>
  </w:style>
  <w:style w:type="paragraph" w:styleId="Heading5">
    <w:name w:val="heading 5"/>
    <w:basedOn w:val="Normal"/>
    <w:next w:val="ParaNum"/>
    <w:qFormat/>
    <w:rsid w:val="00A1391C"/>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A1391C"/>
    <w:pPr>
      <w:numPr>
        <w:ilvl w:val="5"/>
        <w:numId w:val="28"/>
      </w:numPr>
      <w:tabs>
        <w:tab w:val="left" w:pos="4320"/>
      </w:tabs>
      <w:spacing w:after="120"/>
      <w:outlineLvl w:val="5"/>
    </w:pPr>
    <w:rPr>
      <w:b/>
    </w:rPr>
  </w:style>
  <w:style w:type="paragraph" w:styleId="Heading7">
    <w:name w:val="heading 7"/>
    <w:basedOn w:val="Normal"/>
    <w:next w:val="ParaNum"/>
    <w:qFormat/>
    <w:rsid w:val="00A1391C"/>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A1391C"/>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A1391C"/>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3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91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A1391C"/>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A1391C"/>
    <w:pPr>
      <w:spacing w:after="120"/>
    </w:pPr>
  </w:style>
  <w:style w:type="paragraph" w:customStyle="1" w:styleId="Bullet">
    <w:name w:val="Bullet"/>
    <w:basedOn w:val="Normal"/>
    <w:rsid w:val="00A1391C"/>
    <w:pPr>
      <w:tabs>
        <w:tab w:val="left" w:pos="2160"/>
      </w:tabs>
      <w:spacing w:after="220"/>
      <w:ind w:left="2160" w:hanging="720"/>
    </w:pPr>
  </w:style>
  <w:style w:type="paragraph" w:styleId="BlockText">
    <w:name w:val="Block Text"/>
    <w:basedOn w:val="Normal"/>
    <w:rsid w:val="00A1391C"/>
    <w:pPr>
      <w:spacing w:after="240"/>
      <w:ind w:left="1440" w:right="1440"/>
    </w:pPr>
  </w:style>
  <w:style w:type="paragraph" w:customStyle="1" w:styleId="TableFormat">
    <w:name w:val="TableFormat"/>
    <w:basedOn w:val="Bullet"/>
    <w:rsid w:val="00A1391C"/>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A1391C"/>
    <w:rPr>
      <w:rFonts w:ascii="Times New Roman" w:hAnsi="Times New Roman"/>
      <w:dstrike w:val="0"/>
      <w:color w:val="auto"/>
      <w:sz w:val="20"/>
      <w:vertAlign w:val="superscript"/>
    </w:rPr>
  </w:style>
  <w:style w:type="paragraph" w:styleId="Header">
    <w:name w:val="header"/>
    <w:basedOn w:val="Normal"/>
    <w:autoRedefine/>
    <w:rsid w:val="00A1391C"/>
    <w:pPr>
      <w:tabs>
        <w:tab w:val="center" w:pos="4680"/>
        <w:tab w:val="right" w:pos="9360"/>
      </w:tabs>
    </w:pPr>
    <w:rPr>
      <w:b/>
    </w:rPr>
  </w:style>
  <w:style w:type="paragraph" w:styleId="Footer">
    <w:name w:val="footer"/>
    <w:basedOn w:val="Normal"/>
    <w:rsid w:val="00A1391C"/>
    <w:pPr>
      <w:tabs>
        <w:tab w:val="center" w:pos="4320"/>
        <w:tab w:val="right" w:pos="8640"/>
      </w:tabs>
    </w:pPr>
  </w:style>
  <w:style w:type="paragraph" w:styleId="TOC2">
    <w:name w:val="toc 2"/>
    <w:basedOn w:val="Normal"/>
    <w:next w:val="Normal"/>
    <w:semiHidden/>
    <w:rsid w:val="00A1391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139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13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3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3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3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3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3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391C"/>
    <w:pPr>
      <w:tabs>
        <w:tab w:val="left" w:pos="3240"/>
        <w:tab w:val="right" w:leader="dot" w:pos="9360"/>
      </w:tabs>
      <w:suppressAutoHyphens/>
      <w:ind w:left="3240" w:hanging="360"/>
    </w:pPr>
    <w:rPr>
      <w:noProof/>
    </w:rPr>
  </w:style>
  <w:style w:type="character" w:styleId="PageNumber">
    <w:name w:val="page number"/>
    <w:basedOn w:val="DefaultParagraphFont"/>
    <w:rsid w:val="00A1391C"/>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A1391C"/>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A1391C"/>
    <w:rPr>
      <w:vertAlign w:val="superscript"/>
    </w:rPr>
  </w:style>
  <w:style w:type="paragraph" w:styleId="TOAHeading">
    <w:name w:val="toa heading"/>
    <w:basedOn w:val="Normal"/>
    <w:next w:val="Normal"/>
    <w:rsid w:val="00A1391C"/>
    <w:pPr>
      <w:tabs>
        <w:tab w:val="right" w:pos="9360"/>
      </w:tabs>
      <w:suppressAutoHyphens/>
    </w:pPr>
  </w:style>
  <w:style w:type="character" w:customStyle="1" w:styleId="EquationCaption">
    <w:name w:val="_Equation Caption"/>
    <w:rsid w:val="00A1391C"/>
  </w:style>
  <w:style w:type="paragraph" w:customStyle="1" w:styleId="Paratitle">
    <w:name w:val="Para title"/>
    <w:basedOn w:val="Normal"/>
    <w:rsid w:val="00A1391C"/>
    <w:pPr>
      <w:tabs>
        <w:tab w:val="center" w:pos="9270"/>
      </w:tabs>
      <w:spacing w:after="240"/>
    </w:pPr>
    <w:rPr>
      <w:spacing w:val="-2"/>
    </w:rPr>
  </w:style>
  <w:style w:type="paragraph" w:customStyle="1" w:styleId="TOCTitle">
    <w:name w:val="TOC Title"/>
    <w:basedOn w:val="Normal"/>
    <w:rsid w:val="00A13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391C"/>
    <w:pPr>
      <w:jc w:val="center"/>
    </w:pPr>
    <w:rPr>
      <w:rFonts w:ascii="Times New Roman Bold" w:hAnsi="Times New Roman Bold"/>
      <w:b/>
      <w:bCs/>
      <w:caps/>
      <w:szCs w:val="22"/>
    </w:rPr>
  </w:style>
  <w:style w:type="character" w:styleId="Hyperlink">
    <w:name w:val="Hyperlink"/>
    <w:rsid w:val="00A13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725">
      <w:bodyDiv w:val="1"/>
      <w:marLeft w:val="0"/>
      <w:marRight w:val="0"/>
      <w:marTop w:val="0"/>
      <w:marBottom w:val="0"/>
      <w:divBdr>
        <w:top w:val="none" w:sz="0" w:space="0" w:color="auto"/>
        <w:left w:val="none" w:sz="0" w:space="0" w:color="auto"/>
        <w:bottom w:val="none" w:sz="0" w:space="0" w:color="auto"/>
        <w:right w:val="none" w:sz="0" w:space="0" w:color="auto"/>
      </w:divBdr>
    </w:div>
    <w:div w:id="661158950">
      <w:bodyDiv w:val="1"/>
      <w:marLeft w:val="0"/>
      <w:marRight w:val="0"/>
      <w:marTop w:val="0"/>
      <w:marBottom w:val="0"/>
      <w:divBdr>
        <w:top w:val="none" w:sz="0" w:space="0" w:color="auto"/>
        <w:left w:val="none" w:sz="0" w:space="0" w:color="auto"/>
        <w:bottom w:val="none" w:sz="0" w:space="0" w:color="auto"/>
        <w:right w:val="none" w:sz="0" w:space="0" w:color="auto"/>
      </w:divBdr>
    </w:div>
    <w:div w:id="899749281">
      <w:bodyDiv w:val="1"/>
      <w:marLeft w:val="0"/>
      <w:marRight w:val="0"/>
      <w:marTop w:val="0"/>
      <w:marBottom w:val="0"/>
      <w:divBdr>
        <w:top w:val="none" w:sz="0" w:space="0" w:color="auto"/>
        <w:left w:val="none" w:sz="0" w:space="0" w:color="auto"/>
        <w:bottom w:val="none" w:sz="0" w:space="0" w:color="auto"/>
        <w:right w:val="none" w:sz="0" w:space="0" w:color="auto"/>
      </w:divBdr>
    </w:div>
    <w:div w:id="1306667597">
      <w:bodyDiv w:val="1"/>
      <w:marLeft w:val="0"/>
      <w:marRight w:val="0"/>
      <w:marTop w:val="0"/>
      <w:marBottom w:val="0"/>
      <w:divBdr>
        <w:top w:val="none" w:sz="0" w:space="0" w:color="auto"/>
        <w:left w:val="none" w:sz="0" w:space="0" w:color="auto"/>
        <w:bottom w:val="none" w:sz="0" w:space="0" w:color="auto"/>
        <w:right w:val="none" w:sz="0" w:space="0" w:color="auto"/>
      </w:divBdr>
    </w:div>
    <w:div w:id="1431003180">
      <w:bodyDiv w:val="1"/>
      <w:marLeft w:val="0"/>
      <w:marRight w:val="0"/>
      <w:marTop w:val="0"/>
      <w:marBottom w:val="0"/>
      <w:divBdr>
        <w:top w:val="none" w:sz="0" w:space="0" w:color="auto"/>
        <w:left w:val="none" w:sz="0" w:space="0" w:color="auto"/>
        <w:bottom w:val="none" w:sz="0" w:space="0" w:color="auto"/>
        <w:right w:val="none" w:sz="0" w:space="0" w:color="auto"/>
      </w:divBdr>
    </w:div>
    <w:div w:id="15821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1998</Words>
  <Characters>10733</Characters>
  <Application>Microsoft Office Word</Application>
  <DocSecurity>0</DocSecurity>
  <Lines>186</Lines>
  <Paragraphs>82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2014-10-07T20:10:00Z</cp:lastPrinted>
  <dcterms:created xsi:type="dcterms:W3CDTF">2014-10-17T13:50:00Z</dcterms:created>
  <dcterms:modified xsi:type="dcterms:W3CDTF">2014-10-17T13:50:00Z</dcterms:modified>
  <cp:category> </cp:category>
  <cp:contentStatus> </cp:contentStatus>
</cp:coreProperties>
</file>