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A06C" w14:textId="77777777" w:rsidR="005C7433" w:rsidRDefault="005C7433" w:rsidP="00B952D2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STATEMENT OF</w:t>
      </w:r>
      <w:r>
        <w:rPr>
          <w:rFonts w:cs="Times New Roman"/>
          <w:b/>
        </w:rPr>
        <w:br/>
        <w:t>COMMISSIONER AJIT PAI</w:t>
      </w:r>
    </w:p>
    <w:p w14:paraId="4EAE545B" w14:textId="77777777" w:rsidR="00B952D2" w:rsidRDefault="00B952D2" w:rsidP="00B952D2">
      <w:pPr>
        <w:spacing w:after="0"/>
        <w:jc w:val="center"/>
        <w:rPr>
          <w:rFonts w:cs="Times New Roman"/>
          <w:b/>
        </w:rPr>
      </w:pPr>
    </w:p>
    <w:p w14:paraId="2EAC969C" w14:textId="77777777" w:rsidR="00C866EA" w:rsidRPr="00C4704D" w:rsidRDefault="00C866EA" w:rsidP="00C866EA">
      <w:pPr>
        <w:spacing w:after="0"/>
        <w:ind w:left="720" w:hanging="720"/>
        <w:rPr>
          <w:rFonts w:eastAsia="Times New Roman" w:cs="Times New Roman"/>
          <w:b/>
          <w:i/>
          <w:snapToGrid w:val="0"/>
          <w:spacing w:val="-2"/>
          <w:kern w:val="28"/>
        </w:rPr>
      </w:pP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>Re: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ab/>
      </w:r>
      <w:r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 xml:space="preserve">In the Matter of 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>Acceleration of Broadband Deployment by Improving Wireless Facilities Siting Policies, WT Docket No</w:t>
      </w:r>
      <w:r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>.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 xml:space="preserve"> 13-238; </w:t>
      </w:r>
      <w:r w:rsidRPr="00C4704D">
        <w:rPr>
          <w:rFonts w:eastAsia="Times New Roman" w:cs="Times New Roman"/>
          <w:b/>
          <w:i/>
          <w:snapToGrid w:val="0"/>
          <w:kern w:val="28"/>
          <w:szCs w:val="20"/>
        </w:rPr>
        <w:t xml:space="preserve">Acceleration of Broadband Deployment: Expanding the Reach and Reducing the Cost of Broadband Deployment by Improving Policies Regarding Public Rights of Way and Wireless Facilities Siting, WC Docket No. 11-59; 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</w:rPr>
        <w:t>2012 Biennial Review of Telecommunications Regulations, WT Docket No. 13-32.</w:t>
      </w:r>
    </w:p>
    <w:p w14:paraId="7B201675" w14:textId="77777777" w:rsidR="00B952D2" w:rsidRPr="00AB3387" w:rsidRDefault="00B952D2" w:rsidP="00B952D2">
      <w:pPr>
        <w:spacing w:after="0"/>
        <w:ind w:left="720" w:hanging="720"/>
        <w:rPr>
          <w:rFonts w:cs="Times New Roman"/>
        </w:rPr>
      </w:pPr>
    </w:p>
    <w:p w14:paraId="0F5B41B3" w14:textId="2E637952" w:rsidR="00F51D28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6F09B1">
        <w:rPr>
          <w:rFonts w:cs="Times New Roman"/>
        </w:rPr>
        <w:t xml:space="preserve">Removing barriers to </w:t>
      </w:r>
      <w:r w:rsidR="00C5584B">
        <w:rPr>
          <w:rFonts w:cs="Times New Roman"/>
        </w:rPr>
        <w:t xml:space="preserve">wireless </w:t>
      </w:r>
      <w:r w:rsidR="006F09B1">
        <w:rPr>
          <w:rFonts w:cs="Times New Roman"/>
        </w:rPr>
        <w:t xml:space="preserve">infrastructure deployment has been one of my top priorities since joining the Commission.  </w:t>
      </w:r>
      <w:r w:rsidR="00EA2BC9">
        <w:rPr>
          <w:rFonts w:cs="Times New Roman"/>
        </w:rPr>
        <w:t xml:space="preserve">Two years ago, I </w:t>
      </w:r>
      <w:r w:rsidR="00485E2B">
        <w:rPr>
          <w:rFonts w:cs="Times New Roman"/>
        </w:rPr>
        <w:t>laid out a</w:t>
      </w:r>
      <w:r w:rsidR="006F09B1">
        <w:rPr>
          <w:rFonts w:cs="Times New Roman"/>
        </w:rPr>
        <w:t xml:space="preserve"> plan </w:t>
      </w:r>
      <w:r w:rsidR="00F57F0C">
        <w:rPr>
          <w:rFonts w:cs="Times New Roman"/>
        </w:rPr>
        <w:t>to do just that.</w:t>
      </w:r>
      <w:r w:rsidR="006F09B1">
        <w:rPr>
          <w:rFonts w:cs="Times New Roman"/>
        </w:rPr>
        <w:t xml:space="preserve">  It </w:t>
      </w:r>
      <w:r w:rsidR="00EA2BC9">
        <w:rPr>
          <w:rFonts w:cs="Times New Roman"/>
        </w:rPr>
        <w:t>called on the Commission to</w:t>
      </w:r>
      <w:r w:rsidR="00357185">
        <w:rPr>
          <w:rFonts w:cs="Times New Roman"/>
        </w:rPr>
        <w:t xml:space="preserve"> moderniz</w:t>
      </w:r>
      <w:r w:rsidR="00485E2B">
        <w:rPr>
          <w:rFonts w:cs="Times New Roman"/>
        </w:rPr>
        <w:t>e</w:t>
      </w:r>
      <w:r w:rsidR="00EA2BC9">
        <w:rPr>
          <w:rFonts w:cs="Times New Roman"/>
        </w:rPr>
        <w:t xml:space="preserve"> our environmental and historic preservation rules by exempting most </w:t>
      </w:r>
      <w:r w:rsidR="00AD701E">
        <w:rPr>
          <w:rFonts w:cs="Times New Roman"/>
        </w:rPr>
        <w:t>distributed antenna systems (</w:t>
      </w:r>
      <w:r w:rsidR="00EA2BC9">
        <w:rPr>
          <w:rFonts w:cs="Times New Roman"/>
        </w:rPr>
        <w:t>DAS</w:t>
      </w:r>
      <w:r w:rsidR="00AD701E">
        <w:rPr>
          <w:rFonts w:cs="Times New Roman"/>
        </w:rPr>
        <w:t>)</w:t>
      </w:r>
      <w:r w:rsidR="00EA2BC9">
        <w:rPr>
          <w:rFonts w:cs="Times New Roman"/>
        </w:rPr>
        <w:t xml:space="preserve"> and small cell technologies, </w:t>
      </w:r>
      <w:r w:rsidR="00357185">
        <w:rPr>
          <w:rFonts w:cs="Times New Roman"/>
        </w:rPr>
        <w:t>curb</w:t>
      </w:r>
      <w:r w:rsidR="00EA2BC9">
        <w:rPr>
          <w:rFonts w:cs="Times New Roman"/>
        </w:rPr>
        <w:t xml:space="preserve"> local moratoria </w:t>
      </w:r>
      <w:r w:rsidR="00AD701E">
        <w:rPr>
          <w:rFonts w:cs="Times New Roman"/>
        </w:rPr>
        <w:t>on the approval of new infrastructure</w:t>
      </w:r>
      <w:r w:rsidR="00EA2BC9">
        <w:rPr>
          <w:rFonts w:cs="Times New Roman"/>
        </w:rPr>
        <w:t xml:space="preserve">, and </w:t>
      </w:r>
      <w:r w:rsidR="00357185">
        <w:rPr>
          <w:rFonts w:cs="Times New Roman"/>
        </w:rPr>
        <w:t>mak</w:t>
      </w:r>
      <w:r w:rsidR="00485E2B">
        <w:rPr>
          <w:rFonts w:cs="Times New Roman"/>
        </w:rPr>
        <w:t>e</w:t>
      </w:r>
      <w:r w:rsidR="00EA2BC9">
        <w:rPr>
          <w:rFonts w:cs="Times New Roman"/>
        </w:rPr>
        <w:t xml:space="preserve"> clear that our shot-clock rules apply to DAS and small cell</w:t>
      </w:r>
      <w:r w:rsidR="00CC1188">
        <w:rPr>
          <w:rFonts w:cs="Times New Roman"/>
        </w:rPr>
        <w:t>s</w:t>
      </w:r>
      <w:r w:rsidR="00EA2BC9">
        <w:rPr>
          <w:rFonts w:cs="Times New Roman"/>
        </w:rPr>
        <w:t>.</w:t>
      </w:r>
      <w:r w:rsidR="00EA2BC9">
        <w:rPr>
          <w:rStyle w:val="FootnoteReference"/>
          <w:rFonts w:cs="Times New Roman"/>
        </w:rPr>
        <w:footnoteReference w:id="1"/>
      </w:r>
      <w:r w:rsidR="00EA2BC9">
        <w:rPr>
          <w:rFonts w:cs="Times New Roman"/>
        </w:rPr>
        <w:t xml:space="preserve">  </w:t>
      </w:r>
      <w:r w:rsidR="00F51D28" w:rsidRPr="00F51D28">
        <w:rPr>
          <w:rFonts w:cs="Times New Roman"/>
        </w:rPr>
        <w:t>Five months ago, I reiterated th</w:t>
      </w:r>
      <w:r w:rsidR="00D62A83">
        <w:rPr>
          <w:rFonts w:cs="Times New Roman"/>
        </w:rPr>
        <w:t>ose proposals</w:t>
      </w:r>
      <w:r w:rsidR="00F51D28" w:rsidRPr="00F51D28">
        <w:rPr>
          <w:rFonts w:cs="Times New Roman"/>
        </w:rPr>
        <w:t xml:space="preserve"> and </w:t>
      </w:r>
      <w:r w:rsidR="00485E2B">
        <w:rPr>
          <w:rFonts w:cs="Times New Roman"/>
        </w:rPr>
        <w:t>urged the Commission to adopt</w:t>
      </w:r>
      <w:r w:rsidR="00F51D28" w:rsidRPr="00F51D28">
        <w:rPr>
          <w:rFonts w:cs="Times New Roman"/>
        </w:rPr>
        <w:t xml:space="preserve"> a deemed-grant</w:t>
      </w:r>
      <w:r w:rsidR="00CC1188">
        <w:rPr>
          <w:rFonts w:cs="Times New Roman"/>
        </w:rPr>
        <w:t>ed</w:t>
      </w:r>
      <w:r w:rsidR="00F51D28" w:rsidRPr="00F51D28">
        <w:rPr>
          <w:rFonts w:cs="Times New Roman"/>
        </w:rPr>
        <w:t xml:space="preserve"> remedy </w:t>
      </w:r>
      <w:r w:rsidR="00485E2B">
        <w:rPr>
          <w:rFonts w:cs="Times New Roman"/>
        </w:rPr>
        <w:t xml:space="preserve">for violations of </w:t>
      </w:r>
      <w:r w:rsidR="00F51D28" w:rsidRPr="00F51D28">
        <w:rPr>
          <w:rFonts w:cs="Times New Roman"/>
        </w:rPr>
        <w:t>section 6409 of the Spectrum Act</w:t>
      </w:r>
      <w:r w:rsidR="00485E2B">
        <w:rPr>
          <w:rFonts w:cs="Times New Roman"/>
        </w:rPr>
        <w:t xml:space="preserve"> and </w:t>
      </w:r>
      <w:r w:rsidR="00F51D28" w:rsidRPr="00F51D28">
        <w:rPr>
          <w:rFonts w:cs="Times New Roman"/>
        </w:rPr>
        <w:t>objective standards for</w:t>
      </w:r>
      <w:r w:rsidR="00485E2B">
        <w:rPr>
          <w:rFonts w:cs="Times New Roman"/>
        </w:rPr>
        <w:t xml:space="preserve"> determining the types of</w:t>
      </w:r>
      <w:r w:rsidR="00A268DA">
        <w:rPr>
          <w:rFonts w:cs="Times New Roman"/>
        </w:rPr>
        <w:t xml:space="preserve"> </w:t>
      </w:r>
      <w:r w:rsidR="00F51D28" w:rsidRPr="00F51D28">
        <w:rPr>
          <w:rFonts w:cs="Times New Roman"/>
        </w:rPr>
        <w:t xml:space="preserve">modifications </w:t>
      </w:r>
      <w:r w:rsidR="00485E2B">
        <w:rPr>
          <w:rFonts w:cs="Times New Roman"/>
        </w:rPr>
        <w:t xml:space="preserve">that </w:t>
      </w:r>
      <w:r w:rsidR="00F51D28" w:rsidRPr="00F51D28">
        <w:rPr>
          <w:rFonts w:cs="Times New Roman"/>
        </w:rPr>
        <w:t xml:space="preserve">qualify for </w:t>
      </w:r>
      <w:r w:rsidR="00CC1188">
        <w:rPr>
          <w:rFonts w:cs="Times New Roman"/>
        </w:rPr>
        <w:t xml:space="preserve">treatment under </w:t>
      </w:r>
      <w:r w:rsidR="00F51D28" w:rsidRPr="00F51D28">
        <w:rPr>
          <w:rFonts w:cs="Times New Roman"/>
        </w:rPr>
        <w:t>that section.</w:t>
      </w:r>
      <w:r w:rsidR="00606E45">
        <w:rPr>
          <w:rStyle w:val="FootnoteReference"/>
          <w:rFonts w:cs="Times New Roman"/>
        </w:rPr>
        <w:footnoteReference w:id="2"/>
      </w:r>
    </w:p>
    <w:p w14:paraId="190A8536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3AF42B39" w14:textId="39321BC7" w:rsidR="00AD701E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053CE0">
        <w:rPr>
          <w:rFonts w:cs="Times New Roman"/>
        </w:rPr>
        <w:t>Now,</w:t>
      </w:r>
      <w:r w:rsidR="00AD701E">
        <w:rPr>
          <w:rFonts w:cs="Times New Roman"/>
        </w:rPr>
        <w:t xml:space="preserve"> I’ll be the first to admit that </w:t>
      </w:r>
      <w:r w:rsidR="00053CE0">
        <w:rPr>
          <w:rFonts w:cs="Times New Roman"/>
        </w:rPr>
        <w:t xml:space="preserve">infrastructure </w:t>
      </w:r>
      <w:r w:rsidR="00A268DA">
        <w:rPr>
          <w:rFonts w:cs="Times New Roman"/>
        </w:rPr>
        <w:t xml:space="preserve">isn’t </w:t>
      </w:r>
      <w:r w:rsidR="00053CE0">
        <w:rPr>
          <w:rFonts w:cs="Times New Roman"/>
        </w:rPr>
        <w:t>always the most glamorous</w:t>
      </w:r>
      <w:r w:rsidR="00A268DA">
        <w:rPr>
          <w:rFonts w:cs="Times New Roman"/>
        </w:rPr>
        <w:t xml:space="preserve"> issue</w:t>
      </w:r>
      <w:r w:rsidR="00053CE0">
        <w:rPr>
          <w:rFonts w:cs="Times New Roman"/>
        </w:rPr>
        <w:t>.  D</w:t>
      </w:r>
      <w:r w:rsidR="00AD701E">
        <w:rPr>
          <w:rFonts w:cs="Times New Roman"/>
        </w:rPr>
        <w:t xml:space="preserve">iscussing categorical exclusions under the National Environmental Policy Act isn’t as exciting as </w:t>
      </w:r>
      <w:r w:rsidR="00A268DA">
        <w:rPr>
          <w:rFonts w:cs="Times New Roman"/>
        </w:rPr>
        <w:t>thinking about</w:t>
      </w:r>
      <w:r w:rsidR="00AD701E">
        <w:rPr>
          <w:rFonts w:cs="Times New Roman"/>
        </w:rPr>
        <w:t xml:space="preserve"> multi-billion dollar spectrum auctions.</w:t>
      </w:r>
      <w:r w:rsidR="00357185">
        <w:rPr>
          <w:rFonts w:cs="Times New Roman"/>
        </w:rPr>
        <w:t xml:space="preserve">  But wireless infrastructure is just as</w:t>
      </w:r>
      <w:r w:rsidR="007F56D6">
        <w:rPr>
          <w:rFonts w:cs="Times New Roman"/>
        </w:rPr>
        <w:t xml:space="preserve"> important as spectrum.</w:t>
      </w:r>
    </w:p>
    <w:p w14:paraId="43A52216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442AF037" w14:textId="526064BA" w:rsidR="005C7433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357185">
        <w:rPr>
          <w:rFonts w:cs="Times New Roman"/>
        </w:rPr>
        <w:t xml:space="preserve">Consider one figure:  </w:t>
      </w:r>
      <w:r w:rsidR="005C7433" w:rsidRPr="006C4263">
        <w:rPr>
          <w:rFonts w:cs="Times New Roman"/>
        </w:rPr>
        <w:t>$</w:t>
      </w:r>
      <w:r w:rsidR="00E202A6">
        <w:rPr>
          <w:rFonts w:cs="Times New Roman"/>
        </w:rPr>
        <w:t>3</w:t>
      </w:r>
      <w:r w:rsidR="00357185">
        <w:rPr>
          <w:rFonts w:cs="Times New Roman"/>
        </w:rPr>
        <w:t>5</w:t>
      </w:r>
      <w:r w:rsidR="005C7433" w:rsidRPr="006C4263">
        <w:rPr>
          <w:rFonts w:cs="Times New Roman"/>
        </w:rPr>
        <w:t xml:space="preserve"> billion</w:t>
      </w:r>
      <w:r w:rsidR="005C7433">
        <w:rPr>
          <w:rFonts w:cs="Times New Roman"/>
        </w:rPr>
        <w:t>.  That’s how much</w:t>
      </w:r>
      <w:r w:rsidR="00F6410F">
        <w:rPr>
          <w:rFonts w:cs="Times New Roman"/>
        </w:rPr>
        <w:t>,</w:t>
      </w:r>
      <w:r w:rsidR="005C7433">
        <w:rPr>
          <w:rFonts w:cs="Times New Roman"/>
        </w:rPr>
        <w:t xml:space="preserve"> </w:t>
      </w:r>
      <w:r w:rsidR="00357185">
        <w:rPr>
          <w:rFonts w:cs="Times New Roman"/>
        </w:rPr>
        <w:t>on average</w:t>
      </w:r>
      <w:r w:rsidR="00F6410F">
        <w:rPr>
          <w:rFonts w:cs="Times New Roman"/>
        </w:rPr>
        <w:t>,</w:t>
      </w:r>
      <w:r w:rsidR="00357185">
        <w:rPr>
          <w:rFonts w:cs="Times New Roman"/>
        </w:rPr>
        <w:t xml:space="preserve"> </w:t>
      </w:r>
      <w:r w:rsidR="005C7433">
        <w:rPr>
          <w:rFonts w:cs="Times New Roman"/>
        </w:rPr>
        <w:t xml:space="preserve">wireless operators are expected to invest </w:t>
      </w:r>
      <w:r w:rsidR="00357185">
        <w:rPr>
          <w:rFonts w:cs="Times New Roman"/>
        </w:rPr>
        <w:t xml:space="preserve">on an annual basis </w:t>
      </w:r>
      <w:r w:rsidR="005C7433">
        <w:rPr>
          <w:rFonts w:cs="Times New Roman"/>
        </w:rPr>
        <w:t>in mobile broadband infrastructure.</w:t>
      </w:r>
      <w:r w:rsidR="005C7433">
        <w:rPr>
          <w:rStyle w:val="FootnoteReference"/>
          <w:rFonts w:cs="Times New Roman"/>
        </w:rPr>
        <w:footnoteReference w:id="3"/>
      </w:r>
      <w:r w:rsidR="00E202A6">
        <w:rPr>
          <w:rFonts w:cs="Times New Roman"/>
        </w:rPr>
        <w:t xml:space="preserve">  That translates into hundreds of towers, thousands of base stations, and a vast network of microcells, picocells, and DAS.  And with today’s </w:t>
      </w:r>
      <w:r w:rsidR="00E202A6">
        <w:rPr>
          <w:rFonts w:cs="Times New Roman"/>
          <w:i/>
        </w:rPr>
        <w:t>Order</w:t>
      </w:r>
      <w:r w:rsidR="00E202A6">
        <w:rPr>
          <w:rFonts w:cs="Times New Roman"/>
        </w:rPr>
        <w:t>, we’re going to stretch those dollars farther</w:t>
      </w:r>
      <w:r w:rsidR="00357185">
        <w:rPr>
          <w:rFonts w:cs="Times New Roman"/>
        </w:rPr>
        <w:t xml:space="preserve">.  That will </w:t>
      </w:r>
      <w:r w:rsidR="00E202A6">
        <w:rPr>
          <w:rFonts w:cs="Times New Roman"/>
        </w:rPr>
        <w:t xml:space="preserve">mean broader coverage, greater capacity, and ultimately better wireless broadband </w:t>
      </w:r>
      <w:r w:rsidR="00A268DA">
        <w:rPr>
          <w:rFonts w:cs="Times New Roman"/>
        </w:rPr>
        <w:t xml:space="preserve">services </w:t>
      </w:r>
      <w:r w:rsidR="00E202A6">
        <w:rPr>
          <w:rFonts w:cs="Times New Roman"/>
        </w:rPr>
        <w:t>for consumers.</w:t>
      </w:r>
    </w:p>
    <w:p w14:paraId="31198C0C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3E4E44E6" w14:textId="57051FB1" w:rsidR="00E202A6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E202A6">
        <w:rPr>
          <w:rFonts w:cs="Times New Roman"/>
        </w:rPr>
        <w:t>It’s a simple relationship, really.  Lower costs mean greater deployment.  But for far too long</w:t>
      </w:r>
      <w:r w:rsidR="00053CE0">
        <w:rPr>
          <w:rFonts w:cs="Times New Roman"/>
        </w:rPr>
        <w:t xml:space="preserve"> and</w:t>
      </w:r>
      <w:r w:rsidR="00E202A6">
        <w:rPr>
          <w:rFonts w:cs="Times New Roman"/>
        </w:rPr>
        <w:t xml:space="preserve"> in </w:t>
      </w:r>
      <w:r w:rsidR="00053CE0">
        <w:rPr>
          <w:rFonts w:cs="Times New Roman"/>
        </w:rPr>
        <w:t xml:space="preserve">far </w:t>
      </w:r>
      <w:r w:rsidR="00357185">
        <w:rPr>
          <w:rFonts w:cs="Times New Roman"/>
        </w:rPr>
        <w:t xml:space="preserve">too </w:t>
      </w:r>
      <w:r w:rsidR="00E202A6">
        <w:rPr>
          <w:rFonts w:cs="Times New Roman"/>
        </w:rPr>
        <w:t xml:space="preserve">many places, a web of </w:t>
      </w:r>
      <w:r w:rsidR="00BC341D">
        <w:rPr>
          <w:rFonts w:cs="Times New Roman"/>
        </w:rPr>
        <w:t>municipal</w:t>
      </w:r>
      <w:r w:rsidR="00E202A6">
        <w:rPr>
          <w:rFonts w:cs="Times New Roman"/>
        </w:rPr>
        <w:t xml:space="preserve">, state, and federal regulations has </w:t>
      </w:r>
      <w:r w:rsidR="00357185">
        <w:rPr>
          <w:rFonts w:cs="Times New Roman"/>
        </w:rPr>
        <w:t xml:space="preserve">entangled </w:t>
      </w:r>
      <w:r w:rsidR="00E202A6">
        <w:rPr>
          <w:rFonts w:cs="Times New Roman"/>
        </w:rPr>
        <w:t xml:space="preserve">those </w:t>
      </w:r>
      <w:r w:rsidR="00BC341D">
        <w:rPr>
          <w:rFonts w:cs="Times New Roman"/>
        </w:rPr>
        <w:t xml:space="preserve">trying to build infrastructure.  Delays, needless paperwork, and moratoria all mean higher costs and accordingly less deployment.  </w:t>
      </w:r>
      <w:r w:rsidR="00A268DA">
        <w:rPr>
          <w:rFonts w:cs="Times New Roman"/>
        </w:rPr>
        <w:t>Additionally</w:t>
      </w:r>
      <w:r w:rsidR="00BC341D">
        <w:rPr>
          <w:rFonts w:cs="Times New Roman"/>
        </w:rPr>
        <w:t xml:space="preserve">, many </w:t>
      </w:r>
      <w:r w:rsidR="00A268DA">
        <w:rPr>
          <w:rFonts w:cs="Times New Roman"/>
        </w:rPr>
        <w:t xml:space="preserve">of these </w:t>
      </w:r>
      <w:r w:rsidR="00BC341D">
        <w:rPr>
          <w:rFonts w:cs="Times New Roman"/>
        </w:rPr>
        <w:t xml:space="preserve">regulations </w:t>
      </w:r>
      <w:r w:rsidR="00A268DA">
        <w:rPr>
          <w:rFonts w:cs="Times New Roman"/>
        </w:rPr>
        <w:t xml:space="preserve">ignore </w:t>
      </w:r>
      <w:r w:rsidR="00BC341D">
        <w:rPr>
          <w:rFonts w:cs="Times New Roman"/>
        </w:rPr>
        <w:t xml:space="preserve">the realities of modern wireless technology, so some places apply the </w:t>
      </w:r>
      <w:r w:rsidR="008169BE">
        <w:rPr>
          <w:rFonts w:cs="Times New Roman"/>
        </w:rPr>
        <w:t>rules for</w:t>
      </w:r>
      <w:r w:rsidR="00BC341D">
        <w:rPr>
          <w:rFonts w:cs="Times New Roman"/>
        </w:rPr>
        <w:t xml:space="preserve"> constructing a 200-foot tower </w:t>
      </w:r>
      <w:r w:rsidR="008169BE">
        <w:rPr>
          <w:rFonts w:cs="Times New Roman"/>
        </w:rPr>
        <w:t>to</w:t>
      </w:r>
      <w:r w:rsidR="00BC341D">
        <w:rPr>
          <w:rFonts w:cs="Times New Roman"/>
        </w:rPr>
        <w:t xml:space="preserve"> swapping out a 3G antenna for a 4G one.</w:t>
      </w:r>
      <w:r w:rsidR="008169BE">
        <w:rPr>
          <w:rFonts w:cs="Times New Roman"/>
        </w:rPr>
        <w:t xml:space="preserve">  That </w:t>
      </w:r>
      <w:r w:rsidR="00A268DA">
        <w:rPr>
          <w:rFonts w:cs="Times New Roman"/>
        </w:rPr>
        <w:t>disserves the public interest.  A</w:t>
      </w:r>
      <w:r w:rsidR="008169BE">
        <w:rPr>
          <w:rFonts w:cs="Times New Roman"/>
        </w:rPr>
        <w:t xml:space="preserve">nd if left in place, </w:t>
      </w:r>
      <w:r w:rsidR="00A268DA">
        <w:rPr>
          <w:rFonts w:cs="Times New Roman"/>
        </w:rPr>
        <w:t xml:space="preserve">rules like this </w:t>
      </w:r>
      <w:r w:rsidR="008169BE">
        <w:rPr>
          <w:rFonts w:cs="Times New Roman"/>
        </w:rPr>
        <w:t xml:space="preserve">could delay the use of the AWS-3 and 600 MHz spectrum we’ll </w:t>
      </w:r>
      <w:r w:rsidR="00A268DA">
        <w:rPr>
          <w:rFonts w:cs="Times New Roman"/>
        </w:rPr>
        <w:t xml:space="preserve">soon </w:t>
      </w:r>
      <w:r w:rsidR="008169BE">
        <w:rPr>
          <w:rFonts w:cs="Times New Roman"/>
        </w:rPr>
        <w:t>be auctioning off and slow the build-out of FirstNet.</w:t>
      </w:r>
    </w:p>
    <w:p w14:paraId="3C1E6AF9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5BB5FA01" w14:textId="7A9DA742" w:rsidR="005C7433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BC341D">
        <w:rPr>
          <w:rFonts w:cs="Times New Roman"/>
        </w:rPr>
        <w:t xml:space="preserve">That’s why </w:t>
      </w:r>
      <w:r w:rsidR="00FE58D8">
        <w:rPr>
          <w:rFonts w:cs="Times New Roman"/>
        </w:rPr>
        <w:t xml:space="preserve">I’m pleased we’re </w:t>
      </w:r>
      <w:r w:rsidR="00BC341D">
        <w:rPr>
          <w:rFonts w:cs="Times New Roman"/>
        </w:rPr>
        <w:t>r</w:t>
      </w:r>
      <w:r w:rsidR="005C7433">
        <w:rPr>
          <w:rFonts w:cs="Times New Roman"/>
        </w:rPr>
        <w:t xml:space="preserve">emoving </w:t>
      </w:r>
      <w:r w:rsidR="00FE58D8">
        <w:rPr>
          <w:rFonts w:cs="Times New Roman"/>
        </w:rPr>
        <w:t>some</w:t>
      </w:r>
      <w:r w:rsidR="007C4D35">
        <w:rPr>
          <w:rFonts w:cs="Times New Roman"/>
        </w:rPr>
        <w:t xml:space="preserve"> of</w:t>
      </w:r>
      <w:r w:rsidR="00FE58D8">
        <w:rPr>
          <w:rFonts w:cs="Times New Roman"/>
        </w:rPr>
        <w:t xml:space="preserve"> </w:t>
      </w:r>
      <w:r w:rsidR="005C7433">
        <w:rPr>
          <w:rFonts w:cs="Times New Roman"/>
        </w:rPr>
        <w:t xml:space="preserve">these barriers </w:t>
      </w:r>
      <w:r w:rsidR="00FE58D8">
        <w:rPr>
          <w:rFonts w:cs="Times New Roman"/>
        </w:rPr>
        <w:t xml:space="preserve">today, and I’m grateful </w:t>
      </w:r>
      <w:r w:rsidR="008169BE">
        <w:rPr>
          <w:rFonts w:cs="Times New Roman"/>
        </w:rPr>
        <w:t>that</w:t>
      </w:r>
      <w:r w:rsidR="007C4D35">
        <w:rPr>
          <w:rFonts w:cs="Times New Roman"/>
        </w:rPr>
        <w:t xml:space="preserve"> the </w:t>
      </w:r>
      <w:r w:rsidR="007C4D35">
        <w:rPr>
          <w:rFonts w:cs="Times New Roman"/>
          <w:i/>
        </w:rPr>
        <w:t>Order</w:t>
      </w:r>
      <w:r w:rsidR="008169BE">
        <w:rPr>
          <w:rFonts w:cs="Times New Roman"/>
        </w:rPr>
        <w:t xml:space="preserve"> include</w:t>
      </w:r>
      <w:r w:rsidR="007C4D35">
        <w:rPr>
          <w:rFonts w:cs="Times New Roman"/>
        </w:rPr>
        <w:t>s</w:t>
      </w:r>
      <w:r w:rsidR="008169BE">
        <w:rPr>
          <w:rFonts w:cs="Times New Roman"/>
        </w:rPr>
        <w:t xml:space="preserve"> many of </w:t>
      </w:r>
      <w:r w:rsidR="001D53B0">
        <w:rPr>
          <w:rFonts w:cs="Times New Roman"/>
        </w:rPr>
        <w:t xml:space="preserve">my </w:t>
      </w:r>
      <w:r w:rsidR="007C4D35">
        <w:rPr>
          <w:rFonts w:cs="Times New Roman"/>
        </w:rPr>
        <w:t>initial</w:t>
      </w:r>
      <w:r w:rsidR="00F27B53">
        <w:rPr>
          <w:rFonts w:cs="Times New Roman"/>
        </w:rPr>
        <w:t xml:space="preserve"> proposals</w:t>
      </w:r>
      <w:r w:rsidR="005C7433">
        <w:rPr>
          <w:rFonts w:cs="Times New Roman"/>
        </w:rPr>
        <w:t xml:space="preserve">.  For example, </w:t>
      </w:r>
      <w:r w:rsidR="001D53B0">
        <w:rPr>
          <w:rFonts w:cs="Times New Roman"/>
        </w:rPr>
        <w:t xml:space="preserve">the </w:t>
      </w:r>
      <w:r w:rsidR="001D53B0">
        <w:rPr>
          <w:rFonts w:cs="Times New Roman"/>
          <w:i/>
        </w:rPr>
        <w:t>Order</w:t>
      </w:r>
      <w:r w:rsidR="005C7433">
        <w:rPr>
          <w:rFonts w:cs="Times New Roman"/>
        </w:rPr>
        <w:t xml:space="preserve"> </w:t>
      </w:r>
      <w:r w:rsidR="001D53B0">
        <w:rPr>
          <w:rFonts w:cs="Times New Roman"/>
        </w:rPr>
        <w:t>amends our environmental and</w:t>
      </w:r>
      <w:r w:rsidR="005C7433">
        <w:rPr>
          <w:rFonts w:cs="Times New Roman"/>
        </w:rPr>
        <w:t xml:space="preserve"> historic preservation rules </w:t>
      </w:r>
      <w:r w:rsidR="001D53B0">
        <w:rPr>
          <w:rFonts w:cs="Times New Roman"/>
        </w:rPr>
        <w:t>to</w:t>
      </w:r>
      <w:r w:rsidR="005C7433">
        <w:rPr>
          <w:rFonts w:cs="Times New Roman"/>
        </w:rPr>
        <w:t xml:space="preserve"> make </w:t>
      </w:r>
      <w:r w:rsidR="00A268DA">
        <w:rPr>
          <w:rFonts w:cs="Times New Roman"/>
        </w:rPr>
        <w:t xml:space="preserve">it easier to </w:t>
      </w:r>
      <w:r w:rsidR="005C7433">
        <w:rPr>
          <w:rFonts w:cs="Times New Roman"/>
        </w:rPr>
        <w:t>deploy small cell</w:t>
      </w:r>
      <w:r w:rsidR="001D53B0">
        <w:rPr>
          <w:rFonts w:cs="Times New Roman"/>
        </w:rPr>
        <w:t>s</w:t>
      </w:r>
      <w:r w:rsidR="005C7433">
        <w:rPr>
          <w:rFonts w:cs="Times New Roman"/>
        </w:rPr>
        <w:t xml:space="preserve"> and collocat</w:t>
      </w:r>
      <w:r w:rsidR="00A268DA">
        <w:rPr>
          <w:rFonts w:cs="Times New Roman"/>
        </w:rPr>
        <w:t xml:space="preserve">e </w:t>
      </w:r>
      <w:r w:rsidR="005C7433">
        <w:rPr>
          <w:rFonts w:cs="Times New Roman"/>
        </w:rPr>
        <w:t xml:space="preserve">antennas on existing structures.  </w:t>
      </w:r>
      <w:r w:rsidR="00CC1188">
        <w:rPr>
          <w:rFonts w:cs="Times New Roman"/>
        </w:rPr>
        <w:t xml:space="preserve">The </w:t>
      </w:r>
      <w:r w:rsidR="00CC1188" w:rsidRPr="006F09B1">
        <w:rPr>
          <w:rFonts w:cs="Times New Roman"/>
          <w:i/>
        </w:rPr>
        <w:t>Order</w:t>
      </w:r>
      <w:r w:rsidR="00CC1188">
        <w:rPr>
          <w:rFonts w:cs="Times New Roman"/>
        </w:rPr>
        <w:t xml:space="preserve"> also makes it cle</w:t>
      </w:r>
      <w:r w:rsidR="006F09B1">
        <w:rPr>
          <w:rFonts w:cs="Times New Roman"/>
        </w:rPr>
        <w:t>ar that our shot-</w:t>
      </w:r>
      <w:r w:rsidR="00CC1188">
        <w:rPr>
          <w:rFonts w:cs="Times New Roman"/>
        </w:rPr>
        <w:t>clock rules apply to small cell</w:t>
      </w:r>
      <w:r w:rsidR="006F09B1">
        <w:rPr>
          <w:rFonts w:cs="Times New Roman"/>
        </w:rPr>
        <w:t>s and DAS</w:t>
      </w:r>
      <w:r w:rsidR="00CC1188">
        <w:rPr>
          <w:rFonts w:cs="Times New Roman"/>
        </w:rPr>
        <w:t xml:space="preserve"> and that local moratoria cannot be used to make an </w:t>
      </w:r>
      <w:r w:rsidR="006F09B1">
        <w:rPr>
          <w:rFonts w:cs="Times New Roman"/>
        </w:rPr>
        <w:t xml:space="preserve">end run around those rules.  </w:t>
      </w:r>
      <w:r w:rsidR="001D53B0">
        <w:rPr>
          <w:rFonts w:cs="Times New Roman"/>
        </w:rPr>
        <w:t>And i</w:t>
      </w:r>
      <w:r w:rsidR="008169BE">
        <w:rPr>
          <w:rFonts w:cs="Times New Roman"/>
        </w:rPr>
        <w:t xml:space="preserve">t adopts </w:t>
      </w:r>
      <w:r w:rsidR="001D53B0">
        <w:rPr>
          <w:rFonts w:cs="Times New Roman"/>
        </w:rPr>
        <w:t>a bright-line</w:t>
      </w:r>
      <w:r w:rsidR="008169BE">
        <w:rPr>
          <w:rFonts w:cs="Times New Roman"/>
        </w:rPr>
        <w:t xml:space="preserve"> test for </w:t>
      </w:r>
      <w:r w:rsidR="00F27B53">
        <w:rPr>
          <w:rFonts w:cs="Times New Roman"/>
        </w:rPr>
        <w:t xml:space="preserve">determining </w:t>
      </w:r>
      <w:r w:rsidR="00F6410F">
        <w:rPr>
          <w:rFonts w:cs="Times New Roman"/>
        </w:rPr>
        <w:t xml:space="preserve">which </w:t>
      </w:r>
      <w:r w:rsidR="008169BE">
        <w:rPr>
          <w:rFonts w:cs="Times New Roman"/>
        </w:rPr>
        <w:t>equipment modifications qualify for section 6409’</w:t>
      </w:r>
      <w:r w:rsidR="001D53B0">
        <w:rPr>
          <w:rFonts w:cs="Times New Roman"/>
        </w:rPr>
        <w:t>s deemed-grant remedy and makes clear that</w:t>
      </w:r>
      <w:r w:rsidR="00F6410F">
        <w:rPr>
          <w:rFonts w:cs="Times New Roman"/>
        </w:rPr>
        <w:t xml:space="preserve"> an</w:t>
      </w:r>
      <w:r w:rsidR="001D53B0">
        <w:rPr>
          <w:rFonts w:cs="Times New Roman"/>
        </w:rPr>
        <w:t xml:space="preserve"> applicant can start building on day </w:t>
      </w:r>
      <w:r w:rsidR="00EE1A30">
        <w:rPr>
          <w:rFonts w:cs="Times New Roman"/>
        </w:rPr>
        <w:t>6</w:t>
      </w:r>
      <w:r w:rsidR="001D53B0">
        <w:rPr>
          <w:rFonts w:cs="Times New Roman"/>
        </w:rPr>
        <w:t xml:space="preserve">1 if a municipality doesn’t act on </w:t>
      </w:r>
      <w:r w:rsidR="00F6410F">
        <w:rPr>
          <w:rFonts w:cs="Times New Roman"/>
        </w:rPr>
        <w:t xml:space="preserve">its </w:t>
      </w:r>
      <w:r w:rsidR="001D53B0">
        <w:rPr>
          <w:rFonts w:cs="Times New Roman"/>
        </w:rPr>
        <w:t>application.</w:t>
      </w:r>
    </w:p>
    <w:p w14:paraId="0D2686A4" w14:textId="77777777" w:rsidR="00B952D2" w:rsidRDefault="00B952D2" w:rsidP="00B952D2">
      <w:pPr>
        <w:spacing w:after="0"/>
        <w:rPr>
          <w:rFonts w:cs="Times New Roman"/>
        </w:rPr>
      </w:pPr>
    </w:p>
    <w:p w14:paraId="6498A306" w14:textId="1A07F834" w:rsidR="007C4D35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 w:rsidR="006F09B1">
        <w:rPr>
          <w:rFonts w:cs="Times New Roman"/>
        </w:rPr>
        <w:t xml:space="preserve">These are no small </w:t>
      </w:r>
      <w:r w:rsidR="00F27B53">
        <w:rPr>
          <w:rFonts w:cs="Times New Roman"/>
        </w:rPr>
        <w:t xml:space="preserve">changes.  </w:t>
      </w:r>
      <w:r w:rsidR="006F09B1">
        <w:rPr>
          <w:rFonts w:cs="Times New Roman"/>
        </w:rPr>
        <w:t>American consumers stand to benefit</w:t>
      </w:r>
      <w:r w:rsidR="00F27B53">
        <w:rPr>
          <w:rFonts w:cs="Times New Roman"/>
        </w:rPr>
        <w:t xml:space="preserve"> in a big way</w:t>
      </w:r>
      <w:r w:rsidR="006F09B1">
        <w:rPr>
          <w:rFonts w:cs="Times New Roman"/>
        </w:rPr>
        <w:t xml:space="preserve">.  Today’s </w:t>
      </w:r>
      <w:r w:rsidR="006F09B1" w:rsidRPr="006F09B1">
        <w:rPr>
          <w:rFonts w:cs="Times New Roman"/>
          <w:i/>
        </w:rPr>
        <w:t>Order</w:t>
      </w:r>
      <w:r w:rsidR="006F09B1">
        <w:rPr>
          <w:rFonts w:cs="Times New Roman"/>
        </w:rPr>
        <w:t xml:space="preserve"> will make it easier for carriers both large and small to maintain, upgrade, and expand their coverage and capacity</w:t>
      </w:r>
      <w:r w:rsidR="00FE58D8">
        <w:rPr>
          <w:rFonts w:cs="Times New Roman"/>
        </w:rPr>
        <w:t xml:space="preserve">.  </w:t>
      </w:r>
    </w:p>
    <w:p w14:paraId="75FA984A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6F44D905" w14:textId="3EC9A654" w:rsidR="00FE58D8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FE58D8">
        <w:rPr>
          <w:rFonts w:cs="Times New Roman"/>
        </w:rPr>
        <w:t xml:space="preserve">I would </w:t>
      </w:r>
      <w:r w:rsidR="007C4D35">
        <w:rPr>
          <w:rFonts w:cs="Times New Roman"/>
        </w:rPr>
        <w:t xml:space="preserve">also </w:t>
      </w:r>
      <w:r w:rsidR="00FE58D8">
        <w:rPr>
          <w:rFonts w:cs="Times New Roman"/>
        </w:rPr>
        <w:t xml:space="preserve">like to thank my colleagues for agreeing to accept some of my suggested changes that have improved the item.  For example, </w:t>
      </w:r>
      <w:r w:rsidR="00FE58D8" w:rsidRPr="00FE58D8">
        <w:rPr>
          <w:rFonts w:cs="Times New Roman"/>
        </w:rPr>
        <w:t xml:space="preserve">the </w:t>
      </w:r>
      <w:r w:rsidR="00FE58D8" w:rsidRPr="00FE58D8">
        <w:rPr>
          <w:rFonts w:cs="Times New Roman"/>
          <w:i/>
        </w:rPr>
        <w:t>Order</w:t>
      </w:r>
      <w:r w:rsidR="00FE58D8" w:rsidRPr="00FE58D8">
        <w:rPr>
          <w:rFonts w:cs="Times New Roman"/>
        </w:rPr>
        <w:t xml:space="preserve"> now provides greater relief to those seeking to deploy small-scale technology </w:t>
      </w:r>
      <w:r w:rsidR="00FE58D8">
        <w:rPr>
          <w:rFonts w:cs="Times New Roman"/>
        </w:rPr>
        <w:t>by expanding the permitted size of collocations that qualify under the categorical exclusions we adopt today</w:t>
      </w:r>
      <w:r w:rsidR="00FE58D8" w:rsidRPr="00F205A7">
        <w:rPr>
          <w:rFonts w:cs="Times New Roman"/>
        </w:rPr>
        <w:t xml:space="preserve">.  </w:t>
      </w:r>
      <w:r w:rsidR="00FE58D8">
        <w:rPr>
          <w:rFonts w:cs="Times New Roman"/>
        </w:rPr>
        <w:t xml:space="preserve">Similarly, the </w:t>
      </w:r>
      <w:r w:rsidR="00FE58D8">
        <w:rPr>
          <w:rFonts w:cs="Times New Roman"/>
          <w:i/>
        </w:rPr>
        <w:t>Order</w:t>
      </w:r>
      <w:r w:rsidR="00FE58D8" w:rsidRPr="00F205A7">
        <w:rPr>
          <w:rFonts w:cs="Times New Roman"/>
        </w:rPr>
        <w:t xml:space="preserve"> </w:t>
      </w:r>
      <w:r w:rsidR="00FE58D8">
        <w:rPr>
          <w:rFonts w:cs="Times New Roman"/>
        </w:rPr>
        <w:t xml:space="preserve">now provides that </w:t>
      </w:r>
      <w:r w:rsidR="00FE58D8" w:rsidRPr="00307F98">
        <w:rPr>
          <w:rFonts w:cs="Times New Roman"/>
        </w:rPr>
        <w:t xml:space="preserve">cabling and other non-telecom equipment do not count against </w:t>
      </w:r>
      <w:r w:rsidR="00FE58D8">
        <w:rPr>
          <w:rFonts w:cs="Times New Roman"/>
        </w:rPr>
        <w:t>providers</w:t>
      </w:r>
      <w:r w:rsidR="00FE58D8" w:rsidRPr="00307F98">
        <w:rPr>
          <w:rFonts w:cs="Times New Roman"/>
        </w:rPr>
        <w:t xml:space="preserve"> when they collocate on a utility structure.</w:t>
      </w:r>
      <w:r w:rsidR="00FE58D8">
        <w:rPr>
          <w:rFonts w:cs="Times New Roman"/>
        </w:rPr>
        <w:t xml:space="preserve">  And I appreciate the </w:t>
      </w:r>
      <w:r w:rsidR="00FE58D8">
        <w:rPr>
          <w:rFonts w:cs="Times New Roman"/>
          <w:i/>
        </w:rPr>
        <w:t>Order</w:t>
      </w:r>
      <w:r w:rsidR="00A848F4">
        <w:rPr>
          <w:rFonts w:cs="Times New Roman"/>
        </w:rPr>
        <w:t>’s</w:t>
      </w:r>
      <w:r w:rsidR="00FE58D8">
        <w:rPr>
          <w:rFonts w:cs="Times New Roman"/>
        </w:rPr>
        <w:t xml:space="preserve"> discussion of the </w:t>
      </w:r>
      <w:r w:rsidR="00380A1F">
        <w:rPr>
          <w:rFonts w:cs="Times New Roman"/>
        </w:rPr>
        <w:t>benefit</w:t>
      </w:r>
      <w:r w:rsidR="00EE1A30">
        <w:rPr>
          <w:rFonts w:cs="Times New Roman"/>
        </w:rPr>
        <w:t xml:space="preserve"> </w:t>
      </w:r>
      <w:r w:rsidR="00FE58D8">
        <w:rPr>
          <w:rFonts w:cs="Times New Roman"/>
        </w:rPr>
        <w:t xml:space="preserve">of injunctive relief in cases where </w:t>
      </w:r>
      <w:r w:rsidR="00EE1A30">
        <w:rPr>
          <w:rFonts w:cs="Times New Roman"/>
        </w:rPr>
        <w:t>localities</w:t>
      </w:r>
      <w:r w:rsidR="00FE58D8">
        <w:rPr>
          <w:rFonts w:cs="Times New Roman"/>
        </w:rPr>
        <w:t xml:space="preserve"> </w:t>
      </w:r>
      <w:r w:rsidR="00EE1A30">
        <w:rPr>
          <w:rFonts w:cs="Times New Roman"/>
        </w:rPr>
        <w:t>don’t comply with</w:t>
      </w:r>
      <w:r w:rsidR="00FE58D8">
        <w:rPr>
          <w:rFonts w:cs="Times New Roman"/>
        </w:rPr>
        <w:t xml:space="preserve"> the Commission’s shot</w:t>
      </w:r>
      <w:r w:rsidR="00597439">
        <w:rPr>
          <w:rFonts w:cs="Times New Roman"/>
        </w:rPr>
        <w:t xml:space="preserve"> </w:t>
      </w:r>
      <w:r w:rsidR="00FE58D8">
        <w:rPr>
          <w:rFonts w:cs="Times New Roman"/>
        </w:rPr>
        <w:t>clock.</w:t>
      </w:r>
      <w:r w:rsidR="001B2585">
        <w:rPr>
          <w:rFonts w:cs="Times New Roman"/>
        </w:rPr>
        <w:t xml:space="preserve">  I also would like to thank Commissioner O’Rielly in particular for the </w:t>
      </w:r>
      <w:r w:rsidR="007108B4">
        <w:rPr>
          <w:rFonts w:cs="Times New Roman"/>
        </w:rPr>
        <w:t>important</w:t>
      </w:r>
      <w:r w:rsidR="001B2585">
        <w:rPr>
          <w:rFonts w:cs="Times New Roman"/>
        </w:rPr>
        <w:t xml:space="preserve"> role he played in securing other positive changes to the item.  </w:t>
      </w:r>
    </w:p>
    <w:p w14:paraId="29B133D0" w14:textId="77777777" w:rsidR="00B952D2" w:rsidRPr="00FE58D8" w:rsidRDefault="00B952D2" w:rsidP="00B952D2">
      <w:pPr>
        <w:spacing w:after="0"/>
        <w:ind w:firstLine="720"/>
        <w:rPr>
          <w:rFonts w:cs="Times New Roman"/>
        </w:rPr>
      </w:pPr>
    </w:p>
    <w:p w14:paraId="3F467ACB" w14:textId="58FEAA46" w:rsidR="002B4901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606E45">
        <w:rPr>
          <w:rFonts w:cs="Times New Roman"/>
        </w:rPr>
        <w:t xml:space="preserve">Critically, </w:t>
      </w:r>
      <w:r w:rsidR="002B4901">
        <w:rPr>
          <w:rFonts w:cs="Times New Roman"/>
        </w:rPr>
        <w:t>the actions we take today</w:t>
      </w:r>
      <w:r w:rsidR="00606E45">
        <w:rPr>
          <w:rFonts w:cs="Times New Roman"/>
        </w:rPr>
        <w:t xml:space="preserve"> </w:t>
      </w:r>
      <w:r w:rsidR="002B4901">
        <w:rPr>
          <w:rFonts w:cs="Times New Roman"/>
        </w:rPr>
        <w:t>lie well within our statutory authority.  For example, in both section 332(c)(7) of the Communications Act and section 6409 of the Spectrum Act</w:t>
      </w:r>
      <w:r w:rsidR="00AE44BC">
        <w:rPr>
          <w:rFonts w:cs="Times New Roman"/>
        </w:rPr>
        <w:t>, Congress</w:t>
      </w:r>
      <w:r w:rsidR="002B4901">
        <w:rPr>
          <w:rFonts w:cs="Times New Roman"/>
        </w:rPr>
        <w:t xml:space="preserve"> </w:t>
      </w:r>
      <w:r w:rsidR="00D62A83">
        <w:rPr>
          <w:rFonts w:cs="Times New Roman"/>
        </w:rPr>
        <w:t>h</w:t>
      </w:r>
      <w:r w:rsidR="002B4901">
        <w:rPr>
          <w:rFonts w:cs="Times New Roman"/>
        </w:rPr>
        <w:t xml:space="preserve">as clearly and specifically </w:t>
      </w:r>
      <w:r w:rsidR="00C92871">
        <w:rPr>
          <w:rFonts w:cs="Times New Roman"/>
        </w:rPr>
        <w:t xml:space="preserve">granted </w:t>
      </w:r>
      <w:r w:rsidR="002B4901">
        <w:rPr>
          <w:rFonts w:cs="Times New Roman"/>
        </w:rPr>
        <w:t>the Commission the power to remove barriers to wireless infrastructure deployment.</w:t>
      </w:r>
    </w:p>
    <w:p w14:paraId="0E1D7FD1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0DE19FD5" w14:textId="3CD71D64" w:rsidR="001D53B0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2B4901">
        <w:rPr>
          <w:rFonts w:cs="Times New Roman"/>
        </w:rPr>
        <w:t>Moving forward, t</w:t>
      </w:r>
      <w:r w:rsidR="001D53B0">
        <w:rPr>
          <w:rFonts w:cs="Times New Roman"/>
        </w:rPr>
        <w:t xml:space="preserve">here is more to be done.  In </w:t>
      </w:r>
      <w:r w:rsidR="006F09B1">
        <w:rPr>
          <w:rFonts w:cs="Times New Roman"/>
        </w:rPr>
        <w:t>18 to 24 months</w:t>
      </w:r>
      <w:r w:rsidR="001D53B0">
        <w:rPr>
          <w:rFonts w:cs="Times New Roman"/>
        </w:rPr>
        <w:t>—but I hope sooner—we’ll have a new programmatic agreement that will further streamline the process for deploying small cell technologies.  And once we have some experience in the field with a deemed-grant</w:t>
      </w:r>
      <w:r w:rsidR="006F09B1">
        <w:rPr>
          <w:rFonts w:cs="Times New Roman"/>
        </w:rPr>
        <w:t>ed</w:t>
      </w:r>
      <w:r w:rsidR="001D53B0">
        <w:rPr>
          <w:rFonts w:cs="Times New Roman"/>
        </w:rPr>
        <w:t xml:space="preserve"> remedy for infrastructure deployment, I hope we </w:t>
      </w:r>
      <w:r w:rsidR="00110BBC">
        <w:rPr>
          <w:rFonts w:cs="Times New Roman"/>
        </w:rPr>
        <w:t xml:space="preserve">consider </w:t>
      </w:r>
      <w:r w:rsidR="002B5732">
        <w:rPr>
          <w:rFonts w:cs="Times New Roman"/>
        </w:rPr>
        <w:t>extending</w:t>
      </w:r>
      <w:r w:rsidR="001D53B0">
        <w:rPr>
          <w:rFonts w:cs="Times New Roman"/>
        </w:rPr>
        <w:t xml:space="preserve"> that remedy to</w:t>
      </w:r>
      <w:r w:rsidR="002B5732">
        <w:rPr>
          <w:rFonts w:cs="Times New Roman"/>
        </w:rPr>
        <w:t xml:space="preserve"> our section 332 shot clock.  But </w:t>
      </w:r>
      <w:r w:rsidR="00D62A83">
        <w:rPr>
          <w:rFonts w:cs="Times New Roman"/>
        </w:rPr>
        <w:t xml:space="preserve">this </w:t>
      </w:r>
      <w:r w:rsidR="007F56D6">
        <w:rPr>
          <w:rFonts w:cs="Times New Roman"/>
        </w:rPr>
        <w:t xml:space="preserve">does </w:t>
      </w:r>
      <w:r w:rsidR="00D62A83">
        <w:rPr>
          <w:rFonts w:cs="Times New Roman"/>
        </w:rPr>
        <w:t>not obscure the fact that</w:t>
      </w:r>
      <w:r w:rsidR="002B5732">
        <w:rPr>
          <w:rFonts w:cs="Times New Roman"/>
        </w:rPr>
        <w:t xml:space="preserve"> today’s </w:t>
      </w:r>
      <w:r w:rsidR="002B5732">
        <w:rPr>
          <w:rFonts w:cs="Times New Roman"/>
          <w:i/>
        </w:rPr>
        <w:t>Order</w:t>
      </w:r>
      <w:r w:rsidR="002B5732">
        <w:rPr>
          <w:rFonts w:cs="Times New Roman"/>
        </w:rPr>
        <w:t xml:space="preserve"> is a </w:t>
      </w:r>
      <w:r w:rsidR="00205152">
        <w:rPr>
          <w:rFonts w:cs="Times New Roman"/>
        </w:rPr>
        <w:t xml:space="preserve">solid </w:t>
      </w:r>
      <w:r w:rsidR="002B5732">
        <w:rPr>
          <w:rFonts w:cs="Times New Roman"/>
        </w:rPr>
        <w:t>step in the right direction.</w:t>
      </w:r>
    </w:p>
    <w:p w14:paraId="1CBD32D2" w14:textId="77777777" w:rsidR="00B952D2" w:rsidRPr="002B5732" w:rsidRDefault="00B952D2" w:rsidP="00B952D2">
      <w:pPr>
        <w:spacing w:after="0"/>
        <w:ind w:firstLine="720"/>
        <w:rPr>
          <w:rFonts w:cs="Times New Roman"/>
        </w:rPr>
      </w:pPr>
    </w:p>
    <w:p w14:paraId="23BD58F1" w14:textId="238F56A1" w:rsidR="009F72B4" w:rsidRPr="002B5732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5C7433">
        <w:rPr>
          <w:rFonts w:cs="Times New Roman"/>
        </w:rPr>
        <w:t xml:space="preserve">Finally, I would like to thank the FCC’s talented staff for all of their hard work on this item, </w:t>
      </w:r>
      <w:r w:rsidR="007F56D6">
        <w:rPr>
          <w:rFonts w:cs="Times New Roman"/>
        </w:rPr>
        <w:t>most especially</w:t>
      </w:r>
      <w:r w:rsidR="005C7433">
        <w:rPr>
          <w:rFonts w:cs="Times New Roman"/>
        </w:rPr>
        <w:t xml:space="preserve">: </w:t>
      </w:r>
      <w:r w:rsidR="007F56D6">
        <w:rPr>
          <w:rFonts w:cs="Times New Roman"/>
        </w:rPr>
        <w:t xml:space="preserve">Mania Baghdadi, </w:t>
      </w:r>
      <w:r w:rsidR="007F56D6" w:rsidRPr="007F56D6">
        <w:rPr>
          <w:rFonts w:cs="Times New Roman"/>
        </w:rPr>
        <w:t>Chad Breckinridge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Saurbh Chhabra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Monica DeLong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Stephen Delsordo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Jennifer Flynn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Ivy Harris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David Horowitz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Don Johnson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Aliza Katz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Won Kim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Lee Martin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Sade Oshinubi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Bill Richardson</w:t>
      </w:r>
      <w:r w:rsidR="007F56D6">
        <w:rPr>
          <w:rFonts w:cs="Times New Roman"/>
        </w:rPr>
        <w:t>,</w:t>
      </w:r>
      <w:r w:rsidR="007F56D6" w:rsidRPr="007F56D6">
        <w:rPr>
          <w:rFonts w:cs="Times New Roman"/>
        </w:rPr>
        <w:t xml:space="preserve"> Patty Robbins</w:t>
      </w:r>
      <w:r w:rsidR="007F56D6">
        <w:rPr>
          <w:rFonts w:cs="Times New Roman"/>
        </w:rPr>
        <w:t xml:space="preserve">, </w:t>
      </w:r>
      <w:r w:rsidR="00937727">
        <w:rPr>
          <w:rFonts w:cs="Times New Roman"/>
        </w:rPr>
        <w:t xml:space="preserve">Roger Sherman, </w:t>
      </w:r>
      <w:r w:rsidR="007F56D6" w:rsidRPr="007F56D6">
        <w:rPr>
          <w:rFonts w:cs="Times New Roman"/>
        </w:rPr>
        <w:t>Michael Smith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Jeff Steinberg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Joel Taubenblatt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Peter Trachtenberg</w:t>
      </w:r>
      <w:r w:rsidR="007F56D6">
        <w:rPr>
          <w:rFonts w:cs="Times New Roman"/>
        </w:rPr>
        <w:t xml:space="preserve">, and </w:t>
      </w:r>
      <w:r w:rsidR="007F56D6" w:rsidRPr="007F56D6">
        <w:rPr>
          <w:rFonts w:cs="Times New Roman"/>
        </w:rPr>
        <w:t>Morasha Younger</w:t>
      </w:r>
      <w:r w:rsidR="007F56D6">
        <w:rPr>
          <w:rFonts w:cs="Times New Roman"/>
        </w:rPr>
        <w:t xml:space="preserve">.  </w:t>
      </w:r>
      <w:r w:rsidR="002B5732">
        <w:rPr>
          <w:rFonts w:cs="Times New Roman"/>
        </w:rPr>
        <w:t>I also want to</w:t>
      </w:r>
      <w:r w:rsidR="005C7433">
        <w:rPr>
          <w:rFonts w:cs="Times New Roman"/>
        </w:rPr>
        <w:t xml:space="preserve"> acknowledge the </w:t>
      </w:r>
      <w:r w:rsidR="00205152">
        <w:rPr>
          <w:rFonts w:cs="Times New Roman"/>
        </w:rPr>
        <w:t xml:space="preserve">dedicated efforts </w:t>
      </w:r>
      <w:r w:rsidR="005C7433">
        <w:rPr>
          <w:rFonts w:cs="Times New Roman"/>
        </w:rPr>
        <w:t>that PCIA</w:t>
      </w:r>
      <w:r w:rsidR="00606E45">
        <w:rPr>
          <w:rFonts w:cs="Times New Roman"/>
        </w:rPr>
        <w:t>, CTIA</w:t>
      </w:r>
      <w:r w:rsidR="00205152">
        <w:rPr>
          <w:rFonts w:cs="Times New Roman"/>
        </w:rPr>
        <w:t>,</w:t>
      </w:r>
      <w:r w:rsidR="005C7433">
        <w:rPr>
          <w:rFonts w:cs="Times New Roman"/>
        </w:rPr>
        <w:t xml:space="preserve"> and </w:t>
      </w:r>
      <w:r w:rsidR="00205152">
        <w:rPr>
          <w:rFonts w:cs="Times New Roman"/>
        </w:rPr>
        <w:t xml:space="preserve">many players in </w:t>
      </w:r>
      <w:r w:rsidR="005C7433">
        <w:rPr>
          <w:rFonts w:cs="Times New Roman"/>
        </w:rPr>
        <w:t xml:space="preserve">the infrastructure industry have made to bring these issues to the fore.  Finding ways to </w:t>
      </w:r>
      <w:r w:rsidR="00205152">
        <w:rPr>
          <w:rFonts w:cs="Times New Roman"/>
        </w:rPr>
        <w:t xml:space="preserve">make it easier to deploy </w:t>
      </w:r>
      <w:r w:rsidR="002B5732">
        <w:rPr>
          <w:rFonts w:cs="Times New Roman"/>
        </w:rPr>
        <w:t>wireless infrastructure</w:t>
      </w:r>
      <w:r w:rsidR="005C7433">
        <w:rPr>
          <w:rFonts w:cs="Times New Roman"/>
        </w:rPr>
        <w:t xml:space="preserve"> is not the </w:t>
      </w:r>
      <w:r w:rsidR="00645525">
        <w:rPr>
          <w:rFonts w:cs="Times New Roman"/>
        </w:rPr>
        <w:t xml:space="preserve">easiest </w:t>
      </w:r>
      <w:r w:rsidR="005C7433">
        <w:rPr>
          <w:rFonts w:cs="Times New Roman"/>
        </w:rPr>
        <w:t xml:space="preserve">of tasks, but it is essential </w:t>
      </w:r>
      <w:r w:rsidR="007C4D35">
        <w:rPr>
          <w:rFonts w:cs="Times New Roman"/>
        </w:rPr>
        <w:t xml:space="preserve">so that all Americans can enjoy the benefits of </w:t>
      </w:r>
      <w:r w:rsidR="00F205A7">
        <w:rPr>
          <w:rFonts w:cs="Times New Roman"/>
        </w:rPr>
        <w:t xml:space="preserve">wireless </w:t>
      </w:r>
      <w:r w:rsidR="00205152">
        <w:rPr>
          <w:rFonts w:cs="Times New Roman"/>
        </w:rPr>
        <w:t>broadband</w:t>
      </w:r>
      <w:r w:rsidR="002B5732">
        <w:rPr>
          <w:rFonts w:cs="Times New Roman"/>
        </w:rPr>
        <w:t>.</w:t>
      </w:r>
    </w:p>
    <w:sectPr w:rsidR="009F72B4" w:rsidRPr="002B5732" w:rsidSect="00B95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6A34E" w14:textId="77777777" w:rsidR="00FB6743" w:rsidRDefault="00FB6743" w:rsidP="005C7433">
      <w:pPr>
        <w:spacing w:after="0"/>
      </w:pPr>
      <w:r>
        <w:separator/>
      </w:r>
    </w:p>
  </w:endnote>
  <w:endnote w:type="continuationSeparator" w:id="0">
    <w:p w14:paraId="31CFBA5C" w14:textId="77777777" w:rsidR="00FB6743" w:rsidRDefault="00FB6743" w:rsidP="005C7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C629" w14:textId="77777777" w:rsidR="00DF2B07" w:rsidRDefault="00DF2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669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B4DC0" w14:textId="77777777" w:rsidR="00110BBC" w:rsidRPr="00B2317D" w:rsidRDefault="00110BBC">
        <w:pPr>
          <w:pStyle w:val="Footer"/>
          <w:jc w:val="center"/>
          <w:rPr>
            <w:rFonts w:ascii="Times New Roman" w:hAnsi="Times New Roman" w:cs="Times New Roman"/>
          </w:rPr>
        </w:pPr>
        <w:r w:rsidRPr="00B2317D">
          <w:rPr>
            <w:rFonts w:ascii="Times New Roman" w:hAnsi="Times New Roman" w:cs="Times New Roman"/>
          </w:rPr>
          <w:fldChar w:fldCharType="begin"/>
        </w:r>
        <w:r w:rsidRPr="00B2317D">
          <w:rPr>
            <w:rFonts w:ascii="Times New Roman" w:hAnsi="Times New Roman" w:cs="Times New Roman"/>
          </w:rPr>
          <w:instrText xml:space="preserve"> PAGE   \* MERGEFORMAT </w:instrText>
        </w:r>
        <w:r w:rsidRPr="00B2317D">
          <w:rPr>
            <w:rFonts w:ascii="Times New Roman" w:hAnsi="Times New Roman" w:cs="Times New Roman"/>
          </w:rPr>
          <w:fldChar w:fldCharType="separate"/>
        </w:r>
        <w:r w:rsidR="00B31039">
          <w:rPr>
            <w:rFonts w:ascii="Times New Roman" w:hAnsi="Times New Roman" w:cs="Times New Roman"/>
            <w:noProof/>
          </w:rPr>
          <w:t>2</w:t>
        </w:r>
        <w:r w:rsidRPr="00B2317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529ECF" w14:textId="77777777" w:rsidR="00110BBC" w:rsidRPr="00B2317D" w:rsidRDefault="00110BB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FBEF" w14:textId="77777777" w:rsidR="00DF2B07" w:rsidRDefault="00DF2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0FAD" w14:textId="77777777" w:rsidR="00FB6743" w:rsidRDefault="00FB6743" w:rsidP="005C7433">
      <w:pPr>
        <w:spacing w:after="0"/>
      </w:pPr>
      <w:r>
        <w:separator/>
      </w:r>
    </w:p>
  </w:footnote>
  <w:footnote w:type="continuationSeparator" w:id="0">
    <w:p w14:paraId="63C03663" w14:textId="77777777" w:rsidR="00FB6743" w:rsidRDefault="00FB6743" w:rsidP="005C7433">
      <w:pPr>
        <w:spacing w:after="0"/>
      </w:pPr>
      <w:r>
        <w:continuationSeparator/>
      </w:r>
    </w:p>
  </w:footnote>
  <w:footnote w:id="1">
    <w:p w14:paraId="72332F60" w14:textId="77777777" w:rsidR="00110BBC" w:rsidRPr="00B2317D" w:rsidRDefault="00110BBC" w:rsidP="00EA2BC9">
      <w:pPr>
        <w:pStyle w:val="FootnoteText"/>
        <w:rPr>
          <w:rFonts w:cs="Times New Roman"/>
        </w:rPr>
      </w:pPr>
      <w:r w:rsidRPr="00B2317D">
        <w:rPr>
          <w:rStyle w:val="FootnoteReference"/>
          <w:rFonts w:cs="Times New Roman"/>
        </w:rPr>
        <w:footnoteRef/>
      </w:r>
      <w:r w:rsidRPr="00B2317D">
        <w:rPr>
          <w:rFonts w:cs="Times New Roman"/>
        </w:rPr>
        <w:t xml:space="preserve"> </w:t>
      </w:r>
      <w:r w:rsidRPr="00B2317D">
        <w:rPr>
          <w:rFonts w:cs="Times New Roman"/>
          <w:i/>
        </w:rPr>
        <w:t>See</w:t>
      </w:r>
      <w:r>
        <w:rPr>
          <w:rFonts w:cs="Times New Roman"/>
        </w:rPr>
        <w:t xml:space="preserve"> Remarks o</w:t>
      </w:r>
      <w:r w:rsidRPr="00B2317D">
        <w:rPr>
          <w:rFonts w:cs="Times New Roman"/>
        </w:rPr>
        <w:t xml:space="preserve">f Commissioner Ajit Pai </w:t>
      </w:r>
      <w:r>
        <w:rPr>
          <w:rFonts w:cs="Times New Roman"/>
        </w:rPr>
        <w:t xml:space="preserve">at CTIA’s MobileCon (2012), </w:t>
      </w:r>
      <w:r w:rsidRPr="00B2317D">
        <w:rPr>
          <w:rFonts w:cs="Times New Roman"/>
        </w:rPr>
        <w:t>http://go.usa.gov/wMG9</w:t>
      </w:r>
      <w:r>
        <w:rPr>
          <w:rFonts w:cs="Times New Roman"/>
        </w:rPr>
        <w:t>.</w:t>
      </w:r>
    </w:p>
  </w:footnote>
  <w:footnote w:id="2">
    <w:p w14:paraId="30AD769A" w14:textId="77777777" w:rsidR="00110BBC" w:rsidRDefault="00110BBC" w:rsidP="00606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69BE">
        <w:rPr>
          <w:i/>
        </w:rPr>
        <w:t>See</w:t>
      </w:r>
      <w:r>
        <w:t xml:space="preserve"> Remarks of Commissioner Ajit Pai at PCIA’s 2014 Wireless Infrastructure Show (2014), </w:t>
      </w:r>
      <w:r w:rsidRPr="008169BE">
        <w:t>https://apps.fcc.gov/edocs_public/attachmatch/DOC-327172A1.pdf</w:t>
      </w:r>
      <w:r>
        <w:t>.</w:t>
      </w:r>
    </w:p>
  </w:footnote>
  <w:footnote w:id="3">
    <w:p w14:paraId="09ABCE30" w14:textId="77777777" w:rsidR="00110BBC" w:rsidRPr="005C7433" w:rsidRDefault="00110BBC" w:rsidP="005C7433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C7433">
        <w:rPr>
          <w:rFonts w:cs="Times New Roman"/>
        </w:rPr>
        <w:t>Alan Pearce, Ph.D., J. Richard Carlson, MBA, Michael Pagano, Ph.D.,</w:t>
      </w:r>
      <w:r>
        <w:rPr>
          <w:rFonts w:cs="Times New Roman"/>
        </w:rPr>
        <w:t xml:space="preserve"> </w:t>
      </w:r>
      <w:r w:rsidRPr="00E202A6">
        <w:rPr>
          <w:rFonts w:cs="Times New Roman"/>
          <w:i/>
        </w:rPr>
        <w:t>Wireless Broadband Infrastructure: A Catalyst For GDP And Job Growth 2013–2017</w:t>
      </w:r>
      <w:r>
        <w:rPr>
          <w:rFonts w:cs="Times New Roman"/>
        </w:rPr>
        <w:t xml:space="preserve"> </w:t>
      </w:r>
      <w:r w:rsidRPr="005C7433">
        <w:rPr>
          <w:rFonts w:cs="Times New Roman"/>
        </w:rPr>
        <w:t>(Sept.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532E" w14:textId="77777777" w:rsidR="00DF2B07" w:rsidRDefault="00DF2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7295" w14:textId="77777777" w:rsidR="00DF2B07" w:rsidRDefault="00DF2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8B2F" w14:textId="77777777" w:rsidR="00DF2B07" w:rsidRDefault="00DF2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CE1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66E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6CFC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0A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665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F42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504F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26F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5A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D4"/>
    <w:rsid w:val="00014186"/>
    <w:rsid w:val="000275E3"/>
    <w:rsid w:val="00053CE0"/>
    <w:rsid w:val="000C2DD4"/>
    <w:rsid w:val="000C7195"/>
    <w:rsid w:val="000E10CF"/>
    <w:rsid w:val="00102E6A"/>
    <w:rsid w:val="00110BBC"/>
    <w:rsid w:val="001B2585"/>
    <w:rsid w:val="001D53B0"/>
    <w:rsid w:val="00205152"/>
    <w:rsid w:val="0025009F"/>
    <w:rsid w:val="002B4901"/>
    <w:rsid w:val="002B5732"/>
    <w:rsid w:val="00307F98"/>
    <w:rsid w:val="00357185"/>
    <w:rsid w:val="00380A1F"/>
    <w:rsid w:val="003B2EEC"/>
    <w:rsid w:val="00466F06"/>
    <w:rsid w:val="00485E2B"/>
    <w:rsid w:val="004B2B8F"/>
    <w:rsid w:val="005307AC"/>
    <w:rsid w:val="00597439"/>
    <w:rsid w:val="005A11E3"/>
    <w:rsid w:val="005C7433"/>
    <w:rsid w:val="00606E45"/>
    <w:rsid w:val="00645525"/>
    <w:rsid w:val="00673172"/>
    <w:rsid w:val="00691E57"/>
    <w:rsid w:val="006F09B1"/>
    <w:rsid w:val="007108B4"/>
    <w:rsid w:val="007345C1"/>
    <w:rsid w:val="007C4D35"/>
    <w:rsid w:val="007E368F"/>
    <w:rsid w:val="007F56D6"/>
    <w:rsid w:val="008148D1"/>
    <w:rsid w:val="008169BE"/>
    <w:rsid w:val="00860FAD"/>
    <w:rsid w:val="008F005D"/>
    <w:rsid w:val="00912121"/>
    <w:rsid w:val="00937727"/>
    <w:rsid w:val="009A30A0"/>
    <w:rsid w:val="009F72B4"/>
    <w:rsid w:val="00A268DA"/>
    <w:rsid w:val="00A82DEA"/>
    <w:rsid w:val="00A848F4"/>
    <w:rsid w:val="00AD701E"/>
    <w:rsid w:val="00AE44BC"/>
    <w:rsid w:val="00B31039"/>
    <w:rsid w:val="00B952D2"/>
    <w:rsid w:val="00BC341D"/>
    <w:rsid w:val="00C01205"/>
    <w:rsid w:val="00C5584B"/>
    <w:rsid w:val="00C866EA"/>
    <w:rsid w:val="00C92871"/>
    <w:rsid w:val="00CA4A4A"/>
    <w:rsid w:val="00CB0F04"/>
    <w:rsid w:val="00CC1188"/>
    <w:rsid w:val="00D62A83"/>
    <w:rsid w:val="00D71C0C"/>
    <w:rsid w:val="00D806F9"/>
    <w:rsid w:val="00DB2DC4"/>
    <w:rsid w:val="00DF2B07"/>
    <w:rsid w:val="00E202A6"/>
    <w:rsid w:val="00EA2BC9"/>
    <w:rsid w:val="00EE1A30"/>
    <w:rsid w:val="00F205A7"/>
    <w:rsid w:val="00F27B53"/>
    <w:rsid w:val="00F51D28"/>
    <w:rsid w:val="00F57F0C"/>
    <w:rsid w:val="00F6410F"/>
    <w:rsid w:val="00F66C31"/>
    <w:rsid w:val="00F73690"/>
    <w:rsid w:val="00F766A0"/>
    <w:rsid w:val="00FB6743"/>
    <w:rsid w:val="00FE50F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24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D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DD4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7433"/>
  </w:style>
  <w:style w:type="character" w:styleId="FootnoteReference">
    <w:name w:val="footnote reference"/>
    <w:basedOn w:val="DefaultParagraphFont"/>
    <w:uiPriority w:val="99"/>
    <w:semiHidden/>
    <w:unhideWhenUsed/>
    <w:rsid w:val="005C74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C7433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7433"/>
  </w:style>
  <w:style w:type="paragraph" w:styleId="BalloonText">
    <w:name w:val="Balloon Text"/>
    <w:basedOn w:val="Normal"/>
    <w:link w:val="BalloonTextChar"/>
    <w:uiPriority w:val="99"/>
    <w:semiHidden/>
    <w:unhideWhenUsed/>
    <w:rsid w:val="00AD7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45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6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06F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D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DD4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7433"/>
  </w:style>
  <w:style w:type="character" w:styleId="FootnoteReference">
    <w:name w:val="footnote reference"/>
    <w:basedOn w:val="DefaultParagraphFont"/>
    <w:uiPriority w:val="99"/>
    <w:semiHidden/>
    <w:unhideWhenUsed/>
    <w:rsid w:val="005C74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C7433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7433"/>
  </w:style>
  <w:style w:type="paragraph" w:styleId="BalloonText">
    <w:name w:val="Balloon Text"/>
    <w:basedOn w:val="Normal"/>
    <w:link w:val="BalloonTextChar"/>
    <w:uiPriority w:val="99"/>
    <w:semiHidden/>
    <w:unhideWhenUsed/>
    <w:rsid w:val="00AD7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45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6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06F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5018</Characters>
  <Application>Microsoft Office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2014-10-17T19:36:00Z</dcterms:created>
  <dcterms:modified xsi:type="dcterms:W3CDTF">2014-10-17T19:36:00Z</dcterms:modified>
  <cp:category> </cp:category>
  <cp:contentStatus> </cp:contentStatus>
</cp:coreProperties>
</file>