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69415F"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November 14</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69415F" w:rsidP="00003578">
      <w:pPr>
        <w:pStyle w:val="NewHeading"/>
        <w:tabs>
          <w:tab w:val="clear" w:pos="4680"/>
        </w:tabs>
        <w:spacing w:line="240" w:lineRule="auto"/>
        <w:rPr>
          <w:rFonts w:ascii="Times New Roman" w:hAnsi="Times New Roman"/>
        </w:rPr>
      </w:pPr>
      <w:r>
        <w:rPr>
          <w:rFonts w:ascii="Times New Roman" w:hAnsi="Times New Roman"/>
        </w:rPr>
        <w:t>FRIDAY</w:t>
      </w:r>
      <w:r w:rsidR="006213D9">
        <w:rPr>
          <w:rFonts w:ascii="Times New Roman" w:hAnsi="Times New Roman"/>
        </w:rPr>
        <w:t>,</w:t>
      </w:r>
      <w:r>
        <w:rPr>
          <w:rFonts w:ascii="Times New Roman" w:hAnsi="Times New Roman"/>
        </w:rPr>
        <w:t xml:space="preserve"> NOVEMBER 21,</w:t>
      </w:r>
      <w:r w:rsidR="006213D9">
        <w:rPr>
          <w:rFonts w:ascii="Times New Roman" w:hAnsi="Times New Roman"/>
        </w:rPr>
        <w:t xml:space="preserve"> 2014</w:t>
      </w:r>
    </w:p>
    <w:p w:rsidR="00CB2E02" w:rsidRDefault="00CB2E02" w:rsidP="00003578">
      <w:pPr>
        <w:pStyle w:val="NewHeading"/>
        <w:tabs>
          <w:tab w:val="clear" w:pos="4680"/>
        </w:tabs>
        <w:spacing w:line="240" w:lineRule="auto"/>
        <w:rPr>
          <w:rFonts w:ascii="Times New Roman" w:hAnsi="Times New Roman"/>
        </w:rPr>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1B3E8F">
        <w:t>Friday, November 21</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045391">
        <w:t xml:space="preserve">  </w:t>
      </w: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982102">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6D734F" w:rsidRPr="008F3544" w:rsidRDefault="00CB2E02" w:rsidP="00C94438">
            <w:pPr>
              <w:tabs>
                <w:tab w:val="left" w:pos="-720"/>
              </w:tabs>
              <w:suppressAutoHyphens/>
              <w:spacing w:before="90" w:after="54"/>
              <w:jc w:val="center"/>
              <w:rPr>
                <w:rFonts w:ascii="Times New Roman" w:hAnsi="Times New Roman"/>
                <w:b/>
                <w:sz w:val="16"/>
                <w:szCs w:val="16"/>
                <w:u w:val="single"/>
              </w:rPr>
            </w:pPr>
            <w:r>
              <w:rPr>
                <w:rFonts w:ascii="Times New Roman" w:hAnsi="Times New Roman"/>
                <w:b/>
                <w:u w:val="single"/>
              </w:rPr>
              <w:t>SUBJECT</w:t>
            </w:r>
          </w:p>
        </w:tc>
      </w:tr>
      <w:tr w:rsidR="00982102" w:rsidTr="00F61DA7">
        <w:trPr>
          <w:trHeight w:val="1108"/>
        </w:trPr>
        <w:tc>
          <w:tcPr>
            <w:tcW w:w="1620" w:type="dxa"/>
          </w:tcPr>
          <w:p w:rsidR="00982102" w:rsidRDefault="00982102" w:rsidP="00F61DA7">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982102" w:rsidRDefault="00534CC2" w:rsidP="00F61DA7">
            <w:pPr>
              <w:widowControl/>
              <w:suppressAutoHyphens/>
              <w:autoSpaceDE/>
              <w:autoSpaceDN/>
              <w:adjustRightInd/>
              <w:spacing w:before="120"/>
              <w:jc w:val="center"/>
              <w:rPr>
                <w:rFonts w:ascii="Times New Roman" w:hAnsi="Times New Roman"/>
                <w:b/>
                <w:caps/>
              </w:rPr>
            </w:pPr>
            <w:r>
              <w:rPr>
                <w:rFonts w:ascii="Times New Roman" w:hAnsi="Times New Roman"/>
                <w:b/>
                <w:caps/>
              </w:rPr>
              <w:t>MEDIA</w:t>
            </w:r>
          </w:p>
          <w:p w:rsidR="00534CC2" w:rsidRDefault="00534CC2" w:rsidP="00F61DA7">
            <w:pPr>
              <w:widowControl/>
              <w:suppressAutoHyphens/>
              <w:autoSpaceDE/>
              <w:autoSpaceDN/>
              <w:adjustRightInd/>
              <w:spacing w:before="120"/>
              <w:jc w:val="center"/>
              <w:rPr>
                <w:rFonts w:ascii="Times New Roman" w:hAnsi="Times New Roman"/>
                <w:b/>
              </w:rPr>
            </w:pPr>
          </w:p>
        </w:tc>
        <w:tc>
          <w:tcPr>
            <w:tcW w:w="5107" w:type="dxa"/>
          </w:tcPr>
          <w:p w:rsidR="00982102" w:rsidRPr="003B10B3" w:rsidRDefault="00982102" w:rsidP="00F61DA7">
            <w:pPr>
              <w:widowControl/>
              <w:tabs>
                <w:tab w:val="left" w:pos="-720"/>
              </w:tabs>
              <w:suppressAutoHyphens/>
              <w:autoSpaceDE/>
              <w:adjustRightInd/>
              <w:spacing w:before="120"/>
              <w:rPr>
                <w:rFonts w:ascii="Times New Roman" w:hAnsi="Times New Roman"/>
              </w:rPr>
            </w:pPr>
            <w:r>
              <w:rPr>
                <w:rFonts w:ascii="Times New Roman" w:hAnsi="Times New Roman"/>
                <w:b/>
              </w:rPr>
              <w:t>TITLE</w:t>
            </w:r>
            <w:r w:rsidRPr="00101375">
              <w:rPr>
                <w:rFonts w:ascii="Times New Roman" w:hAnsi="Times New Roman"/>
                <w:b/>
              </w:rPr>
              <w:t>:</w:t>
            </w:r>
            <w:r>
              <w:rPr>
                <w:rFonts w:ascii="Times New Roman" w:hAnsi="Times New Roman"/>
                <w:b/>
              </w:rPr>
              <w:t xml:space="preserve">  </w:t>
            </w:r>
            <w:r w:rsidR="00DC4842">
              <w:rPr>
                <w:rFonts w:ascii="Times New Roman" w:hAnsi="Times New Roman"/>
              </w:rPr>
              <w:t>Amendment of Section 73.1216 of the Commission’s Rules Related to Broadcast Licensee-Conducted Contests</w:t>
            </w:r>
          </w:p>
          <w:p w:rsidR="00C94438" w:rsidRDefault="00982102" w:rsidP="00123A57">
            <w:pPr>
              <w:widowControl/>
              <w:tabs>
                <w:tab w:val="left" w:pos="-720"/>
              </w:tabs>
              <w:suppressAutoHyphens/>
              <w:autoSpaceDE/>
              <w:adjustRightInd/>
              <w:spacing w:before="120"/>
              <w:rPr>
                <w:rFonts w:ascii="Times New Roman" w:hAnsi="Times New Roman"/>
                <w:b/>
              </w:rPr>
            </w:pPr>
            <w:r w:rsidRPr="00054CFC">
              <w:rPr>
                <w:rFonts w:ascii="Times New Roman" w:hAnsi="Times New Roman"/>
                <w:b/>
              </w:rPr>
              <w:t xml:space="preserve">SUMMARY:  </w:t>
            </w:r>
            <w:r w:rsidR="00DC4842" w:rsidRPr="00054CFC">
              <w:rPr>
                <w:rFonts w:ascii="Times New Roman" w:hAnsi="Times New Roman"/>
                <w:lang w:val="en"/>
              </w:rPr>
              <w:t>The Commission will consider a Notice of Proposed Rulemaking to provide broadcasters greater flexibility in their disclosure of contest terms</w:t>
            </w:r>
            <w:r w:rsidR="00BE21B3" w:rsidRPr="00054CFC">
              <w:rPr>
                <w:rFonts w:ascii="Times New Roman" w:hAnsi="Times New Roman"/>
                <w:lang w:val="en"/>
              </w:rPr>
              <w:t xml:space="preserve">. </w:t>
            </w:r>
          </w:p>
        </w:tc>
      </w:tr>
      <w:tr w:rsidR="00982102" w:rsidTr="00F61DA7">
        <w:trPr>
          <w:trHeight w:val="1108"/>
        </w:trPr>
        <w:tc>
          <w:tcPr>
            <w:tcW w:w="1620" w:type="dxa"/>
          </w:tcPr>
          <w:p w:rsidR="00982102" w:rsidRDefault="00982102" w:rsidP="00F61DA7">
            <w:pPr>
              <w:suppressAutoHyphens/>
              <w:spacing w:before="120"/>
              <w:jc w:val="center"/>
              <w:rPr>
                <w:rFonts w:ascii="Times New Roman" w:hAnsi="Times New Roman"/>
                <w:b/>
              </w:rPr>
            </w:pPr>
            <w:r>
              <w:rPr>
                <w:rFonts w:ascii="Times New Roman" w:hAnsi="Times New Roman"/>
                <w:b/>
              </w:rPr>
              <w:t>2</w:t>
            </w:r>
          </w:p>
          <w:p w:rsidR="00982102" w:rsidRPr="00DC2463" w:rsidRDefault="00982102" w:rsidP="00F61DA7">
            <w:pPr>
              <w:rPr>
                <w:rFonts w:ascii="Times New Roman" w:hAnsi="Times New Roman"/>
              </w:rPr>
            </w:pPr>
          </w:p>
          <w:p w:rsidR="00982102" w:rsidRPr="00DC2463" w:rsidRDefault="00982102" w:rsidP="00F61DA7">
            <w:pPr>
              <w:rPr>
                <w:rFonts w:ascii="Times New Roman" w:hAnsi="Times New Roman"/>
              </w:rPr>
            </w:pPr>
          </w:p>
          <w:p w:rsidR="00982102" w:rsidRPr="00DC2463" w:rsidRDefault="00982102" w:rsidP="00F61DA7">
            <w:pPr>
              <w:rPr>
                <w:rFonts w:ascii="Times New Roman" w:hAnsi="Times New Roman"/>
              </w:rPr>
            </w:pPr>
          </w:p>
          <w:p w:rsidR="00982102" w:rsidRPr="00DC2463" w:rsidRDefault="00982102" w:rsidP="00F61DA7">
            <w:pPr>
              <w:rPr>
                <w:rFonts w:ascii="Times New Roman" w:hAnsi="Times New Roman"/>
              </w:rPr>
            </w:pPr>
          </w:p>
          <w:p w:rsidR="00982102" w:rsidRPr="00DC2463" w:rsidRDefault="00982102" w:rsidP="00F61DA7">
            <w:pPr>
              <w:rPr>
                <w:rFonts w:ascii="Times New Roman" w:hAnsi="Times New Roman"/>
              </w:rPr>
            </w:pPr>
          </w:p>
          <w:p w:rsidR="00982102" w:rsidRDefault="00982102" w:rsidP="00F61DA7">
            <w:pPr>
              <w:rPr>
                <w:rFonts w:ascii="Times New Roman" w:hAnsi="Times New Roman"/>
              </w:rPr>
            </w:pPr>
          </w:p>
          <w:p w:rsidR="00982102" w:rsidRPr="00DC2463" w:rsidRDefault="00982102" w:rsidP="00F61DA7">
            <w:pPr>
              <w:jc w:val="center"/>
              <w:rPr>
                <w:rFonts w:ascii="Times New Roman" w:hAnsi="Times New Roman"/>
              </w:rPr>
            </w:pPr>
          </w:p>
        </w:tc>
        <w:tc>
          <w:tcPr>
            <w:tcW w:w="2813" w:type="dxa"/>
          </w:tcPr>
          <w:p w:rsidR="00982102" w:rsidRDefault="00A25889" w:rsidP="00A25889">
            <w:pPr>
              <w:widowControl/>
              <w:suppressAutoHyphens/>
              <w:autoSpaceDE/>
              <w:autoSpaceDN/>
              <w:adjustRightInd/>
              <w:spacing w:before="120" w:after="120"/>
              <w:jc w:val="center"/>
              <w:rPr>
                <w:rFonts w:ascii="Times New Roman" w:hAnsi="Times New Roman"/>
                <w:b/>
              </w:rPr>
            </w:pPr>
            <w:r>
              <w:rPr>
                <w:rFonts w:ascii="Times New Roman" w:hAnsi="Times New Roman"/>
                <w:b/>
              </w:rPr>
              <w:t xml:space="preserve">WIRELINE COMPETITION </w:t>
            </w:r>
          </w:p>
        </w:tc>
        <w:tc>
          <w:tcPr>
            <w:tcW w:w="5107" w:type="dxa"/>
          </w:tcPr>
          <w:p w:rsidR="00C94438" w:rsidRDefault="00982102" w:rsidP="00DF136E">
            <w:pPr>
              <w:widowControl/>
              <w:tabs>
                <w:tab w:val="left" w:pos="-720"/>
              </w:tabs>
              <w:suppressAutoHyphens/>
              <w:autoSpaceDE/>
              <w:adjustRightInd/>
              <w:spacing w:before="120"/>
              <w:rPr>
                <w:rFonts w:ascii="Times New Roman" w:hAnsi="Times New Roman"/>
              </w:rPr>
            </w:pPr>
            <w:r>
              <w:rPr>
                <w:rFonts w:ascii="Times New Roman" w:hAnsi="Times New Roman"/>
                <w:b/>
              </w:rPr>
              <w:t>TITLE</w:t>
            </w:r>
            <w:r w:rsidRPr="00101375">
              <w:rPr>
                <w:rFonts w:ascii="Times New Roman" w:hAnsi="Times New Roman"/>
                <w:b/>
              </w:rPr>
              <w:t>:</w:t>
            </w:r>
            <w:r w:rsidR="00DF136E">
              <w:rPr>
                <w:rFonts w:ascii="Times New Roman" w:hAnsi="Times New Roman"/>
                <w:b/>
              </w:rPr>
              <w:t xml:space="preserve">  </w:t>
            </w:r>
            <w:r w:rsidR="00054CFC">
              <w:rPr>
                <w:rFonts w:ascii="Times New Roman" w:hAnsi="Times New Roman"/>
              </w:rPr>
              <w:t xml:space="preserve">Ensuring Customer Premises Equipment Backup Power for Continuity of Communications (PS Docket No. 14-174); </w:t>
            </w:r>
            <w:r w:rsidR="00DF136E">
              <w:rPr>
                <w:rFonts w:ascii="Times New Roman" w:hAnsi="Times New Roman"/>
              </w:rPr>
              <w:t xml:space="preserve">Technology Transitions (GN Docket No. 13-5); </w:t>
            </w:r>
            <w:r w:rsidR="00054CFC" w:rsidRPr="00054CFC">
              <w:rPr>
                <w:rFonts w:ascii="Times New Roman" w:hAnsi="Times New Roman"/>
              </w:rPr>
              <w:t>Amendment of Certain of the Commission’s Part 1 Rules of Practice and Procedure and Part 0 Rules of Commission Organization</w:t>
            </w:r>
            <w:r w:rsidR="00054CFC">
              <w:rPr>
                <w:rFonts w:ascii="Times New Roman" w:hAnsi="Times New Roman"/>
              </w:rPr>
              <w:t xml:space="preserve"> (GC Docket No. 10-44); Policies and Rules Governing Retirement of Copper Loops by Incumbent Local Exchange Carriers (RM-11358); and </w:t>
            </w:r>
            <w:r w:rsidR="00DF136E">
              <w:rPr>
                <w:rFonts w:ascii="Times New Roman" w:hAnsi="Times New Roman"/>
              </w:rPr>
              <w:t>Special Access for Price Cap Local Exchange Carriers (WC Docket No. 05-25)</w:t>
            </w:r>
          </w:p>
          <w:p w:rsidR="00C94438" w:rsidRDefault="00982102" w:rsidP="00123A57">
            <w:pPr>
              <w:widowControl/>
              <w:tabs>
                <w:tab w:val="left" w:pos="-720"/>
              </w:tabs>
              <w:suppressAutoHyphens/>
              <w:autoSpaceDE/>
              <w:adjustRightInd/>
              <w:spacing w:before="120"/>
              <w:rPr>
                <w:rFonts w:ascii="Times New Roman" w:hAnsi="Times New Roman"/>
                <w:b/>
              </w:rPr>
            </w:pPr>
            <w:r>
              <w:rPr>
                <w:rFonts w:ascii="Times New Roman" w:hAnsi="Times New Roman"/>
                <w:b/>
              </w:rPr>
              <w:t xml:space="preserve">SUMMARY:  </w:t>
            </w:r>
            <w:r w:rsidR="00022403">
              <w:rPr>
                <w:rFonts w:ascii="Times New Roman" w:hAnsi="Times New Roman"/>
              </w:rPr>
              <w:t>The Commission will consider a Notice of Proposed Rulemaking, Declaratory Ruling, and Order to facilitate the transition to next generation networks by promoting and preserving the Commission’s public safety, consumer protection, and competition goals.</w:t>
            </w:r>
          </w:p>
        </w:tc>
      </w:tr>
      <w:tr w:rsidR="00D15595" w:rsidTr="00982102">
        <w:trPr>
          <w:trHeight w:val="1108"/>
        </w:trPr>
        <w:tc>
          <w:tcPr>
            <w:tcW w:w="1620" w:type="dxa"/>
          </w:tcPr>
          <w:p w:rsidR="00D15595" w:rsidRDefault="00982102" w:rsidP="00DC2463">
            <w:pPr>
              <w:suppressAutoHyphens/>
              <w:spacing w:before="120"/>
              <w:jc w:val="center"/>
              <w:rPr>
                <w:rFonts w:ascii="Times New Roman" w:hAnsi="Times New Roman"/>
                <w:b/>
              </w:rPr>
            </w:pPr>
            <w:r>
              <w:rPr>
                <w:rFonts w:ascii="Times New Roman" w:hAnsi="Times New Roman"/>
                <w:b/>
              </w:rPr>
              <w:lastRenderedPageBreak/>
              <w:t>3</w:t>
            </w:r>
          </w:p>
        </w:tc>
        <w:tc>
          <w:tcPr>
            <w:tcW w:w="2813" w:type="dxa"/>
          </w:tcPr>
          <w:p w:rsidR="00D15595" w:rsidRDefault="00A25328" w:rsidP="00DD5931">
            <w:pPr>
              <w:widowControl/>
              <w:suppressAutoHyphens/>
              <w:autoSpaceDE/>
              <w:autoSpaceDN/>
              <w:adjustRightInd/>
              <w:spacing w:before="120"/>
              <w:jc w:val="center"/>
              <w:rPr>
                <w:rFonts w:ascii="Times New Roman" w:hAnsi="Times New Roman"/>
                <w:b/>
              </w:rPr>
            </w:pPr>
            <w:r>
              <w:rPr>
                <w:rFonts w:ascii="Times New Roman" w:hAnsi="Times New Roman"/>
                <w:b/>
              </w:rPr>
              <w:t>PUBLIC SAFETY AND HOMELAND SECURITY</w:t>
            </w:r>
          </w:p>
        </w:tc>
        <w:tc>
          <w:tcPr>
            <w:tcW w:w="5107" w:type="dxa"/>
          </w:tcPr>
          <w:p w:rsidR="008C62ED" w:rsidRPr="007C6D19" w:rsidRDefault="00D15595" w:rsidP="00460AB2">
            <w:pPr>
              <w:widowControl/>
              <w:tabs>
                <w:tab w:val="left" w:pos="-720"/>
              </w:tabs>
              <w:suppressAutoHyphens/>
              <w:autoSpaceDE/>
              <w:adjustRightInd/>
              <w:spacing w:before="120"/>
              <w:rPr>
                <w:rFonts w:ascii="Times New Roman" w:hAnsi="Times New Roman"/>
              </w:rPr>
            </w:pPr>
            <w:r w:rsidRPr="007B549C">
              <w:rPr>
                <w:rFonts w:ascii="Times New Roman" w:hAnsi="Times New Roman"/>
                <w:b/>
              </w:rPr>
              <w:t>TITLE</w:t>
            </w:r>
            <w:r w:rsidR="00DD5931">
              <w:rPr>
                <w:rFonts w:ascii="Times New Roman" w:hAnsi="Times New Roman"/>
                <w:b/>
              </w:rPr>
              <w:t xml:space="preserve">:  </w:t>
            </w:r>
            <w:r w:rsidR="00DD5931" w:rsidRPr="00DD5931">
              <w:rPr>
                <w:rFonts w:ascii="Times New Roman" w:hAnsi="Times New Roman"/>
              </w:rPr>
              <w:t>911 Governance and Accountability</w:t>
            </w:r>
            <w:r w:rsidR="00DD5931">
              <w:rPr>
                <w:rFonts w:ascii="Times New Roman" w:hAnsi="Times New Roman"/>
              </w:rPr>
              <w:t xml:space="preserve"> (PS Docket No. 14-193) and Improving 911 Reliability (PS Docket No. 13-75)</w:t>
            </w:r>
          </w:p>
          <w:p w:rsidR="00D15595" w:rsidRDefault="00D15595" w:rsidP="00B778AD">
            <w:pPr>
              <w:spacing w:before="120"/>
              <w:rPr>
                <w:rFonts w:ascii="Times New Roman" w:hAnsi="Times New Roman"/>
              </w:rPr>
            </w:pPr>
            <w:r>
              <w:rPr>
                <w:rFonts w:ascii="Times New Roman" w:hAnsi="Times New Roman"/>
                <w:b/>
                <w:bCs/>
              </w:rPr>
              <w:t>SUMMARY:</w:t>
            </w:r>
            <w:r w:rsidR="00291919">
              <w:rPr>
                <w:rFonts w:ascii="Times New Roman" w:hAnsi="Times New Roman"/>
                <w:b/>
                <w:bCs/>
              </w:rPr>
              <w:t xml:space="preserve">  </w:t>
            </w:r>
            <w:r w:rsidR="00DD5931" w:rsidRPr="00E92690">
              <w:rPr>
                <w:rFonts w:ascii="Times New Roman" w:hAnsi="Times New Roman"/>
              </w:rPr>
              <w:t>The Commission will consider a Policy Statement and Notice of Proposed Rulemaking regarding its approach to 911 governance and proposing mechanisms to ensure continued accountability for reliable 911 services as technologies evolve.</w:t>
            </w:r>
          </w:p>
        </w:tc>
      </w:tr>
      <w:tr w:rsidR="00E92690" w:rsidRPr="008E479B" w:rsidTr="00982102">
        <w:trPr>
          <w:trHeight w:val="1108"/>
        </w:trPr>
        <w:tc>
          <w:tcPr>
            <w:tcW w:w="1620" w:type="dxa"/>
          </w:tcPr>
          <w:p w:rsidR="00E92690" w:rsidRDefault="00E92690" w:rsidP="00985AC7">
            <w:pPr>
              <w:suppressAutoHyphens/>
              <w:spacing w:before="120"/>
              <w:jc w:val="center"/>
              <w:rPr>
                <w:rFonts w:ascii="Times New Roman" w:hAnsi="Times New Roman"/>
                <w:b/>
              </w:rPr>
            </w:pPr>
            <w:r>
              <w:rPr>
                <w:rFonts w:ascii="Times New Roman" w:hAnsi="Times New Roman"/>
                <w:b/>
              </w:rPr>
              <w:t>4</w:t>
            </w:r>
          </w:p>
        </w:tc>
        <w:tc>
          <w:tcPr>
            <w:tcW w:w="2813" w:type="dxa"/>
          </w:tcPr>
          <w:p w:rsidR="00E92690" w:rsidRDefault="00E92690" w:rsidP="00E92690">
            <w:pPr>
              <w:widowControl/>
              <w:suppressAutoHyphens/>
              <w:autoSpaceDE/>
              <w:autoSpaceDN/>
              <w:adjustRightInd/>
              <w:spacing w:before="120"/>
              <w:jc w:val="center"/>
              <w:rPr>
                <w:rFonts w:ascii="Times New Roman" w:hAnsi="Times New Roman"/>
                <w:b/>
              </w:rPr>
            </w:pPr>
            <w:r>
              <w:rPr>
                <w:rFonts w:ascii="Times New Roman" w:hAnsi="Times New Roman"/>
                <w:b/>
              </w:rPr>
              <w:t>INTERNATIONAL</w:t>
            </w:r>
          </w:p>
        </w:tc>
        <w:tc>
          <w:tcPr>
            <w:tcW w:w="5107" w:type="dxa"/>
          </w:tcPr>
          <w:p w:rsidR="00E92690" w:rsidRPr="007C6D19" w:rsidRDefault="00E92690" w:rsidP="00985AC7">
            <w:pPr>
              <w:widowControl/>
              <w:tabs>
                <w:tab w:val="left" w:pos="-720"/>
              </w:tabs>
              <w:suppressAutoHyphens/>
              <w:autoSpaceDE/>
              <w:adjustRightInd/>
              <w:spacing w:before="120"/>
              <w:rPr>
                <w:rFonts w:ascii="Times New Roman" w:hAnsi="Times New Roman"/>
              </w:rPr>
            </w:pPr>
            <w:r w:rsidRPr="007B549C">
              <w:rPr>
                <w:rFonts w:ascii="Times New Roman" w:hAnsi="Times New Roman"/>
                <w:b/>
              </w:rPr>
              <w:t>TITLE</w:t>
            </w:r>
            <w:r>
              <w:rPr>
                <w:rFonts w:ascii="Times New Roman" w:hAnsi="Times New Roman"/>
                <w:b/>
              </w:rPr>
              <w:t xml:space="preserve">:  </w:t>
            </w:r>
            <w:r w:rsidRPr="00E92690">
              <w:rPr>
                <w:rFonts w:ascii="Times New Roman" w:hAnsi="Times New Roman"/>
              </w:rPr>
              <w:t>ITU Plenipotentiary Conference Presentation</w:t>
            </w:r>
          </w:p>
          <w:p w:rsidR="00E92690" w:rsidRDefault="00E92690" w:rsidP="00985AC7">
            <w:pPr>
              <w:spacing w:before="120"/>
              <w:rPr>
                <w:rFonts w:ascii="Times New Roman" w:hAnsi="Times New Roman"/>
                <w:sz w:val="22"/>
                <w:szCs w:val="22"/>
              </w:rPr>
            </w:pPr>
            <w:r>
              <w:rPr>
                <w:rFonts w:ascii="Times New Roman" w:hAnsi="Times New Roman"/>
                <w:b/>
                <w:bCs/>
              </w:rPr>
              <w:t xml:space="preserve">SUMMARY:  </w:t>
            </w:r>
            <w:r w:rsidRPr="00E92690">
              <w:rPr>
                <w:rFonts w:ascii="Times New Roman" w:hAnsi="Times New Roman"/>
              </w:rPr>
              <w:t xml:space="preserve">The Commission will hear a presentation regarding the 2014 International Telecommunication Union (ITU) Plenipotentiary Conference. The presentation will include a summary of key issues addressed at the Plenipotentiary and the conference outcomes. </w:t>
            </w:r>
          </w:p>
          <w:p w:rsidR="00E92690" w:rsidRDefault="00E92690" w:rsidP="00985AC7">
            <w:pPr>
              <w:spacing w:before="120"/>
              <w:rPr>
                <w:rFonts w:ascii="Times New Roman" w:hAnsi="Times New Roman"/>
              </w:rPr>
            </w:pPr>
          </w:p>
        </w:tc>
      </w:tr>
    </w:tbl>
    <w:bookmarkEnd w:id="1"/>
    <w:bookmarkEnd w:id="2"/>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58" w:rsidRDefault="00B13258">
      <w:r>
        <w:separator/>
      </w:r>
    </w:p>
  </w:endnote>
  <w:endnote w:type="continuationSeparator" w:id="0">
    <w:p w:rsidR="00B13258" w:rsidRDefault="00B1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568">
      <w:rPr>
        <w:rStyle w:val="PageNumber"/>
        <w:noProof/>
      </w:rPr>
      <w:t>2</w:t>
    </w:r>
    <w:r>
      <w:rPr>
        <w:rStyle w:val="PageNumber"/>
      </w:rPr>
      <w:fldChar w:fldCharType="end"/>
    </w:r>
  </w:p>
  <w:p w:rsidR="00DC2463" w:rsidRDefault="00DC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C24">
      <w:rPr>
        <w:rStyle w:val="PageNumber"/>
        <w:noProof/>
      </w:rPr>
      <w:t>2</w:t>
    </w:r>
    <w:r>
      <w:rPr>
        <w:rStyle w:val="PageNumber"/>
      </w:rPr>
      <w:fldChar w:fldCharType="end"/>
    </w:r>
  </w:p>
  <w:p w:rsidR="00DC2463" w:rsidRDefault="00DC2463">
    <w:pPr>
      <w:spacing w:before="140" w:line="100" w:lineRule="exact"/>
      <w:rPr>
        <w:sz w:val="10"/>
      </w:rPr>
    </w:pPr>
  </w:p>
  <w:p w:rsidR="00DC2463" w:rsidRDefault="00DC2463">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4320"/>
      </w:tabs>
      <w:suppressAutoHyphens/>
      <w:spacing w:line="160" w:lineRule="exact"/>
      <w:ind w:left="4320" w:hanging="4320"/>
      <w:rPr>
        <w:sz w:val="14"/>
      </w:rPr>
    </w:pPr>
  </w:p>
  <w:p w:rsidR="00DC2463" w:rsidRDefault="00DC246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58" w:rsidRDefault="00B13258">
      <w:r>
        <w:separator/>
      </w:r>
    </w:p>
  </w:footnote>
  <w:footnote w:type="continuationSeparator" w:id="0">
    <w:p w:rsidR="00B13258" w:rsidRDefault="00B13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68" w:rsidRDefault="001D6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68" w:rsidRDefault="001D6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463" w:rsidRDefault="00DC2463">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DC2463" w:rsidRDefault="00DC2463">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DC2463" w:rsidRDefault="00DC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2403"/>
    <w:rsid w:val="00024298"/>
    <w:rsid w:val="00031F33"/>
    <w:rsid w:val="000333C2"/>
    <w:rsid w:val="00045391"/>
    <w:rsid w:val="00045F87"/>
    <w:rsid w:val="00054CFC"/>
    <w:rsid w:val="00073F8E"/>
    <w:rsid w:val="00074CA3"/>
    <w:rsid w:val="000807DA"/>
    <w:rsid w:val="000824A0"/>
    <w:rsid w:val="000956CF"/>
    <w:rsid w:val="000B04C7"/>
    <w:rsid w:val="000B2C24"/>
    <w:rsid w:val="000B4783"/>
    <w:rsid w:val="000B5CB5"/>
    <w:rsid w:val="000B6037"/>
    <w:rsid w:val="000C478D"/>
    <w:rsid w:val="000C4B9D"/>
    <w:rsid w:val="000C4EF8"/>
    <w:rsid w:val="000D30B2"/>
    <w:rsid w:val="000D4234"/>
    <w:rsid w:val="000D7358"/>
    <w:rsid w:val="000E3458"/>
    <w:rsid w:val="000F182B"/>
    <w:rsid w:val="000F61AF"/>
    <w:rsid w:val="000F7905"/>
    <w:rsid w:val="00101375"/>
    <w:rsid w:val="00101C45"/>
    <w:rsid w:val="0010457A"/>
    <w:rsid w:val="00111447"/>
    <w:rsid w:val="00114045"/>
    <w:rsid w:val="00115DCC"/>
    <w:rsid w:val="001170E6"/>
    <w:rsid w:val="00121A6F"/>
    <w:rsid w:val="00123A57"/>
    <w:rsid w:val="00123AE7"/>
    <w:rsid w:val="00140014"/>
    <w:rsid w:val="00143345"/>
    <w:rsid w:val="00152186"/>
    <w:rsid w:val="00154B70"/>
    <w:rsid w:val="001557E8"/>
    <w:rsid w:val="001571DD"/>
    <w:rsid w:val="001629AD"/>
    <w:rsid w:val="00163933"/>
    <w:rsid w:val="001710AB"/>
    <w:rsid w:val="00194AD5"/>
    <w:rsid w:val="001A1829"/>
    <w:rsid w:val="001A6B16"/>
    <w:rsid w:val="001B092B"/>
    <w:rsid w:val="001B2278"/>
    <w:rsid w:val="001B3C5D"/>
    <w:rsid w:val="001B3E8F"/>
    <w:rsid w:val="001B48CB"/>
    <w:rsid w:val="001B4F70"/>
    <w:rsid w:val="001B5D7D"/>
    <w:rsid w:val="001C106A"/>
    <w:rsid w:val="001C1DE3"/>
    <w:rsid w:val="001D00B7"/>
    <w:rsid w:val="001D6568"/>
    <w:rsid w:val="001E2261"/>
    <w:rsid w:val="001F2F06"/>
    <w:rsid w:val="001F3E2D"/>
    <w:rsid w:val="001F61DC"/>
    <w:rsid w:val="00201051"/>
    <w:rsid w:val="00201256"/>
    <w:rsid w:val="00201A54"/>
    <w:rsid w:val="00207529"/>
    <w:rsid w:val="002116F1"/>
    <w:rsid w:val="00214B82"/>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0167"/>
    <w:rsid w:val="00283EC4"/>
    <w:rsid w:val="00284C45"/>
    <w:rsid w:val="00291919"/>
    <w:rsid w:val="002934E5"/>
    <w:rsid w:val="00293B6A"/>
    <w:rsid w:val="0029585D"/>
    <w:rsid w:val="002B1B3D"/>
    <w:rsid w:val="002B20E0"/>
    <w:rsid w:val="002B590D"/>
    <w:rsid w:val="002C3EC8"/>
    <w:rsid w:val="002C50A3"/>
    <w:rsid w:val="002C5813"/>
    <w:rsid w:val="002C5EA2"/>
    <w:rsid w:val="002D02F6"/>
    <w:rsid w:val="002D78C2"/>
    <w:rsid w:val="002E0BD8"/>
    <w:rsid w:val="002F0875"/>
    <w:rsid w:val="00303490"/>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8A9"/>
    <w:rsid w:val="00380D2C"/>
    <w:rsid w:val="003848E6"/>
    <w:rsid w:val="00386689"/>
    <w:rsid w:val="0038734C"/>
    <w:rsid w:val="00391465"/>
    <w:rsid w:val="003928F0"/>
    <w:rsid w:val="0039759B"/>
    <w:rsid w:val="003A2A3E"/>
    <w:rsid w:val="003A6B66"/>
    <w:rsid w:val="003B10B3"/>
    <w:rsid w:val="003B1611"/>
    <w:rsid w:val="003C4F9A"/>
    <w:rsid w:val="003D2E75"/>
    <w:rsid w:val="003D5230"/>
    <w:rsid w:val="003D5F3C"/>
    <w:rsid w:val="003E3E2A"/>
    <w:rsid w:val="003E4DD2"/>
    <w:rsid w:val="003E6CBB"/>
    <w:rsid w:val="003F2037"/>
    <w:rsid w:val="003F5957"/>
    <w:rsid w:val="00404D70"/>
    <w:rsid w:val="00405593"/>
    <w:rsid w:val="00405C09"/>
    <w:rsid w:val="00407995"/>
    <w:rsid w:val="0041194F"/>
    <w:rsid w:val="00413017"/>
    <w:rsid w:val="00413220"/>
    <w:rsid w:val="00414F38"/>
    <w:rsid w:val="00415B9E"/>
    <w:rsid w:val="00421170"/>
    <w:rsid w:val="00434C13"/>
    <w:rsid w:val="0044113A"/>
    <w:rsid w:val="00443159"/>
    <w:rsid w:val="00450AF3"/>
    <w:rsid w:val="00460AB2"/>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34CC2"/>
    <w:rsid w:val="005414BD"/>
    <w:rsid w:val="00547EA4"/>
    <w:rsid w:val="00551345"/>
    <w:rsid w:val="0055384B"/>
    <w:rsid w:val="00570327"/>
    <w:rsid w:val="00577C98"/>
    <w:rsid w:val="0058498D"/>
    <w:rsid w:val="0058528D"/>
    <w:rsid w:val="00590111"/>
    <w:rsid w:val="0059154D"/>
    <w:rsid w:val="005B14DA"/>
    <w:rsid w:val="005B5D8E"/>
    <w:rsid w:val="005C66F8"/>
    <w:rsid w:val="005D4F68"/>
    <w:rsid w:val="005D6B12"/>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415F"/>
    <w:rsid w:val="00697820"/>
    <w:rsid w:val="006A22E5"/>
    <w:rsid w:val="006A6C74"/>
    <w:rsid w:val="006B105F"/>
    <w:rsid w:val="006B282E"/>
    <w:rsid w:val="006B5DF0"/>
    <w:rsid w:val="006B6E71"/>
    <w:rsid w:val="006C2D13"/>
    <w:rsid w:val="006C33FA"/>
    <w:rsid w:val="006D1788"/>
    <w:rsid w:val="006D2EDC"/>
    <w:rsid w:val="006D3821"/>
    <w:rsid w:val="006D3C87"/>
    <w:rsid w:val="006D734F"/>
    <w:rsid w:val="006E5931"/>
    <w:rsid w:val="006E5C2E"/>
    <w:rsid w:val="006F0375"/>
    <w:rsid w:val="006F12E1"/>
    <w:rsid w:val="006F541E"/>
    <w:rsid w:val="006F5B29"/>
    <w:rsid w:val="00702B30"/>
    <w:rsid w:val="00704657"/>
    <w:rsid w:val="007173EB"/>
    <w:rsid w:val="007208DD"/>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B7699"/>
    <w:rsid w:val="007C6D19"/>
    <w:rsid w:val="007D7790"/>
    <w:rsid w:val="007E3022"/>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777BA"/>
    <w:rsid w:val="00885B7E"/>
    <w:rsid w:val="008A3FEF"/>
    <w:rsid w:val="008A52D8"/>
    <w:rsid w:val="008B311D"/>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8F660E"/>
    <w:rsid w:val="009002EC"/>
    <w:rsid w:val="00901386"/>
    <w:rsid w:val="00906EBB"/>
    <w:rsid w:val="00933CA7"/>
    <w:rsid w:val="00934E86"/>
    <w:rsid w:val="009357FF"/>
    <w:rsid w:val="009438C7"/>
    <w:rsid w:val="00944BA0"/>
    <w:rsid w:val="00945236"/>
    <w:rsid w:val="00956720"/>
    <w:rsid w:val="00961B8B"/>
    <w:rsid w:val="00962BFB"/>
    <w:rsid w:val="009662CC"/>
    <w:rsid w:val="009733C5"/>
    <w:rsid w:val="00982102"/>
    <w:rsid w:val="009868A6"/>
    <w:rsid w:val="00996DC1"/>
    <w:rsid w:val="009973CD"/>
    <w:rsid w:val="009A6B53"/>
    <w:rsid w:val="009A6DA8"/>
    <w:rsid w:val="009A77C1"/>
    <w:rsid w:val="009C10D9"/>
    <w:rsid w:val="009C32BD"/>
    <w:rsid w:val="009C3B18"/>
    <w:rsid w:val="00A028F6"/>
    <w:rsid w:val="00A12EAF"/>
    <w:rsid w:val="00A17F40"/>
    <w:rsid w:val="00A25328"/>
    <w:rsid w:val="00A25889"/>
    <w:rsid w:val="00A3737A"/>
    <w:rsid w:val="00A4141A"/>
    <w:rsid w:val="00A427AC"/>
    <w:rsid w:val="00A43F22"/>
    <w:rsid w:val="00A4783A"/>
    <w:rsid w:val="00A51EC3"/>
    <w:rsid w:val="00A6106C"/>
    <w:rsid w:val="00A625C1"/>
    <w:rsid w:val="00A63A4C"/>
    <w:rsid w:val="00A779BB"/>
    <w:rsid w:val="00A81088"/>
    <w:rsid w:val="00A83473"/>
    <w:rsid w:val="00A916CB"/>
    <w:rsid w:val="00A9284D"/>
    <w:rsid w:val="00A931E2"/>
    <w:rsid w:val="00A951B7"/>
    <w:rsid w:val="00A96183"/>
    <w:rsid w:val="00AA2270"/>
    <w:rsid w:val="00AA2996"/>
    <w:rsid w:val="00AA34D9"/>
    <w:rsid w:val="00AA6469"/>
    <w:rsid w:val="00AB36E6"/>
    <w:rsid w:val="00AB79F4"/>
    <w:rsid w:val="00AD11B7"/>
    <w:rsid w:val="00AD4C90"/>
    <w:rsid w:val="00AD74F5"/>
    <w:rsid w:val="00AE006D"/>
    <w:rsid w:val="00AF0F9A"/>
    <w:rsid w:val="00AF30DB"/>
    <w:rsid w:val="00AF7096"/>
    <w:rsid w:val="00B02EB1"/>
    <w:rsid w:val="00B03DCF"/>
    <w:rsid w:val="00B041E4"/>
    <w:rsid w:val="00B123A9"/>
    <w:rsid w:val="00B13258"/>
    <w:rsid w:val="00B23E4D"/>
    <w:rsid w:val="00B27804"/>
    <w:rsid w:val="00B3141F"/>
    <w:rsid w:val="00B35BD6"/>
    <w:rsid w:val="00B3685C"/>
    <w:rsid w:val="00B503D2"/>
    <w:rsid w:val="00B508ED"/>
    <w:rsid w:val="00B5252D"/>
    <w:rsid w:val="00B53D34"/>
    <w:rsid w:val="00B64EE6"/>
    <w:rsid w:val="00B7769B"/>
    <w:rsid w:val="00B778AD"/>
    <w:rsid w:val="00B7796E"/>
    <w:rsid w:val="00B77F9E"/>
    <w:rsid w:val="00B85D54"/>
    <w:rsid w:val="00B92D89"/>
    <w:rsid w:val="00BA58F8"/>
    <w:rsid w:val="00BB0382"/>
    <w:rsid w:val="00BB1769"/>
    <w:rsid w:val="00BC6F80"/>
    <w:rsid w:val="00BD0347"/>
    <w:rsid w:val="00BE21B3"/>
    <w:rsid w:val="00BE2752"/>
    <w:rsid w:val="00BE43DA"/>
    <w:rsid w:val="00BE4742"/>
    <w:rsid w:val="00C024C0"/>
    <w:rsid w:val="00C157EE"/>
    <w:rsid w:val="00C16664"/>
    <w:rsid w:val="00C204AE"/>
    <w:rsid w:val="00C24713"/>
    <w:rsid w:val="00C2510E"/>
    <w:rsid w:val="00C27DF7"/>
    <w:rsid w:val="00C321F8"/>
    <w:rsid w:val="00C329AE"/>
    <w:rsid w:val="00C40C38"/>
    <w:rsid w:val="00C460A5"/>
    <w:rsid w:val="00C53605"/>
    <w:rsid w:val="00C66DCA"/>
    <w:rsid w:val="00C83CF3"/>
    <w:rsid w:val="00C93142"/>
    <w:rsid w:val="00C94438"/>
    <w:rsid w:val="00CA112F"/>
    <w:rsid w:val="00CA152D"/>
    <w:rsid w:val="00CB2E02"/>
    <w:rsid w:val="00CB3A1C"/>
    <w:rsid w:val="00CB4C5C"/>
    <w:rsid w:val="00CB4D7A"/>
    <w:rsid w:val="00CC2921"/>
    <w:rsid w:val="00CC5E11"/>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0E7C"/>
    <w:rsid w:val="00D659D4"/>
    <w:rsid w:val="00D66036"/>
    <w:rsid w:val="00D77384"/>
    <w:rsid w:val="00D80B06"/>
    <w:rsid w:val="00D84583"/>
    <w:rsid w:val="00DA33BB"/>
    <w:rsid w:val="00DA40A5"/>
    <w:rsid w:val="00DA4D48"/>
    <w:rsid w:val="00DC2463"/>
    <w:rsid w:val="00DC4842"/>
    <w:rsid w:val="00DC56B8"/>
    <w:rsid w:val="00DD12B8"/>
    <w:rsid w:val="00DD2A0C"/>
    <w:rsid w:val="00DD5931"/>
    <w:rsid w:val="00DD6785"/>
    <w:rsid w:val="00DD773E"/>
    <w:rsid w:val="00DE0945"/>
    <w:rsid w:val="00DE7A22"/>
    <w:rsid w:val="00DF136E"/>
    <w:rsid w:val="00E16A64"/>
    <w:rsid w:val="00E24621"/>
    <w:rsid w:val="00E27A82"/>
    <w:rsid w:val="00E3389E"/>
    <w:rsid w:val="00E356A4"/>
    <w:rsid w:val="00E441B3"/>
    <w:rsid w:val="00E4766C"/>
    <w:rsid w:val="00E5417B"/>
    <w:rsid w:val="00E74493"/>
    <w:rsid w:val="00E75B2F"/>
    <w:rsid w:val="00E80A41"/>
    <w:rsid w:val="00E921AD"/>
    <w:rsid w:val="00E92690"/>
    <w:rsid w:val="00EB2CB3"/>
    <w:rsid w:val="00EB7FE9"/>
    <w:rsid w:val="00EC5E20"/>
    <w:rsid w:val="00ED2C32"/>
    <w:rsid w:val="00EE2047"/>
    <w:rsid w:val="00EF05F1"/>
    <w:rsid w:val="00EF5358"/>
    <w:rsid w:val="00F00CF1"/>
    <w:rsid w:val="00F00D7B"/>
    <w:rsid w:val="00F10DFD"/>
    <w:rsid w:val="00F12D61"/>
    <w:rsid w:val="00F2388B"/>
    <w:rsid w:val="00F25692"/>
    <w:rsid w:val="00F27CCE"/>
    <w:rsid w:val="00F3130D"/>
    <w:rsid w:val="00F34A05"/>
    <w:rsid w:val="00F35356"/>
    <w:rsid w:val="00F405AA"/>
    <w:rsid w:val="00F463D3"/>
    <w:rsid w:val="00F5187D"/>
    <w:rsid w:val="00F5448C"/>
    <w:rsid w:val="00F5487F"/>
    <w:rsid w:val="00F562AD"/>
    <w:rsid w:val="00F604D2"/>
    <w:rsid w:val="00F606C3"/>
    <w:rsid w:val="00F64157"/>
    <w:rsid w:val="00F7009F"/>
    <w:rsid w:val="00F7117F"/>
    <w:rsid w:val="00F762A8"/>
    <w:rsid w:val="00F902BF"/>
    <w:rsid w:val="00F913C3"/>
    <w:rsid w:val="00FA29E0"/>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3134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3663</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2014-11-14T21:31:00Z</dcterms:created>
  <dcterms:modified xsi:type="dcterms:W3CDTF">2014-11-14T21:31:00Z</dcterms:modified>
  <cp:category> </cp:category>
  <cp:contentStatus> </cp:contentStatus>
</cp:coreProperties>
</file>