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E88FB" w14:textId="77777777" w:rsidR="00BA641B" w:rsidRDefault="00BA641B" w:rsidP="00BA641B">
      <w:pPr>
        <w:spacing w:before="120"/>
        <w:jc w:val="center"/>
        <w:rPr>
          <w:rFonts w:cs="Times New Roman"/>
          <w:b/>
          <w:smallCaps/>
          <w:spacing w:val="-2"/>
        </w:rPr>
      </w:pPr>
      <w:bookmarkStart w:id="0" w:name="_GoBack"/>
      <w:bookmarkEnd w:id="0"/>
      <w:r>
        <w:rPr>
          <w:rFonts w:cs="Times New Roman"/>
          <w:b/>
          <w:smallCaps/>
          <w:spacing w:val="-2"/>
        </w:rPr>
        <w:t>Wireline Competition Bureau</w:t>
      </w:r>
      <w:r w:rsidR="001C0FB1">
        <w:rPr>
          <w:rFonts w:cs="Times New Roman"/>
          <w:b/>
          <w:smallCaps/>
          <w:spacing w:val="-2"/>
        </w:rPr>
        <w:t xml:space="preserve"> and Office of Strategic Planning and Policy Analysis</w:t>
      </w:r>
      <w:r>
        <w:rPr>
          <w:rFonts w:cs="Times New Roman"/>
          <w:b/>
          <w:smallCaps/>
          <w:spacing w:val="-2"/>
        </w:rPr>
        <w:t xml:space="preserve"> </w:t>
      </w:r>
    </w:p>
    <w:p w14:paraId="3759DF79" w14:textId="77777777" w:rsidR="00BA641B" w:rsidRPr="00C80189" w:rsidRDefault="00C4340F" w:rsidP="00BA641B">
      <w:pPr>
        <w:spacing w:before="120"/>
        <w:jc w:val="center"/>
        <w:rPr>
          <w:rFonts w:cs="Times New Roman"/>
          <w:b/>
          <w:smallCaps/>
          <w:spacing w:val="-2"/>
        </w:rPr>
      </w:pPr>
      <w:r>
        <w:rPr>
          <w:rFonts w:cs="Times New Roman"/>
          <w:b/>
          <w:smallCaps/>
          <w:spacing w:val="-2"/>
        </w:rPr>
        <w:t>E-rate</w:t>
      </w:r>
      <w:r w:rsidR="00BA641B">
        <w:rPr>
          <w:rFonts w:cs="Times New Roman"/>
          <w:b/>
          <w:smallCaps/>
          <w:spacing w:val="-2"/>
        </w:rPr>
        <w:t xml:space="preserve"> Data Update</w:t>
      </w:r>
    </w:p>
    <w:p w14:paraId="0DDEFA14" w14:textId="77777777" w:rsidR="00BA641B" w:rsidRPr="00C80189" w:rsidRDefault="00BA641B" w:rsidP="00BA641B">
      <w:pPr>
        <w:spacing w:before="120"/>
        <w:jc w:val="center"/>
        <w:rPr>
          <w:rFonts w:cs="Times New Roman"/>
          <w:b/>
          <w:smallCaps/>
          <w:spacing w:val="-2"/>
        </w:rPr>
      </w:pPr>
      <w:r w:rsidRPr="00C80189">
        <w:rPr>
          <w:rFonts w:cs="Times New Roman"/>
          <w:b/>
          <w:smallCaps/>
          <w:spacing w:val="-2"/>
        </w:rPr>
        <w:t>WC Docket No. 13-184</w:t>
      </w:r>
    </w:p>
    <w:p w14:paraId="3E2C91EE" w14:textId="77777777" w:rsidR="000D1957" w:rsidRDefault="000D1957" w:rsidP="00BA641B">
      <w:pPr>
        <w:spacing w:before="120"/>
        <w:jc w:val="center"/>
        <w:rPr>
          <w:rFonts w:cs="Times New Roman"/>
          <w:b/>
          <w:smallCaps/>
          <w:spacing w:val="-2"/>
        </w:rPr>
      </w:pPr>
    </w:p>
    <w:p w14:paraId="4EE727EF" w14:textId="77777777" w:rsidR="00BA641B" w:rsidRPr="0080707A" w:rsidRDefault="00BA641B" w:rsidP="00BA641B">
      <w:pPr>
        <w:spacing w:before="120"/>
        <w:jc w:val="center"/>
        <w:rPr>
          <w:rFonts w:cs="Times New Roman"/>
          <w:b/>
          <w:smallCaps/>
        </w:rPr>
      </w:pPr>
      <w:r>
        <w:rPr>
          <w:rFonts w:cs="Times New Roman"/>
          <w:b/>
          <w:smallCaps/>
          <w:spacing w:val="-2"/>
        </w:rPr>
        <w:t xml:space="preserve">November </w:t>
      </w:r>
      <w:r w:rsidR="00CB4289">
        <w:rPr>
          <w:rFonts w:cs="Times New Roman"/>
          <w:b/>
          <w:smallCaps/>
          <w:spacing w:val="-2"/>
        </w:rPr>
        <w:t>17</w:t>
      </w:r>
      <w:r w:rsidRPr="0080707A">
        <w:rPr>
          <w:rFonts w:cs="Times New Roman"/>
          <w:b/>
          <w:smallCaps/>
          <w:spacing w:val="-2"/>
        </w:rPr>
        <w:t>, 2014</w:t>
      </w:r>
    </w:p>
    <w:p w14:paraId="14F3D8D0" w14:textId="77777777" w:rsidR="00BA641B" w:rsidRPr="00C80189" w:rsidRDefault="00BA641B" w:rsidP="00BA641B">
      <w:pPr>
        <w:pStyle w:val="Heading1"/>
        <w:rPr>
          <w:rFonts w:ascii="Times New Roman" w:hAnsi="Times New Roman" w:cs="Times New Roman"/>
        </w:rPr>
      </w:pPr>
      <w:bookmarkStart w:id="1" w:name="_Toc307644636"/>
      <w:bookmarkStart w:id="2" w:name="_Toc309138355"/>
      <w:bookmarkStart w:id="3" w:name="_Toc309203298"/>
      <w:bookmarkStart w:id="4" w:name="_Toc309210167"/>
      <w:bookmarkStart w:id="5" w:name="_Toc309212006"/>
      <w:bookmarkStart w:id="6" w:name="_Toc309379604"/>
      <w:bookmarkStart w:id="7" w:name="_Toc309379816"/>
      <w:bookmarkStart w:id="8" w:name="_Toc309380224"/>
      <w:bookmarkStart w:id="9" w:name="_Toc309397154"/>
      <w:bookmarkStart w:id="10" w:name="_Ref338774848"/>
      <w:bookmarkStart w:id="11" w:name="_Toc344052351"/>
      <w:bookmarkStart w:id="12" w:name="_Toc345516462"/>
      <w:bookmarkStart w:id="13" w:name="_Toc346184085"/>
      <w:bookmarkStart w:id="14" w:name="_Toc346890902"/>
      <w:bookmarkStart w:id="15" w:name="_Toc348091688"/>
      <w:bookmarkStart w:id="16" w:name="_Toc353369745"/>
      <w:bookmarkStart w:id="17" w:name="_Toc355278888"/>
      <w:bookmarkStart w:id="18" w:name="_Toc355279418"/>
      <w:bookmarkStart w:id="19" w:name="_Toc356287978"/>
      <w:r w:rsidRPr="00C80189">
        <w:rPr>
          <w:rFonts w:ascii="Times New Roman" w:hAnsi="Times New Roman" w:cs="Times New Roman"/>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C80189">
        <w:rPr>
          <w:rFonts w:ascii="Times New Roman" w:hAnsi="Times New Roman" w:cs="Times New Roman"/>
        </w:rPr>
        <w:t xml:space="preserve"> </w:t>
      </w:r>
    </w:p>
    <w:p w14:paraId="69D166FF" w14:textId="77777777" w:rsidR="00BA641B" w:rsidRDefault="00BA641B" w:rsidP="00BA641B">
      <w:pPr>
        <w:pStyle w:val="ParaNum"/>
        <w:rPr>
          <w:rFonts w:cs="Times New Roman"/>
        </w:rPr>
      </w:pPr>
      <w:r w:rsidRPr="00C80189">
        <w:rPr>
          <w:rFonts w:cs="Times New Roman"/>
        </w:rPr>
        <w:t xml:space="preserve">The staff of the Wireline Competition Bureau and the Office of Strategic Planning and Policy Analysis (Bureaus) have prepared this </w:t>
      </w:r>
      <w:r w:rsidR="00C4340F">
        <w:rPr>
          <w:rFonts w:cs="Times New Roman"/>
          <w:i/>
        </w:rPr>
        <w:t>E-rate</w:t>
      </w:r>
      <w:r w:rsidRPr="00630ED7">
        <w:rPr>
          <w:rFonts w:cs="Times New Roman"/>
          <w:i/>
        </w:rPr>
        <w:t xml:space="preserve"> Data Update</w:t>
      </w:r>
      <w:r>
        <w:rPr>
          <w:rFonts w:cs="Times New Roman"/>
        </w:rPr>
        <w:t xml:space="preserve"> to supplement the </w:t>
      </w:r>
      <w:r w:rsidRPr="00630ED7">
        <w:rPr>
          <w:rFonts w:cs="Times New Roman"/>
          <w:i/>
        </w:rPr>
        <w:t>Staff Report</w:t>
      </w:r>
      <w:r w:rsidRPr="00C80189">
        <w:rPr>
          <w:rFonts w:cs="Times New Roman"/>
        </w:rPr>
        <w:t xml:space="preserve"> </w:t>
      </w:r>
      <w:r>
        <w:rPr>
          <w:rFonts w:cs="Times New Roman"/>
        </w:rPr>
        <w:t>released August 12, 2014.</w:t>
      </w:r>
      <w:r>
        <w:rPr>
          <w:rStyle w:val="FootnoteReference"/>
          <w:rFonts w:cs="Times New Roman"/>
        </w:rPr>
        <w:footnoteReference w:id="1"/>
      </w:r>
      <w:r>
        <w:rPr>
          <w:rFonts w:cs="Times New Roman"/>
        </w:rPr>
        <w:t xml:space="preserve">  </w:t>
      </w:r>
      <w:r w:rsidR="00DD1014">
        <w:rPr>
          <w:rFonts w:cs="Times New Roman"/>
        </w:rPr>
        <w:t xml:space="preserve">The </w:t>
      </w:r>
      <w:r w:rsidR="00C4340F">
        <w:rPr>
          <w:rFonts w:cs="Times New Roman"/>
          <w:i/>
        </w:rPr>
        <w:t>E-rate</w:t>
      </w:r>
      <w:r w:rsidRPr="00630ED7">
        <w:rPr>
          <w:rFonts w:cs="Times New Roman"/>
          <w:i/>
        </w:rPr>
        <w:t xml:space="preserve"> Data Up</w:t>
      </w:r>
      <w:r w:rsidR="00912E60" w:rsidRPr="00630ED7">
        <w:rPr>
          <w:rFonts w:cs="Times New Roman"/>
          <w:i/>
        </w:rPr>
        <w:t>d</w:t>
      </w:r>
      <w:r w:rsidRPr="00630ED7">
        <w:rPr>
          <w:rFonts w:cs="Times New Roman"/>
          <w:i/>
        </w:rPr>
        <w:t>ate</w:t>
      </w:r>
      <w:r>
        <w:rPr>
          <w:rFonts w:cs="Times New Roman"/>
        </w:rPr>
        <w:t xml:space="preserve"> in conjunction with </w:t>
      </w:r>
      <w:r w:rsidR="00DD1014">
        <w:rPr>
          <w:rFonts w:cs="Times New Roman"/>
        </w:rPr>
        <w:t xml:space="preserve">the </w:t>
      </w:r>
      <w:r w:rsidRPr="00630ED7">
        <w:rPr>
          <w:rFonts w:cs="Times New Roman"/>
          <w:i/>
        </w:rPr>
        <w:t>Staff Report</w:t>
      </w:r>
      <w:r>
        <w:rPr>
          <w:rFonts w:cs="Times New Roman"/>
        </w:rPr>
        <w:t xml:space="preserve"> have been prepared </w:t>
      </w:r>
      <w:r w:rsidRPr="00C80189">
        <w:rPr>
          <w:rFonts w:cs="Times New Roman"/>
        </w:rPr>
        <w:t xml:space="preserve">to assist the Commission in its ongoing modernization of the schools and libraries universal service support program, commonly known as </w:t>
      </w:r>
      <w:r w:rsidR="00C4340F">
        <w:rPr>
          <w:rFonts w:cs="Times New Roman"/>
        </w:rPr>
        <w:t>E-rate</w:t>
      </w:r>
      <w:r w:rsidRPr="00C80189">
        <w:rPr>
          <w:rFonts w:cs="Times New Roman"/>
        </w:rPr>
        <w:t xml:space="preserve">.  Our intent is to </w:t>
      </w:r>
      <w:r w:rsidR="00912E60">
        <w:rPr>
          <w:rFonts w:cs="Times New Roman"/>
        </w:rPr>
        <w:t xml:space="preserve">further assist </w:t>
      </w:r>
      <w:r>
        <w:rPr>
          <w:rFonts w:cs="Times New Roman"/>
        </w:rPr>
        <w:t xml:space="preserve">the Commission, </w:t>
      </w:r>
      <w:r w:rsidRPr="00C80189">
        <w:rPr>
          <w:rFonts w:cs="Times New Roman"/>
        </w:rPr>
        <w:t>stakeholders and the public</w:t>
      </w:r>
      <w:r w:rsidR="00CB4289">
        <w:rPr>
          <w:rFonts w:cs="Times New Roman"/>
        </w:rPr>
        <w:t xml:space="preserve"> in</w:t>
      </w:r>
      <w:r w:rsidRPr="00C80189">
        <w:rPr>
          <w:rFonts w:cs="Times New Roman"/>
        </w:rPr>
        <w:t xml:space="preserve"> nav</w:t>
      </w:r>
      <w:r w:rsidR="00CB4289">
        <w:rPr>
          <w:rFonts w:cs="Times New Roman"/>
        </w:rPr>
        <w:t>igating</w:t>
      </w:r>
      <w:r w:rsidRPr="00C80189">
        <w:rPr>
          <w:rFonts w:cs="Times New Roman"/>
        </w:rPr>
        <w:t xml:space="preserve"> the large and data-intensive record in the </w:t>
      </w:r>
      <w:r w:rsidR="00C4340F">
        <w:rPr>
          <w:rFonts w:cs="Times New Roman"/>
        </w:rPr>
        <w:t>E-rate</w:t>
      </w:r>
      <w:r w:rsidRPr="00C80189">
        <w:rPr>
          <w:rFonts w:cs="Times New Roman"/>
        </w:rPr>
        <w:t xml:space="preserve"> Modernization proceeding</w:t>
      </w:r>
      <w:r>
        <w:rPr>
          <w:rFonts w:cs="Times New Roman"/>
        </w:rPr>
        <w:t xml:space="preserve"> as </w:t>
      </w:r>
      <w:r w:rsidR="00CB4289">
        <w:rPr>
          <w:rFonts w:cs="Times New Roman"/>
        </w:rPr>
        <w:t>the long-</w:t>
      </w:r>
      <w:r w:rsidRPr="00C80189">
        <w:rPr>
          <w:rFonts w:cs="Times New Roman"/>
        </w:rPr>
        <w:t>term funding needs of the program</w:t>
      </w:r>
      <w:r w:rsidR="00912E60">
        <w:rPr>
          <w:rFonts w:cs="Times New Roman"/>
        </w:rPr>
        <w:t xml:space="preserve"> are considered</w:t>
      </w:r>
      <w:r w:rsidRPr="00C80189">
        <w:rPr>
          <w:rFonts w:cs="Times New Roman"/>
        </w:rPr>
        <w:t>.</w:t>
      </w:r>
      <w:r w:rsidRPr="00C80189">
        <w:rPr>
          <w:rStyle w:val="FootnoteReference"/>
          <w:rFonts w:cs="Times New Roman"/>
        </w:rPr>
        <w:footnoteReference w:id="2"/>
      </w:r>
    </w:p>
    <w:p w14:paraId="216930C3" w14:textId="77777777" w:rsidR="007104B2" w:rsidRDefault="0034642C" w:rsidP="00BA641B">
      <w:pPr>
        <w:pStyle w:val="ParaNum"/>
      </w:pPr>
      <w:r>
        <w:t>In</w:t>
      </w:r>
      <w:r w:rsidR="006B433B">
        <w:t xml:space="preserve"> the </w:t>
      </w:r>
      <w:r w:rsidR="00C4340F">
        <w:rPr>
          <w:i/>
        </w:rPr>
        <w:t>E-rate</w:t>
      </w:r>
      <w:r w:rsidR="006B433B">
        <w:rPr>
          <w:i/>
        </w:rPr>
        <w:t xml:space="preserve"> Modernization Order</w:t>
      </w:r>
      <w:r w:rsidR="006B433B">
        <w:t xml:space="preserve">, the </w:t>
      </w:r>
      <w:r>
        <w:t xml:space="preserve">Commission set concrete goals for the </w:t>
      </w:r>
      <w:r w:rsidR="00C4340F">
        <w:t>E-rate</w:t>
      </w:r>
      <w:r>
        <w:t xml:space="preserve"> program</w:t>
      </w:r>
      <w:r w:rsidR="00752B25">
        <w:t xml:space="preserve"> </w:t>
      </w:r>
      <w:r w:rsidR="00AF5720">
        <w:t xml:space="preserve">and specific high-speed broadband connectivity targets for eligible schools and libraries; </w:t>
      </w:r>
      <w:r>
        <w:t>established</w:t>
      </w:r>
      <w:r w:rsidR="00583798">
        <w:t xml:space="preserve"> a permanent annual funding</w:t>
      </w:r>
      <w:r>
        <w:t xml:space="preserve"> target for </w:t>
      </w:r>
      <w:r w:rsidR="00583798">
        <w:t xml:space="preserve">the portion of the program that supports </w:t>
      </w:r>
      <w:r w:rsidR="00DD1014">
        <w:t>internal connections</w:t>
      </w:r>
      <w:r w:rsidR="00583798">
        <w:t xml:space="preserve"> for schools and libraries, </w:t>
      </w:r>
      <w:r w:rsidR="00752B25">
        <w:t>and</w:t>
      </w:r>
      <w:r w:rsidR="00CD021C">
        <w:t xml:space="preserve"> in the Further Notice of Proposed Rulemaking (FNPRM) accompanying the </w:t>
      </w:r>
      <w:r w:rsidR="00C4340F">
        <w:rPr>
          <w:i/>
        </w:rPr>
        <w:t>E-rate</w:t>
      </w:r>
      <w:r w:rsidR="00CD021C" w:rsidRPr="00DB4648">
        <w:rPr>
          <w:i/>
        </w:rPr>
        <w:t xml:space="preserve"> Modernization Order</w:t>
      </w:r>
      <w:r w:rsidR="00CD021C">
        <w:t xml:space="preserve">, </w:t>
      </w:r>
      <w:r w:rsidR="00583798">
        <w:t xml:space="preserve">sought </w:t>
      </w:r>
      <w:r w:rsidR="00752B25">
        <w:t>comment</w:t>
      </w:r>
      <w:r w:rsidR="00CD021C">
        <w:t xml:space="preserve"> and additional data</w:t>
      </w:r>
      <w:r w:rsidR="00752B25">
        <w:t xml:space="preserve"> </w:t>
      </w:r>
      <w:r w:rsidR="00DE6C51">
        <w:t>on the</w:t>
      </w:r>
      <w:r w:rsidR="00752B25">
        <w:t xml:space="preserve"> long-term funding needs</w:t>
      </w:r>
      <w:r w:rsidR="00CD021C">
        <w:t xml:space="preserve"> of the program</w:t>
      </w:r>
      <w:r>
        <w:t xml:space="preserve">.  </w:t>
      </w:r>
      <w:r w:rsidR="00CD021C">
        <w:t>Less than a month later, in order to assist parties navigat</w:t>
      </w:r>
      <w:r w:rsidR="00CB4289">
        <w:t>ing</w:t>
      </w:r>
      <w:r w:rsidR="00CD021C">
        <w:t xml:space="preserve"> the data-rich docket and</w:t>
      </w:r>
      <w:r w:rsidR="000E0CFB">
        <w:t xml:space="preserve"> to</w:t>
      </w:r>
      <w:r w:rsidR="00CD021C">
        <w:t xml:space="preserve"> consider what additional data to </w:t>
      </w:r>
      <w:r w:rsidR="00AF5720">
        <w:t xml:space="preserve">submit, staff of </w:t>
      </w:r>
      <w:r>
        <w:t xml:space="preserve">the </w:t>
      </w:r>
      <w:r w:rsidR="00DD1014">
        <w:t>Bureaus</w:t>
      </w:r>
      <w:r w:rsidR="006B433B">
        <w:t xml:space="preserve"> released </w:t>
      </w:r>
      <w:r w:rsidR="00DD1014">
        <w:t xml:space="preserve">the </w:t>
      </w:r>
      <w:r w:rsidR="00244BD5" w:rsidRPr="00114C11">
        <w:rPr>
          <w:i/>
        </w:rPr>
        <w:t>Staff Report</w:t>
      </w:r>
      <w:r w:rsidR="00244BD5">
        <w:t xml:space="preserve"> </w:t>
      </w:r>
      <w:r w:rsidR="00AF5720">
        <w:t>summarizing the data in the record at that point on fiber connectivity to schools and libraries and pricing.</w:t>
      </w:r>
      <w:r w:rsidR="00912E60">
        <w:rPr>
          <w:rStyle w:val="FootnoteReference"/>
        </w:rPr>
        <w:footnoteReference w:id="3"/>
      </w:r>
      <w:r w:rsidR="00AF5720">
        <w:t xml:space="preserve">  At the same time</w:t>
      </w:r>
      <w:r w:rsidR="00DD1014">
        <w:t>,</w:t>
      </w:r>
      <w:r w:rsidR="00AF5720">
        <w:t xml:space="preserve"> the Bureau</w:t>
      </w:r>
      <w:r w:rsidR="00130F7F">
        <w:t>s</w:t>
      </w:r>
      <w:r w:rsidR="00AF5720">
        <w:t xml:space="preserve"> released</w:t>
      </w:r>
      <w:r w:rsidR="00114C11">
        <w:t xml:space="preserve"> two Fiber Connectivity Maps.</w:t>
      </w:r>
      <w:r w:rsidR="00912E60">
        <w:rPr>
          <w:rStyle w:val="FootnoteReference"/>
        </w:rPr>
        <w:footnoteReference w:id="4"/>
      </w:r>
      <w:r w:rsidR="00114C11">
        <w:t xml:space="preserve">  </w:t>
      </w:r>
    </w:p>
    <w:p w14:paraId="5B80606F" w14:textId="77777777" w:rsidR="00DE3A0D" w:rsidRDefault="007104B2" w:rsidP="00BA641B">
      <w:pPr>
        <w:pStyle w:val="ParaNum"/>
      </w:pPr>
      <w:r>
        <w:t>T</w:t>
      </w:r>
      <w:r w:rsidR="00063EFE">
        <w:t xml:space="preserve">he </w:t>
      </w:r>
      <w:r w:rsidR="00063EFE" w:rsidRPr="00063EFE">
        <w:rPr>
          <w:i/>
        </w:rPr>
        <w:t>Staff Report</w:t>
      </w:r>
      <w:r w:rsidR="00063EFE">
        <w:t xml:space="preserve"> </w:t>
      </w:r>
      <w:r>
        <w:t xml:space="preserve">also </w:t>
      </w:r>
      <w:r w:rsidR="00063EFE">
        <w:t>asked:</w:t>
      </w:r>
      <w:r w:rsidR="00244BD5">
        <w:t xml:space="preserve"> </w:t>
      </w:r>
      <w:r w:rsidR="00244BD5" w:rsidRPr="00114C11">
        <w:rPr>
          <w:rFonts w:cstheme="minorHAnsi"/>
        </w:rPr>
        <w:t>“</w:t>
      </w:r>
      <w:r w:rsidR="00244BD5" w:rsidRPr="00114C11">
        <w:rPr>
          <w:rFonts w:eastAsia="Times New Roman" w:cstheme="minorHAnsi"/>
        </w:rPr>
        <w:t>What</w:t>
      </w:r>
      <w:r w:rsidR="00114C11" w:rsidRPr="00114C11">
        <w:rPr>
          <w:rFonts w:eastAsia="Times New Roman" w:cstheme="minorHAnsi"/>
        </w:rPr>
        <w:t xml:space="preserve"> </w:t>
      </w:r>
      <w:r w:rsidR="00244BD5" w:rsidRPr="00114C11">
        <w:rPr>
          <w:rFonts w:eastAsia="Times New Roman" w:cstheme="minorHAnsi"/>
        </w:rPr>
        <w:t>are the most important drivers of that growth,</w:t>
      </w:r>
      <w:r w:rsidR="00114C11" w:rsidRPr="00114C11">
        <w:rPr>
          <w:rFonts w:eastAsia="Times New Roman" w:cstheme="minorHAnsi"/>
        </w:rPr>
        <w:t xml:space="preserve"> </w:t>
      </w:r>
      <w:r w:rsidR="00244BD5" w:rsidRPr="00114C11">
        <w:rPr>
          <w:rFonts w:eastAsia="Times New Roman" w:cstheme="minorHAnsi"/>
        </w:rPr>
        <w:t>and in particular what are the</w:t>
      </w:r>
      <w:r w:rsidR="00114C11" w:rsidRPr="00114C11">
        <w:rPr>
          <w:rFonts w:eastAsia="Times New Roman" w:cstheme="minorHAnsi"/>
        </w:rPr>
        <w:t xml:space="preserve"> </w:t>
      </w:r>
      <w:r w:rsidR="00244BD5" w:rsidRPr="00114C11">
        <w:rPr>
          <w:rFonts w:eastAsia="Times New Roman" w:cstheme="minorHAnsi"/>
        </w:rPr>
        <w:t>likeliest scenarios for the relationship between volume and price paid by schools and libraries?</w:t>
      </w:r>
      <w:r w:rsidR="00C453C8">
        <w:rPr>
          <w:rFonts w:eastAsia="Times New Roman" w:cstheme="minorHAnsi"/>
        </w:rPr>
        <w:t>”</w:t>
      </w:r>
      <w:r w:rsidR="00DD1014">
        <w:rPr>
          <w:rStyle w:val="FootnoteReference"/>
          <w:rFonts w:eastAsia="Times New Roman" w:cstheme="minorHAnsi"/>
        </w:rPr>
        <w:footnoteReference w:id="5"/>
      </w:r>
      <w:r w:rsidR="00114C11">
        <w:rPr>
          <w:rFonts w:cstheme="minorHAnsi"/>
        </w:rPr>
        <w:t xml:space="preserve">  </w:t>
      </w:r>
      <w:r w:rsidR="00AF5720">
        <w:rPr>
          <w:rFonts w:cstheme="minorHAnsi"/>
        </w:rPr>
        <w:t>Since the</w:t>
      </w:r>
      <w:r>
        <w:rPr>
          <w:rFonts w:cstheme="minorHAnsi"/>
        </w:rPr>
        <w:t xml:space="preserve"> release of the </w:t>
      </w:r>
      <w:r w:rsidRPr="00630ED7">
        <w:rPr>
          <w:rFonts w:cstheme="minorHAnsi"/>
          <w:i/>
        </w:rPr>
        <w:t>Staff Report</w:t>
      </w:r>
      <w:r w:rsidR="00AF5720">
        <w:rPr>
          <w:rFonts w:cstheme="minorHAnsi"/>
        </w:rPr>
        <w:t>, the Commission has received voluminous additional data on connectivity and pricing.</w:t>
      </w:r>
      <w:r>
        <w:rPr>
          <w:rStyle w:val="FootnoteReference"/>
          <w:rFonts w:cstheme="minorHAnsi"/>
        </w:rPr>
        <w:footnoteReference w:id="6"/>
      </w:r>
      <w:r w:rsidR="00AF5720">
        <w:rPr>
          <w:rFonts w:cstheme="minorHAnsi"/>
        </w:rPr>
        <w:t xml:space="preserve">  </w:t>
      </w:r>
      <w:r w:rsidR="00063EFE">
        <w:rPr>
          <w:rFonts w:cstheme="minorHAnsi"/>
        </w:rPr>
        <w:t xml:space="preserve">This </w:t>
      </w:r>
      <w:r w:rsidR="00C4340F">
        <w:rPr>
          <w:rFonts w:cstheme="minorHAnsi"/>
          <w:i/>
        </w:rPr>
        <w:t>E-rate</w:t>
      </w:r>
      <w:r w:rsidR="00063EFE" w:rsidRPr="00063EFE">
        <w:rPr>
          <w:rFonts w:cstheme="minorHAnsi"/>
          <w:i/>
        </w:rPr>
        <w:t xml:space="preserve"> Data Update</w:t>
      </w:r>
      <w:r w:rsidR="00063EFE">
        <w:rPr>
          <w:rFonts w:cstheme="minorHAnsi"/>
        </w:rPr>
        <w:t xml:space="preserve"> summarizes and synthesizes </w:t>
      </w:r>
      <w:r w:rsidR="00AF5720">
        <w:rPr>
          <w:rFonts w:cstheme="minorHAnsi"/>
        </w:rPr>
        <w:t>the data we now have in the record</w:t>
      </w:r>
      <w:r w:rsidR="00063EFE">
        <w:rPr>
          <w:rFonts w:cstheme="minorHAnsi"/>
        </w:rPr>
        <w:t xml:space="preserve"> that pertain to that question.</w:t>
      </w:r>
    </w:p>
    <w:p w14:paraId="670079FC" w14:textId="77777777" w:rsidR="00975E09" w:rsidRPr="00975E09" w:rsidRDefault="00975E09" w:rsidP="00912E60">
      <w:pPr>
        <w:pStyle w:val="Heading1"/>
      </w:pPr>
      <w:r>
        <w:lastRenderedPageBreak/>
        <w:t>Key Data Submitted Since July 2014</w:t>
      </w:r>
    </w:p>
    <w:p w14:paraId="18549576" w14:textId="77777777" w:rsidR="007028F2" w:rsidRDefault="00CF6D38" w:rsidP="00C453C8">
      <w:pPr>
        <w:pStyle w:val="ParaNum"/>
      </w:pPr>
      <w:r>
        <w:t xml:space="preserve">This </w:t>
      </w:r>
      <w:r w:rsidR="00C4340F">
        <w:rPr>
          <w:i/>
        </w:rPr>
        <w:t>E-rate</w:t>
      </w:r>
      <w:r w:rsidRPr="00752B25">
        <w:rPr>
          <w:i/>
        </w:rPr>
        <w:t xml:space="preserve"> D</w:t>
      </w:r>
      <w:r w:rsidR="000D27A6" w:rsidRPr="00752B25">
        <w:rPr>
          <w:i/>
        </w:rPr>
        <w:t xml:space="preserve">ata </w:t>
      </w:r>
      <w:r w:rsidRPr="00752B25">
        <w:rPr>
          <w:i/>
        </w:rPr>
        <w:t>U</w:t>
      </w:r>
      <w:r w:rsidR="000D27A6" w:rsidRPr="00752B25">
        <w:rPr>
          <w:i/>
        </w:rPr>
        <w:t>pdate</w:t>
      </w:r>
      <w:r w:rsidR="000D27A6">
        <w:t xml:space="preserve"> </w:t>
      </w:r>
      <w:r w:rsidR="00063EFE">
        <w:t>summarizes the data and</w:t>
      </w:r>
      <w:r>
        <w:t xml:space="preserve"> quantitative</w:t>
      </w:r>
      <w:r w:rsidR="000D27A6">
        <w:t xml:space="preserve"> </w:t>
      </w:r>
      <w:r w:rsidR="00063EFE">
        <w:t xml:space="preserve">analysis </w:t>
      </w:r>
      <w:r w:rsidR="007F19E0">
        <w:t xml:space="preserve">in the current record </w:t>
      </w:r>
      <w:r>
        <w:t>concerning</w:t>
      </w:r>
      <w:r w:rsidR="007028F2">
        <w:t xml:space="preserve"> the </w:t>
      </w:r>
      <w:r>
        <w:t>extent</w:t>
      </w:r>
      <w:r w:rsidR="007028F2">
        <w:t xml:space="preserve"> of the </w:t>
      </w:r>
      <w:r w:rsidR="005D7BB5">
        <w:t>connectivity</w:t>
      </w:r>
      <w:r w:rsidR="007028F2">
        <w:t xml:space="preserve"> and affordability gaps, expected usage growth, </w:t>
      </w:r>
      <w:r w:rsidR="00063EFE">
        <w:t xml:space="preserve">projected </w:t>
      </w:r>
      <w:r w:rsidR="007028F2">
        <w:t xml:space="preserve">costs to build </w:t>
      </w:r>
      <w:r w:rsidR="007F19E0">
        <w:t xml:space="preserve">high-speed broadband </w:t>
      </w:r>
      <w:r w:rsidR="007028F2">
        <w:t xml:space="preserve">connections, and </w:t>
      </w:r>
      <w:r w:rsidR="00063EFE">
        <w:t xml:space="preserve">projected </w:t>
      </w:r>
      <w:r w:rsidR="007028F2">
        <w:t xml:space="preserve">costs to provide </w:t>
      </w:r>
      <w:r w:rsidR="007F19E0">
        <w:t xml:space="preserve">broadband </w:t>
      </w:r>
      <w:r w:rsidR="007028F2">
        <w:t>service</w:t>
      </w:r>
      <w:r w:rsidR="007F19E0">
        <w:t>s that meet the Commission’s targets,</w:t>
      </w:r>
      <w:r w:rsidR="00063EFE">
        <w:t xml:space="preserve"> including expected pricing efficiencies</w:t>
      </w:r>
      <w:r w:rsidR="007028F2">
        <w:t xml:space="preserve">.  </w:t>
      </w:r>
      <w:r w:rsidR="007F19E0">
        <w:t xml:space="preserve">We focus particular attention on the detailed </w:t>
      </w:r>
      <w:r w:rsidR="005E153B">
        <w:t xml:space="preserve">cost </w:t>
      </w:r>
      <w:r w:rsidR="007F19E0">
        <w:t xml:space="preserve">models </w:t>
      </w:r>
      <w:r w:rsidR="007028F2">
        <w:t xml:space="preserve">submitted </w:t>
      </w:r>
      <w:r w:rsidR="007F19E0">
        <w:t xml:space="preserve">into the record since the release of the </w:t>
      </w:r>
      <w:r w:rsidR="00C4340F">
        <w:rPr>
          <w:i/>
        </w:rPr>
        <w:t>E-rate</w:t>
      </w:r>
      <w:r w:rsidR="007F19E0" w:rsidRPr="00DB4648">
        <w:rPr>
          <w:i/>
        </w:rPr>
        <w:t xml:space="preserve"> Modernization Order</w:t>
      </w:r>
      <w:r w:rsidR="007F19E0">
        <w:t xml:space="preserve">.  Those </w:t>
      </w:r>
      <w:r w:rsidR="007028F2">
        <w:t xml:space="preserve">detailed models </w:t>
      </w:r>
      <w:r w:rsidR="00063EFE">
        <w:t>analyz</w:t>
      </w:r>
      <w:r w:rsidR="007F19E0">
        <w:t>e</w:t>
      </w:r>
      <w:r w:rsidR="007028F2">
        <w:t xml:space="preserve"> the costs associated with reaching the goals</w:t>
      </w:r>
      <w:r>
        <w:t xml:space="preserve"> and projecting potential efficiency gains from recent modernization efforts</w:t>
      </w:r>
      <w:r w:rsidR="007028F2">
        <w:t xml:space="preserve">.  </w:t>
      </w:r>
      <w:r>
        <w:t>Particularly</w:t>
      </w:r>
      <w:r w:rsidR="00975E09">
        <w:t xml:space="preserve"> relevant</w:t>
      </w:r>
      <w:r w:rsidR="007028F2">
        <w:t xml:space="preserve"> </w:t>
      </w:r>
      <w:r w:rsidR="00063EFE">
        <w:t>areas of data</w:t>
      </w:r>
      <w:r w:rsidR="007028F2">
        <w:t xml:space="preserve"> </w:t>
      </w:r>
      <w:r w:rsidR="007F19E0">
        <w:t xml:space="preserve">in the record </w:t>
      </w:r>
      <w:r w:rsidR="007028F2">
        <w:t>include:</w:t>
      </w:r>
    </w:p>
    <w:p w14:paraId="7FF68C55" w14:textId="77777777" w:rsidR="007028F2" w:rsidRDefault="007028F2" w:rsidP="007028F2">
      <w:pPr>
        <w:pStyle w:val="ListParagraph"/>
        <w:numPr>
          <w:ilvl w:val="0"/>
          <w:numId w:val="2"/>
        </w:numPr>
      </w:pPr>
      <w:r>
        <w:t xml:space="preserve">Updates to the FCC’s </w:t>
      </w:r>
      <w:r w:rsidR="00D25B0C" w:rsidRPr="00630ED7">
        <w:rPr>
          <w:u w:val="single"/>
        </w:rPr>
        <w:t>Fiber Connectivity Maps</w:t>
      </w:r>
      <w:r w:rsidR="00AC6A65" w:rsidRPr="00521802">
        <w:rPr>
          <w:rStyle w:val="FootnoteReference"/>
          <w:i/>
        </w:rPr>
        <w:footnoteReference w:id="7"/>
      </w:r>
      <w:r>
        <w:t xml:space="preserve"> which show at a granular level the gaps in c</w:t>
      </w:r>
      <w:r w:rsidR="00063EFE">
        <w:t>onnectivity</w:t>
      </w:r>
      <w:r w:rsidR="00D25B0C">
        <w:t xml:space="preserve"> to schools and libraries</w:t>
      </w:r>
      <w:r w:rsidR="00063EFE">
        <w:t xml:space="preserve"> across the nation; </w:t>
      </w:r>
      <w:r w:rsidR="007F19E0">
        <w:t xml:space="preserve">while we continue to iterate </w:t>
      </w:r>
      <w:r w:rsidR="00D25B0C">
        <w:t xml:space="preserve">these </w:t>
      </w:r>
      <w:r w:rsidR="007F19E0">
        <w:t>map</w:t>
      </w:r>
      <w:r w:rsidR="00D25B0C">
        <w:t>s</w:t>
      </w:r>
      <w:r w:rsidR="007F19E0">
        <w:t xml:space="preserve"> as we receive additional data, </w:t>
      </w:r>
      <w:r w:rsidR="00D25B0C">
        <w:t xml:space="preserve">these </w:t>
      </w:r>
      <w:r w:rsidR="00063EFE">
        <w:t>map</w:t>
      </w:r>
      <w:r w:rsidR="00D25B0C">
        <w:t>s</w:t>
      </w:r>
      <w:r w:rsidR="00063EFE">
        <w:t xml:space="preserve"> </w:t>
      </w:r>
      <w:r w:rsidR="00D25B0C">
        <w:t xml:space="preserve">are </w:t>
      </w:r>
      <w:r>
        <w:t xml:space="preserve">the most comprehensive source </w:t>
      </w:r>
      <w:r w:rsidR="00CF6D38">
        <w:t>describing</w:t>
      </w:r>
      <w:r>
        <w:t xml:space="preserve"> </w:t>
      </w:r>
      <w:r w:rsidR="00063EFE">
        <w:t xml:space="preserve">the current state of </w:t>
      </w:r>
      <w:r>
        <w:t>the nation</w:t>
      </w:r>
      <w:r w:rsidR="00CF6D38">
        <w:t>’s school and library</w:t>
      </w:r>
      <w:r>
        <w:t xml:space="preserve"> connectivity.</w:t>
      </w:r>
      <w:r w:rsidR="00FC58B4">
        <w:rPr>
          <w:rStyle w:val="FootnoteReference"/>
        </w:rPr>
        <w:footnoteReference w:id="8"/>
      </w:r>
    </w:p>
    <w:p w14:paraId="3072891F" w14:textId="77777777" w:rsidR="007028F2" w:rsidRDefault="007F19E0" w:rsidP="007028F2">
      <w:pPr>
        <w:pStyle w:val="ListParagraph"/>
        <w:numPr>
          <w:ilvl w:val="0"/>
          <w:numId w:val="2"/>
        </w:numPr>
      </w:pPr>
      <w:r>
        <w:t xml:space="preserve">The </w:t>
      </w:r>
      <w:r w:rsidR="007028F2">
        <w:t xml:space="preserve">FCC </w:t>
      </w:r>
      <w:r w:rsidR="00CF6D38" w:rsidRPr="00630ED7">
        <w:rPr>
          <w:i/>
          <w:u w:val="single"/>
        </w:rPr>
        <w:t>Staff Report</w:t>
      </w:r>
      <w:r w:rsidR="00130F7F">
        <w:rPr>
          <w:u w:val="single"/>
        </w:rPr>
        <w:t>,</w:t>
      </w:r>
      <w:r w:rsidR="007028F2">
        <w:t xml:space="preserve"> which for the first time made available </w:t>
      </w:r>
      <w:r w:rsidR="00CF6D38">
        <w:t>detailed</w:t>
      </w:r>
      <w:r w:rsidR="007028F2">
        <w:t xml:space="preserve"> data on </w:t>
      </w:r>
      <w:r w:rsidR="00C4340F">
        <w:t>E-rate</w:t>
      </w:r>
      <w:r w:rsidR="007028F2">
        <w:t xml:space="preserve"> spending</w:t>
      </w:r>
      <w:r w:rsidR="00063EFE">
        <w:t xml:space="preserve"> levels</w:t>
      </w:r>
      <w:r w:rsidR="007028F2">
        <w:t xml:space="preserve"> and prices</w:t>
      </w:r>
      <w:r w:rsidR="00063EFE">
        <w:t xml:space="preserve"> paid by beneficiaries</w:t>
      </w:r>
      <w:r w:rsidR="007028F2">
        <w:t>.</w:t>
      </w:r>
      <w:r w:rsidR="00FC58B4">
        <w:rPr>
          <w:rStyle w:val="FootnoteReference"/>
        </w:rPr>
        <w:footnoteReference w:id="9"/>
      </w:r>
      <w:r w:rsidR="007028F2">
        <w:t xml:space="preserve">  </w:t>
      </w:r>
    </w:p>
    <w:p w14:paraId="350347FF" w14:textId="77777777" w:rsidR="00CD6706" w:rsidRDefault="00D25B0C" w:rsidP="007028F2">
      <w:pPr>
        <w:pStyle w:val="ListParagraph"/>
        <w:numPr>
          <w:ilvl w:val="0"/>
          <w:numId w:val="2"/>
        </w:numPr>
      </w:pPr>
      <w:r>
        <w:t xml:space="preserve">The </w:t>
      </w:r>
      <w:r w:rsidR="00CD6706" w:rsidRPr="00630ED7">
        <w:rPr>
          <w:u w:val="single"/>
        </w:rPr>
        <w:t>State School Connectivity Profiles</w:t>
      </w:r>
      <w:r w:rsidRPr="00630ED7">
        <w:t>,</w:t>
      </w:r>
      <w:r w:rsidR="00CD6706">
        <w:t xml:space="preserve"> </w:t>
      </w:r>
      <w:r>
        <w:t xml:space="preserve">prepared by FCC staff, </w:t>
      </w:r>
      <w:r w:rsidR="00CD6706">
        <w:t xml:space="preserve">describing </w:t>
      </w:r>
      <w:r>
        <w:t xml:space="preserve">thirteen </w:t>
      </w:r>
      <w:r w:rsidR="00CD6706">
        <w:t>states’ connectivity and pricing situations.</w:t>
      </w:r>
      <w:r w:rsidR="00FC58B4">
        <w:rPr>
          <w:rStyle w:val="FootnoteReference"/>
        </w:rPr>
        <w:footnoteReference w:id="10"/>
      </w:r>
      <w:r w:rsidR="00CD6706">
        <w:t xml:space="preserve"> </w:t>
      </w:r>
    </w:p>
    <w:p w14:paraId="59EDE464" w14:textId="77777777" w:rsidR="007028F2" w:rsidRDefault="007F19E0" w:rsidP="00530941">
      <w:pPr>
        <w:pStyle w:val="ListParagraph"/>
        <w:numPr>
          <w:ilvl w:val="0"/>
          <w:numId w:val="2"/>
        </w:numPr>
      </w:pPr>
      <w:r>
        <w:t xml:space="preserve">The </w:t>
      </w:r>
      <w:r w:rsidRPr="00630ED7">
        <w:rPr>
          <w:u w:val="single"/>
        </w:rPr>
        <w:t>Co</w:t>
      </w:r>
      <w:r w:rsidR="009F7510" w:rsidRPr="00630ED7">
        <w:rPr>
          <w:u w:val="single"/>
        </w:rPr>
        <w:t>nsortium</w:t>
      </w:r>
      <w:r w:rsidRPr="00630ED7">
        <w:rPr>
          <w:u w:val="single"/>
        </w:rPr>
        <w:t xml:space="preserve"> </w:t>
      </w:r>
      <w:r w:rsidR="00874DE9" w:rsidRPr="00630ED7">
        <w:rPr>
          <w:u w:val="single"/>
        </w:rPr>
        <w:t>for State Networking</w:t>
      </w:r>
      <w:r w:rsidR="009F7510" w:rsidRPr="00630ED7">
        <w:rPr>
          <w:u w:val="single"/>
        </w:rPr>
        <w:t>’</w:t>
      </w:r>
      <w:r w:rsidR="00874DE9" w:rsidRPr="00630ED7">
        <w:rPr>
          <w:u w:val="single"/>
        </w:rPr>
        <w:t>s (</w:t>
      </w:r>
      <w:r w:rsidR="007028F2" w:rsidRPr="00630ED7">
        <w:rPr>
          <w:u w:val="single"/>
        </w:rPr>
        <w:t>CoSN</w:t>
      </w:r>
      <w:r w:rsidR="00874DE9" w:rsidRPr="00630ED7">
        <w:rPr>
          <w:u w:val="single"/>
        </w:rPr>
        <w:t>)</w:t>
      </w:r>
      <w:r w:rsidR="007028F2" w:rsidRPr="00630ED7">
        <w:rPr>
          <w:u w:val="single"/>
        </w:rPr>
        <w:t xml:space="preserve"> 2</w:t>
      </w:r>
      <w:r w:rsidR="007028F2" w:rsidRPr="00630ED7">
        <w:rPr>
          <w:u w:val="single"/>
          <w:vertAlign w:val="superscript"/>
        </w:rPr>
        <w:t>nd</w:t>
      </w:r>
      <w:r w:rsidR="007028F2" w:rsidRPr="00630ED7">
        <w:rPr>
          <w:u w:val="single"/>
        </w:rPr>
        <w:t xml:space="preserve"> Annual </w:t>
      </w:r>
      <w:r w:rsidR="00C4340F">
        <w:rPr>
          <w:u w:val="single"/>
        </w:rPr>
        <w:t>E-rate</w:t>
      </w:r>
      <w:r w:rsidR="007028F2" w:rsidRPr="00630ED7">
        <w:rPr>
          <w:u w:val="single"/>
        </w:rPr>
        <w:t xml:space="preserve"> and Infrastructure Survey</w:t>
      </w:r>
      <w:r w:rsidR="00CF6D38">
        <w:t xml:space="preserve"> (“CoSN Survey”)</w:t>
      </w:r>
      <w:r w:rsidR="00130F7F">
        <w:t>,</w:t>
      </w:r>
      <w:r w:rsidR="007028F2">
        <w:t xml:space="preserve"> </w:t>
      </w:r>
      <w:r w:rsidR="00530941">
        <w:t>which includes responses from over 1,000 district administrators and technology leaders/Chief Technology Officers, with 584 providing full responses.</w:t>
      </w:r>
      <w:r w:rsidR="00FC58B4">
        <w:rPr>
          <w:rStyle w:val="FootnoteReference"/>
        </w:rPr>
        <w:footnoteReference w:id="11"/>
      </w:r>
    </w:p>
    <w:p w14:paraId="165FB99B" w14:textId="77777777" w:rsidR="007028F2" w:rsidRDefault="00FC58B4" w:rsidP="007028F2">
      <w:pPr>
        <w:pStyle w:val="ListParagraph"/>
        <w:numPr>
          <w:ilvl w:val="0"/>
          <w:numId w:val="2"/>
        </w:numPr>
      </w:pPr>
      <w:r>
        <w:t xml:space="preserve">An </w:t>
      </w:r>
      <w:r w:rsidR="007028F2" w:rsidRPr="00630ED7">
        <w:rPr>
          <w:u w:val="single"/>
        </w:rPr>
        <w:t>Education SuperHighway/CoSN</w:t>
      </w:r>
      <w:r w:rsidR="00CF6D38" w:rsidRPr="00630ED7">
        <w:rPr>
          <w:u w:val="single"/>
        </w:rPr>
        <w:t xml:space="preserve"> (“ESH/CoSN”)</w:t>
      </w:r>
      <w:r w:rsidR="007028F2" w:rsidRPr="00630ED7">
        <w:rPr>
          <w:u w:val="single"/>
        </w:rPr>
        <w:t xml:space="preserve"> cost model</w:t>
      </w:r>
      <w:r w:rsidR="00130F7F">
        <w:rPr>
          <w:u w:val="single"/>
        </w:rPr>
        <w:t>,</w:t>
      </w:r>
      <w:r w:rsidR="007028F2">
        <w:t xml:space="preserve"> which estimates the five-year</w:t>
      </w:r>
      <w:r w:rsidR="000E0CFB">
        <w:t xml:space="preserve"> operational expenditures</w:t>
      </w:r>
      <w:r w:rsidR="007028F2">
        <w:t xml:space="preserve"> </w:t>
      </w:r>
      <w:r w:rsidR="000E0CFB">
        <w:t>(</w:t>
      </w:r>
      <w:r w:rsidR="007028F2">
        <w:t>OPEX</w:t>
      </w:r>
      <w:r w:rsidR="000E0CFB">
        <w:t>)</w:t>
      </w:r>
      <w:r w:rsidR="007028F2">
        <w:t xml:space="preserve"> and</w:t>
      </w:r>
      <w:r w:rsidR="000E0CFB">
        <w:t xml:space="preserve"> capital expenditures</w:t>
      </w:r>
      <w:r>
        <w:t xml:space="preserve"> </w:t>
      </w:r>
      <w:r w:rsidR="000E0CFB">
        <w:t>(</w:t>
      </w:r>
      <w:r>
        <w:t>CAPEX</w:t>
      </w:r>
      <w:r w:rsidR="000E0CFB">
        <w:t>)</w:t>
      </w:r>
      <w:r>
        <w:t xml:space="preserve"> for public schools to reach the</w:t>
      </w:r>
      <w:r w:rsidR="00371A62">
        <w:t xml:space="preserve"> </w:t>
      </w:r>
      <w:r w:rsidR="009F7510">
        <w:t xml:space="preserve">Internet access and WAN connectivity </w:t>
      </w:r>
      <w:r w:rsidR="00874DE9">
        <w:t>targets adopted by the Commission</w:t>
      </w:r>
      <w:r w:rsidR="007028F2">
        <w:t>.</w:t>
      </w:r>
      <w:r>
        <w:rPr>
          <w:rStyle w:val="FootnoteReference"/>
        </w:rPr>
        <w:footnoteReference w:id="12"/>
      </w:r>
    </w:p>
    <w:p w14:paraId="71602AA6" w14:textId="77777777" w:rsidR="007104B2" w:rsidRDefault="009F7510" w:rsidP="007028F2">
      <w:pPr>
        <w:pStyle w:val="ListParagraph"/>
        <w:numPr>
          <w:ilvl w:val="0"/>
          <w:numId w:val="2"/>
        </w:numPr>
      </w:pPr>
      <w:r>
        <w:lastRenderedPageBreak/>
        <w:t xml:space="preserve">The </w:t>
      </w:r>
      <w:r w:rsidR="005E153B">
        <w:t xml:space="preserve">ESH </w:t>
      </w:r>
      <w:r w:rsidR="00C4340F">
        <w:rPr>
          <w:u w:val="single"/>
        </w:rPr>
        <w:t>E-rate</w:t>
      </w:r>
      <w:r w:rsidR="005E153B" w:rsidRPr="00630ED7">
        <w:rPr>
          <w:u w:val="single"/>
        </w:rPr>
        <w:t xml:space="preserve"> Policy Options Analysis</w:t>
      </w:r>
      <w:r w:rsidR="00130F7F">
        <w:rPr>
          <w:u w:val="single"/>
        </w:rPr>
        <w:t>,</w:t>
      </w:r>
      <w:r w:rsidR="005E153B">
        <w:t xml:space="preserve"> which assesses policy actions to lower the ongoing operating cost of broadband for </w:t>
      </w:r>
      <w:r w:rsidR="0024637A">
        <w:t>K</w:t>
      </w:r>
      <w:r w:rsidR="005E153B">
        <w:t>-12 public schools.</w:t>
      </w:r>
      <w:r w:rsidR="005E153B">
        <w:rPr>
          <w:rStyle w:val="FootnoteReference"/>
        </w:rPr>
        <w:footnoteReference w:id="13"/>
      </w:r>
    </w:p>
    <w:p w14:paraId="11511D1E" w14:textId="77777777" w:rsidR="007028F2" w:rsidRDefault="00FC58B4" w:rsidP="007028F2">
      <w:pPr>
        <w:pStyle w:val="ListParagraph"/>
        <w:numPr>
          <w:ilvl w:val="0"/>
          <w:numId w:val="2"/>
        </w:numPr>
      </w:pPr>
      <w:r>
        <w:t xml:space="preserve">A </w:t>
      </w:r>
      <w:r w:rsidR="007028F2" w:rsidRPr="00630ED7">
        <w:rPr>
          <w:u w:val="single"/>
        </w:rPr>
        <w:t>Schools, Health, &amp; Libraries Broadband Coalition (</w:t>
      </w:r>
      <w:r w:rsidR="00CF6D38" w:rsidRPr="00630ED7">
        <w:rPr>
          <w:u w:val="single"/>
        </w:rPr>
        <w:t>“</w:t>
      </w:r>
      <w:r w:rsidR="007028F2" w:rsidRPr="00630ED7">
        <w:rPr>
          <w:u w:val="single"/>
        </w:rPr>
        <w:t>SHLB</w:t>
      </w:r>
      <w:r w:rsidR="00CF6D38" w:rsidRPr="00630ED7">
        <w:rPr>
          <w:u w:val="single"/>
        </w:rPr>
        <w:t>”</w:t>
      </w:r>
      <w:r w:rsidR="007028F2" w:rsidRPr="00630ED7">
        <w:rPr>
          <w:u w:val="single"/>
        </w:rPr>
        <w:t xml:space="preserve">) </w:t>
      </w:r>
      <w:r w:rsidR="00530941" w:rsidRPr="00630ED7">
        <w:rPr>
          <w:u w:val="single"/>
        </w:rPr>
        <w:t xml:space="preserve">cost </w:t>
      </w:r>
      <w:r w:rsidR="007028F2" w:rsidRPr="00630ED7">
        <w:rPr>
          <w:u w:val="single"/>
        </w:rPr>
        <w:t>model</w:t>
      </w:r>
      <w:r w:rsidR="007A5F4E">
        <w:rPr>
          <w:u w:val="single"/>
        </w:rPr>
        <w:t>,</w:t>
      </w:r>
      <w:r w:rsidR="007028F2">
        <w:t xml:space="preserve"> which estimates the CAPEX </w:t>
      </w:r>
      <w:r w:rsidR="00BE7AE2">
        <w:t xml:space="preserve">necessary </w:t>
      </w:r>
      <w:r w:rsidR="007028F2">
        <w:t>to connect all</w:t>
      </w:r>
      <w:r w:rsidR="00874DE9">
        <w:t xml:space="preserve"> eligible</w:t>
      </w:r>
      <w:r w:rsidR="007028F2">
        <w:t xml:space="preserve"> public and private schools and libraries.</w:t>
      </w:r>
      <w:r>
        <w:rPr>
          <w:rStyle w:val="FootnoteReference"/>
        </w:rPr>
        <w:footnoteReference w:id="14"/>
      </w:r>
    </w:p>
    <w:p w14:paraId="6FD6B048" w14:textId="77777777" w:rsidR="00975E09" w:rsidRDefault="006F7C19" w:rsidP="007028F2">
      <w:pPr>
        <w:pStyle w:val="ListParagraph"/>
        <w:numPr>
          <w:ilvl w:val="0"/>
          <w:numId w:val="2"/>
        </w:numPr>
      </w:pPr>
      <w:r>
        <w:t xml:space="preserve">A </w:t>
      </w:r>
      <w:r w:rsidR="00975E09" w:rsidRPr="00630ED7">
        <w:rPr>
          <w:u w:val="single"/>
        </w:rPr>
        <w:t>LEAD Commission/Alliance for Excellent Education</w:t>
      </w:r>
      <w:r w:rsidR="000E7B67" w:rsidRPr="00630ED7">
        <w:rPr>
          <w:u w:val="single"/>
        </w:rPr>
        <w:t xml:space="preserve"> (</w:t>
      </w:r>
      <w:r w:rsidR="00CF6D38" w:rsidRPr="00630ED7">
        <w:rPr>
          <w:u w:val="single"/>
        </w:rPr>
        <w:t>“</w:t>
      </w:r>
      <w:r w:rsidR="000E7B67" w:rsidRPr="00630ED7">
        <w:rPr>
          <w:u w:val="single"/>
        </w:rPr>
        <w:t>LEAD/AEE</w:t>
      </w:r>
      <w:r w:rsidR="00CF6D38" w:rsidRPr="00630ED7">
        <w:rPr>
          <w:u w:val="single"/>
        </w:rPr>
        <w:t>”</w:t>
      </w:r>
      <w:r w:rsidR="000E7B67" w:rsidRPr="00630ED7">
        <w:rPr>
          <w:u w:val="single"/>
        </w:rPr>
        <w:t>)</w:t>
      </w:r>
      <w:r w:rsidR="00975E09" w:rsidRPr="00630ED7">
        <w:rPr>
          <w:u w:val="single"/>
        </w:rPr>
        <w:t xml:space="preserve"> </w:t>
      </w:r>
      <w:r w:rsidR="00530941" w:rsidRPr="00630ED7">
        <w:rPr>
          <w:u w:val="single"/>
        </w:rPr>
        <w:t>equity study</w:t>
      </w:r>
      <w:r w:rsidR="00530941">
        <w:t xml:space="preserve"> </w:t>
      </w:r>
      <w:r w:rsidR="00975E09">
        <w:t>analyzing gaps in access to high-speed Internet for African American, Latino, low-income, and rural students.</w:t>
      </w:r>
      <w:r w:rsidR="00FC58B4">
        <w:rPr>
          <w:rStyle w:val="FootnoteReference"/>
        </w:rPr>
        <w:footnoteReference w:id="15"/>
      </w:r>
    </w:p>
    <w:p w14:paraId="1A35B6B1" w14:textId="77777777" w:rsidR="007028F2" w:rsidRDefault="007028F2" w:rsidP="007028F2">
      <w:pPr>
        <w:pStyle w:val="ListParagraph"/>
        <w:numPr>
          <w:ilvl w:val="0"/>
          <w:numId w:val="2"/>
        </w:numPr>
      </w:pPr>
      <w:r w:rsidRPr="00630ED7">
        <w:rPr>
          <w:u w:val="single"/>
        </w:rPr>
        <w:t>North Carolina and Washington state data</w:t>
      </w:r>
      <w:r>
        <w:t xml:space="preserve"> on districts’ </w:t>
      </w:r>
      <w:r w:rsidR="006F7C19">
        <w:t xml:space="preserve">actual </w:t>
      </w:r>
      <w:r w:rsidR="009F7510">
        <w:t xml:space="preserve">bandwidth </w:t>
      </w:r>
      <w:r w:rsidR="006F7C19">
        <w:t>usage over time</w:t>
      </w:r>
      <w:r>
        <w:t>.</w:t>
      </w:r>
      <w:r w:rsidR="00FC58B4">
        <w:rPr>
          <w:rStyle w:val="FootnoteReference"/>
        </w:rPr>
        <w:footnoteReference w:id="16"/>
      </w:r>
      <w:r>
        <w:t xml:space="preserve"> </w:t>
      </w:r>
    </w:p>
    <w:p w14:paraId="19AE5395" w14:textId="14E799C4" w:rsidR="007028F2" w:rsidRDefault="007028F2" w:rsidP="00C453C8">
      <w:pPr>
        <w:pStyle w:val="ParaNum"/>
      </w:pPr>
      <w:r>
        <w:t xml:space="preserve">In addition to these </w:t>
      </w:r>
      <w:r w:rsidR="00975E09">
        <w:t>specific items, numerous filers</w:t>
      </w:r>
      <w:r>
        <w:t xml:space="preserve"> have profiled specific schools’ broadband technology needs</w:t>
      </w:r>
      <w:r w:rsidR="00FC58B4">
        <w:t xml:space="preserve"> and challenges</w:t>
      </w:r>
      <w:r>
        <w:t>.</w:t>
      </w:r>
      <w:r w:rsidR="00FC58B4">
        <w:rPr>
          <w:rStyle w:val="FootnoteReference"/>
        </w:rPr>
        <w:footnoteReference w:id="17"/>
      </w:r>
      <w:r w:rsidR="00454281">
        <w:t xml:space="preserve">  A large amount of data from a variety of sources is also available on the </w:t>
      </w:r>
      <w:r w:rsidR="00C4340F" w:rsidRPr="00521802">
        <w:rPr>
          <w:u w:val="single"/>
        </w:rPr>
        <w:t>E-rate</w:t>
      </w:r>
      <w:r w:rsidR="00454281" w:rsidRPr="00521802">
        <w:rPr>
          <w:u w:val="single"/>
        </w:rPr>
        <w:t xml:space="preserve"> Modernization Data page</w:t>
      </w:r>
      <w:r w:rsidR="00454281">
        <w:t>.</w:t>
      </w:r>
      <w:r w:rsidR="00A71D76">
        <w:rPr>
          <w:rStyle w:val="FootnoteReference"/>
        </w:rPr>
        <w:footnoteReference w:id="18"/>
      </w:r>
      <w:r w:rsidR="00454281">
        <w:t xml:space="preserve"> </w:t>
      </w:r>
    </w:p>
    <w:p w14:paraId="7797393D" w14:textId="77777777" w:rsidR="001B000B" w:rsidRPr="00EA75AF" w:rsidRDefault="003F21A7" w:rsidP="00C453C8">
      <w:pPr>
        <w:pStyle w:val="Heading1"/>
      </w:pPr>
      <w:r>
        <w:t>State of</w:t>
      </w:r>
      <w:r w:rsidR="00C453C8" w:rsidRPr="00C453C8">
        <w:t xml:space="preserve"> affordable access to high-speed broadband</w:t>
      </w:r>
    </w:p>
    <w:p w14:paraId="7F7BDF21" w14:textId="77777777" w:rsidR="00211B7D" w:rsidRDefault="001C0FB1" w:rsidP="002A4E7F">
      <w:pPr>
        <w:pStyle w:val="ParaNum"/>
      </w:pPr>
      <w:r>
        <w:t xml:space="preserve">In the </w:t>
      </w:r>
      <w:r w:rsidR="00C4340F">
        <w:rPr>
          <w:i/>
        </w:rPr>
        <w:t>E-rate</w:t>
      </w:r>
      <w:r w:rsidRPr="001C0FB1">
        <w:rPr>
          <w:i/>
        </w:rPr>
        <w:t xml:space="preserve"> Modernization Order</w:t>
      </w:r>
      <w:r>
        <w:t>, t</w:t>
      </w:r>
      <w:r w:rsidR="00F87CAC">
        <w:t xml:space="preserve">he Commission adopted </w:t>
      </w:r>
      <w:r w:rsidR="002A4E7F">
        <w:t>as its “first goal ensuring affordable access to high-speed broadband sufficient to support digital learning in schools and robust connectivity for all libraries.”</w:t>
      </w:r>
      <w:r w:rsidR="002A4E7F">
        <w:rPr>
          <w:rStyle w:val="FootnoteReference"/>
        </w:rPr>
        <w:footnoteReference w:id="19"/>
      </w:r>
      <w:r w:rsidR="002A4E7F">
        <w:t xml:space="preserve">  To measure progress towards this goal, the Commission adopted </w:t>
      </w:r>
      <w:r>
        <w:t>connectivity targets for Internet access and Wide Area Network</w:t>
      </w:r>
      <w:r w:rsidR="0026119E">
        <w:t xml:space="preserve"> (WAN)</w:t>
      </w:r>
      <w:r>
        <w:t xml:space="preserve"> or last mile </w:t>
      </w:r>
      <w:r w:rsidR="0026119E">
        <w:t>connections</w:t>
      </w:r>
      <w:r w:rsidR="00211B7D">
        <w:t xml:space="preserve">, as summarized in </w:t>
      </w:r>
      <w:r w:rsidR="00A16AC6">
        <w:t>Table 1</w:t>
      </w:r>
      <w:r w:rsidR="0026119E">
        <w:t xml:space="preserve">.  </w:t>
      </w:r>
    </w:p>
    <w:p w14:paraId="4E2BEC80" w14:textId="77777777" w:rsidR="00211B7D" w:rsidRPr="00211B7D" w:rsidRDefault="00A16AC6" w:rsidP="00521802">
      <w:pPr>
        <w:pStyle w:val="ParaNum"/>
        <w:keepNext/>
        <w:keepLines/>
        <w:numPr>
          <w:ilvl w:val="0"/>
          <w:numId w:val="0"/>
        </w:numPr>
        <w:jc w:val="center"/>
        <w:rPr>
          <w:b/>
        </w:rPr>
      </w:pPr>
      <w:r>
        <w:rPr>
          <w:b/>
        </w:rPr>
        <w:t>Table 1</w:t>
      </w:r>
      <w:r w:rsidR="00211B7D" w:rsidRPr="00211B7D">
        <w:rPr>
          <w:b/>
        </w:rPr>
        <w:t>: Long-</w:t>
      </w:r>
      <w:r w:rsidR="00C4340F">
        <w:rPr>
          <w:b/>
        </w:rPr>
        <w:t>T</w:t>
      </w:r>
      <w:r w:rsidR="00211B7D" w:rsidRPr="00211B7D">
        <w:rPr>
          <w:b/>
        </w:rPr>
        <w:t>erm Connectivity Targets</w:t>
      </w:r>
      <w:r w:rsidR="00211B7D">
        <w:rPr>
          <w:rStyle w:val="FootnoteReference"/>
          <w:b/>
        </w:rPr>
        <w:footnoteReference w:id="20"/>
      </w:r>
    </w:p>
    <w:tbl>
      <w:tblPr>
        <w:tblStyle w:val="MediumList2"/>
        <w:tblW w:w="0" w:type="auto"/>
        <w:tblLook w:val="04A0" w:firstRow="1" w:lastRow="0" w:firstColumn="1" w:lastColumn="0" w:noHBand="0" w:noVBand="1"/>
      </w:tblPr>
      <w:tblGrid>
        <w:gridCol w:w="2358"/>
        <w:gridCol w:w="2880"/>
        <w:gridCol w:w="4338"/>
      </w:tblGrid>
      <w:tr w:rsidR="00FA4722" w14:paraId="7AE8EC19" w14:textId="77777777" w:rsidTr="00A16AC6">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2358" w:type="dxa"/>
            <w:tcBorders>
              <w:bottom w:val="single" w:sz="8" w:space="0" w:color="000000" w:themeColor="text1"/>
            </w:tcBorders>
            <w:vAlign w:val="center"/>
          </w:tcPr>
          <w:p w14:paraId="061CB98E" w14:textId="77777777" w:rsidR="00211B7D" w:rsidRDefault="00211B7D" w:rsidP="00521802">
            <w:pPr>
              <w:pStyle w:val="ParaNum"/>
              <w:keepNext/>
              <w:keepLines/>
              <w:numPr>
                <w:ilvl w:val="0"/>
                <w:numId w:val="0"/>
              </w:numPr>
              <w:spacing w:after="0"/>
              <w:jc w:val="center"/>
              <w:rPr>
                <w:rFonts w:eastAsiaTheme="minorHAnsi" w:cstheme="minorBidi"/>
                <w:color w:val="auto"/>
                <w:sz w:val="22"/>
                <w:szCs w:val="22"/>
              </w:rPr>
            </w:pPr>
          </w:p>
        </w:tc>
        <w:tc>
          <w:tcPr>
            <w:tcW w:w="2880" w:type="dxa"/>
            <w:tcBorders>
              <w:bottom w:val="single" w:sz="8" w:space="0" w:color="000000" w:themeColor="text1"/>
            </w:tcBorders>
            <w:vAlign w:val="center"/>
          </w:tcPr>
          <w:p w14:paraId="170721E7" w14:textId="77777777" w:rsidR="00211B7D" w:rsidRPr="00211B7D" w:rsidRDefault="00211B7D" w:rsidP="00521802">
            <w:pPr>
              <w:pStyle w:val="ParaNum"/>
              <w:keepNext/>
              <w:keepLines/>
              <w:numPr>
                <w:ilvl w:val="0"/>
                <w:numId w:val="0"/>
              </w:numPr>
              <w:spacing w:after="0"/>
              <w:cnfStyle w:val="100000000000" w:firstRow="1" w:lastRow="0" w:firstColumn="0" w:lastColumn="0" w:oddVBand="0" w:evenVBand="0" w:oddHBand="0" w:evenHBand="0" w:firstRowFirstColumn="0" w:firstRowLastColumn="0" w:lastRowFirstColumn="0" w:lastRowLastColumn="0"/>
              <w:rPr>
                <w:rFonts w:eastAsiaTheme="minorHAnsi" w:cstheme="minorBidi"/>
                <w:b/>
                <w:color w:val="auto"/>
                <w:sz w:val="22"/>
                <w:szCs w:val="22"/>
              </w:rPr>
            </w:pPr>
            <w:r w:rsidRPr="00211B7D">
              <w:rPr>
                <w:b/>
              </w:rPr>
              <w:t>Schools</w:t>
            </w:r>
          </w:p>
        </w:tc>
        <w:tc>
          <w:tcPr>
            <w:tcW w:w="4338" w:type="dxa"/>
            <w:tcBorders>
              <w:bottom w:val="single" w:sz="8" w:space="0" w:color="000000" w:themeColor="text1"/>
            </w:tcBorders>
            <w:vAlign w:val="center"/>
          </w:tcPr>
          <w:p w14:paraId="07AC5FEE" w14:textId="77777777" w:rsidR="00211B7D" w:rsidRPr="00211B7D" w:rsidRDefault="00211B7D" w:rsidP="00521802">
            <w:pPr>
              <w:pStyle w:val="ParaNum"/>
              <w:keepNext/>
              <w:keepLines/>
              <w:numPr>
                <w:ilvl w:val="0"/>
                <w:numId w:val="0"/>
              </w:numPr>
              <w:spacing w:after="0"/>
              <w:cnfStyle w:val="100000000000" w:firstRow="1" w:lastRow="0" w:firstColumn="0" w:lastColumn="0" w:oddVBand="0" w:evenVBand="0" w:oddHBand="0" w:evenHBand="0" w:firstRowFirstColumn="0" w:firstRowLastColumn="0" w:lastRowFirstColumn="0" w:lastRowLastColumn="0"/>
              <w:rPr>
                <w:rFonts w:eastAsiaTheme="minorHAnsi" w:cstheme="minorBidi"/>
                <w:b/>
                <w:color w:val="auto"/>
                <w:sz w:val="22"/>
                <w:szCs w:val="22"/>
              </w:rPr>
            </w:pPr>
            <w:r w:rsidRPr="00211B7D">
              <w:rPr>
                <w:b/>
              </w:rPr>
              <w:t>Libraries</w:t>
            </w:r>
          </w:p>
        </w:tc>
      </w:tr>
      <w:tr w:rsidR="00FA4722" w14:paraId="261B7433" w14:textId="77777777" w:rsidTr="00A16A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8" w:space="0" w:color="000000" w:themeColor="text1"/>
              <w:left w:val="single" w:sz="8" w:space="0" w:color="000000" w:themeColor="text1"/>
              <w:bottom w:val="single" w:sz="8" w:space="0" w:color="000000" w:themeColor="text1"/>
              <w:right w:val="nil"/>
            </w:tcBorders>
            <w:vAlign w:val="center"/>
          </w:tcPr>
          <w:p w14:paraId="54B67597" w14:textId="77777777" w:rsidR="00211B7D" w:rsidRPr="00211B7D" w:rsidRDefault="00211B7D" w:rsidP="00630ED7">
            <w:pPr>
              <w:pStyle w:val="ParaNum"/>
              <w:numPr>
                <w:ilvl w:val="0"/>
                <w:numId w:val="0"/>
              </w:numPr>
              <w:spacing w:after="0"/>
              <w:jc w:val="center"/>
              <w:rPr>
                <w:rFonts w:eastAsiaTheme="minorHAnsi" w:cstheme="minorBidi"/>
                <w:b/>
                <w:color w:val="auto"/>
              </w:rPr>
            </w:pPr>
            <w:r w:rsidRPr="00211B7D">
              <w:rPr>
                <w:b/>
              </w:rPr>
              <w:t>Internet Access</w:t>
            </w:r>
          </w:p>
        </w:tc>
        <w:tc>
          <w:tcPr>
            <w:tcW w:w="2880" w:type="dxa"/>
            <w:tcBorders>
              <w:top w:val="single" w:sz="8" w:space="0" w:color="000000" w:themeColor="text1"/>
              <w:bottom w:val="single" w:sz="8" w:space="0" w:color="000000" w:themeColor="text1"/>
            </w:tcBorders>
            <w:shd w:val="clear" w:color="auto" w:fill="auto"/>
            <w:vAlign w:val="center"/>
          </w:tcPr>
          <w:p w14:paraId="76C9FB18" w14:textId="77777777" w:rsidR="00211B7D" w:rsidRDefault="00211B7D" w:rsidP="00A16AC6">
            <w:pPr>
              <w:pStyle w:val="ParaNum"/>
              <w:numPr>
                <w:ilvl w:val="0"/>
                <w:numId w:val="0"/>
              </w:numPr>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color w:val="auto"/>
              </w:rPr>
            </w:pPr>
            <w:r>
              <w:t>1 Gbps per 1,000 users</w:t>
            </w:r>
          </w:p>
        </w:tc>
        <w:tc>
          <w:tcPr>
            <w:tcW w:w="4338" w:type="dxa"/>
            <w:tcBorders>
              <w:top w:val="single" w:sz="8" w:space="0" w:color="000000" w:themeColor="text1"/>
              <w:bottom w:val="single" w:sz="8" w:space="0" w:color="000000" w:themeColor="text1"/>
            </w:tcBorders>
            <w:shd w:val="clear" w:color="auto" w:fill="auto"/>
            <w:vAlign w:val="center"/>
          </w:tcPr>
          <w:p w14:paraId="3DB2AE5F" w14:textId="77777777" w:rsidR="00211B7D" w:rsidRDefault="00556E8C" w:rsidP="00A16AC6">
            <w:pPr>
              <w:pStyle w:val="ParaNum"/>
              <w:numPr>
                <w:ilvl w:val="0"/>
                <w:numId w:val="0"/>
              </w:numPr>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color w:val="auto"/>
              </w:rPr>
            </w:pPr>
            <w:r>
              <w:t>Serving fewer than 50,000 people</w:t>
            </w:r>
            <w:r w:rsidR="00A16AC6">
              <w:t>:</w:t>
            </w:r>
            <w:r>
              <w:t xml:space="preserve"> 100 Mbps</w:t>
            </w:r>
          </w:p>
          <w:p w14:paraId="0AD846A9" w14:textId="77777777" w:rsidR="00556E8C" w:rsidRDefault="00556E8C" w:rsidP="00A16AC6">
            <w:pPr>
              <w:pStyle w:val="ParaNum"/>
              <w:numPr>
                <w:ilvl w:val="0"/>
                <w:numId w:val="0"/>
              </w:numPr>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color w:val="auto"/>
              </w:rPr>
            </w:pPr>
            <w:r>
              <w:t>Serving 50,000 people or more</w:t>
            </w:r>
            <w:r w:rsidR="00A16AC6">
              <w:t>:</w:t>
            </w:r>
            <w:r>
              <w:t xml:space="preserve"> 1 Gbps</w:t>
            </w:r>
          </w:p>
        </w:tc>
      </w:tr>
      <w:tr w:rsidR="00556E8C" w14:paraId="007CDF71" w14:textId="77777777" w:rsidTr="00A16AC6">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8" w:space="0" w:color="000000" w:themeColor="text1"/>
              <w:left w:val="single" w:sz="8" w:space="0" w:color="000000" w:themeColor="text1"/>
              <w:bottom w:val="single" w:sz="8" w:space="0" w:color="000000" w:themeColor="text1"/>
              <w:right w:val="nil"/>
            </w:tcBorders>
            <w:vAlign w:val="center"/>
          </w:tcPr>
          <w:p w14:paraId="064581DA" w14:textId="77777777" w:rsidR="00211B7D" w:rsidRPr="00211B7D" w:rsidRDefault="00211B7D" w:rsidP="00630ED7">
            <w:pPr>
              <w:pStyle w:val="ParaNum"/>
              <w:numPr>
                <w:ilvl w:val="0"/>
                <w:numId w:val="0"/>
              </w:numPr>
              <w:spacing w:after="0"/>
              <w:jc w:val="center"/>
              <w:rPr>
                <w:rFonts w:eastAsiaTheme="minorHAnsi" w:cstheme="minorBidi"/>
                <w:b/>
                <w:color w:val="auto"/>
              </w:rPr>
            </w:pPr>
            <w:r w:rsidRPr="00211B7D">
              <w:rPr>
                <w:b/>
              </w:rPr>
              <w:t>WAN/Last Mile</w:t>
            </w:r>
          </w:p>
        </w:tc>
        <w:tc>
          <w:tcPr>
            <w:tcW w:w="2880" w:type="dxa"/>
            <w:tcBorders>
              <w:top w:val="single" w:sz="8" w:space="0" w:color="000000" w:themeColor="text1"/>
              <w:left w:val="nil"/>
              <w:bottom w:val="single" w:sz="8" w:space="0" w:color="000000" w:themeColor="text1"/>
              <w:right w:val="nil"/>
            </w:tcBorders>
            <w:vAlign w:val="center"/>
          </w:tcPr>
          <w:p w14:paraId="339339F3" w14:textId="77777777" w:rsidR="00211B7D" w:rsidRDefault="00211B7D" w:rsidP="00A16AC6">
            <w:pPr>
              <w:pStyle w:val="ParaNum"/>
              <w:numPr>
                <w:ilvl w:val="0"/>
                <w:numId w:val="0"/>
              </w:num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color w:val="auto"/>
              </w:rPr>
            </w:pPr>
            <w:r w:rsidRPr="00630ED7">
              <w:rPr>
                <w:i/>
              </w:rPr>
              <w:t>Scalable</w:t>
            </w:r>
            <w:r>
              <w:t xml:space="preserve"> to 1</w:t>
            </w:r>
            <w:r w:rsidR="00FA4722">
              <w:t>0</w:t>
            </w:r>
            <w:r>
              <w:t xml:space="preserve"> Gbps</w:t>
            </w:r>
          </w:p>
        </w:tc>
        <w:tc>
          <w:tcPr>
            <w:tcW w:w="4338" w:type="dxa"/>
            <w:tcBorders>
              <w:top w:val="single" w:sz="8" w:space="0" w:color="000000" w:themeColor="text1"/>
              <w:left w:val="nil"/>
              <w:bottom w:val="single" w:sz="8" w:space="0" w:color="000000" w:themeColor="text1"/>
            </w:tcBorders>
            <w:vAlign w:val="center"/>
          </w:tcPr>
          <w:p w14:paraId="3222EA22" w14:textId="77777777" w:rsidR="00211B7D" w:rsidRDefault="00FA4722" w:rsidP="00A16AC6">
            <w:pPr>
              <w:pStyle w:val="ParaNum"/>
              <w:numPr>
                <w:ilvl w:val="0"/>
                <w:numId w:val="0"/>
              </w:num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color w:val="auto"/>
              </w:rPr>
            </w:pPr>
            <w:r w:rsidRPr="0038070D">
              <w:rPr>
                <w:i/>
              </w:rPr>
              <w:t>Scalable</w:t>
            </w:r>
            <w:r>
              <w:t xml:space="preserve"> to 10 Gbps</w:t>
            </w:r>
          </w:p>
        </w:tc>
      </w:tr>
    </w:tbl>
    <w:p w14:paraId="5194914C" w14:textId="77777777" w:rsidR="00211B7D" w:rsidRDefault="00211B7D" w:rsidP="00211B7D">
      <w:pPr>
        <w:pStyle w:val="ParaNum"/>
        <w:numPr>
          <w:ilvl w:val="0"/>
          <w:numId w:val="0"/>
        </w:numPr>
      </w:pPr>
    </w:p>
    <w:p w14:paraId="4B96E0A2" w14:textId="77777777" w:rsidR="00A4540D" w:rsidRPr="00A4540D" w:rsidRDefault="00951385" w:rsidP="002A4E7F">
      <w:pPr>
        <w:pStyle w:val="ParaNum"/>
      </w:pPr>
      <w:r>
        <w:t>The recent</w:t>
      </w:r>
      <w:r w:rsidR="00A4540D">
        <w:t xml:space="preserve"> CoSN survey found that </w:t>
      </w:r>
      <w:r w:rsidR="00371A62">
        <w:t>6</w:t>
      </w:r>
      <w:r w:rsidR="00F82A8F">
        <w:t>8</w:t>
      </w:r>
      <w:r w:rsidR="00371A62">
        <w:t>% of all school districts do not have a single school that meets the Commission’s long-term connectivity targets.</w:t>
      </w:r>
      <w:r w:rsidR="00C453C8">
        <w:rPr>
          <w:rStyle w:val="FootnoteReference"/>
        </w:rPr>
        <w:footnoteReference w:id="21"/>
      </w:r>
      <w:r w:rsidR="00371A62">
        <w:t xml:space="preserve">  Further, in </w:t>
      </w:r>
      <w:r w:rsidR="00A4540D">
        <w:t xml:space="preserve">only 10% of </w:t>
      </w:r>
      <w:r w:rsidR="00647AD0">
        <w:t xml:space="preserve">school </w:t>
      </w:r>
      <w:r w:rsidR="00A4540D">
        <w:t xml:space="preserve">districts </w:t>
      </w:r>
      <w:r w:rsidR="00371A62">
        <w:t xml:space="preserve">did all their schools </w:t>
      </w:r>
      <w:r w:rsidR="00DD0F55">
        <w:t>m</w:t>
      </w:r>
      <w:r w:rsidR="00647AD0">
        <w:t>e</w:t>
      </w:r>
      <w:r w:rsidR="00DD0F55">
        <w:t>et</w:t>
      </w:r>
      <w:r w:rsidR="0026119E">
        <w:t xml:space="preserve"> the Commission’s long</w:t>
      </w:r>
      <w:r w:rsidR="00A4540D">
        <w:t xml:space="preserve">-term </w:t>
      </w:r>
      <w:r w:rsidR="00E80401">
        <w:t xml:space="preserve">Internet access </w:t>
      </w:r>
      <w:r w:rsidR="00647AD0">
        <w:t xml:space="preserve">target </w:t>
      </w:r>
      <w:r w:rsidR="00A4540D">
        <w:t>of 1 Gbps per 1</w:t>
      </w:r>
      <w:r w:rsidR="00647AD0">
        <w:t>,</w:t>
      </w:r>
      <w:r w:rsidR="00A4540D">
        <w:t>000 students.</w:t>
      </w:r>
      <w:r w:rsidR="00371A62">
        <w:rPr>
          <w:rStyle w:val="FootnoteReference"/>
        </w:rPr>
        <w:footnoteReference w:id="22"/>
      </w:r>
      <w:r w:rsidR="00A4540D">
        <w:t xml:space="preserve"> </w:t>
      </w:r>
      <w:r w:rsidR="00647AD0">
        <w:t xml:space="preserve"> </w:t>
      </w:r>
      <w:r>
        <w:t xml:space="preserve">  Similarly, ESH </w:t>
      </w:r>
      <w:r w:rsidR="00647AD0">
        <w:t xml:space="preserve">has found that </w:t>
      </w:r>
      <w:r>
        <w:t xml:space="preserve">63% of </w:t>
      </w:r>
      <w:r w:rsidR="00647AD0">
        <w:t xml:space="preserve">public </w:t>
      </w:r>
      <w:r>
        <w:t>schools</w:t>
      </w:r>
      <w:r w:rsidR="00647AD0">
        <w:t xml:space="preserve">, accounting for </w:t>
      </w:r>
      <w:r>
        <w:t>over 40 million students</w:t>
      </w:r>
      <w:r w:rsidR="00647AD0">
        <w:t>,</w:t>
      </w:r>
      <w:r>
        <w:t xml:space="preserve"> </w:t>
      </w:r>
      <w:r w:rsidR="00D546EE">
        <w:t xml:space="preserve">do not have sufficiently robust broadband connections to </w:t>
      </w:r>
      <w:r>
        <w:t>take advantage of modern digital learning.</w:t>
      </w:r>
      <w:r>
        <w:rPr>
          <w:rStyle w:val="FootnoteReference"/>
        </w:rPr>
        <w:footnoteReference w:id="23"/>
      </w:r>
      <w:r w:rsidR="00F76156">
        <w:t xml:space="preserve">  </w:t>
      </w:r>
      <w:r w:rsidR="00C4340F">
        <w:t>These and other fil</w:t>
      </w:r>
      <w:r w:rsidR="00DD0F55">
        <w:t xml:space="preserve">ings indicate that the Commission’s </w:t>
      </w:r>
      <w:r w:rsidR="00647AD0">
        <w:t xml:space="preserve">connectivity targets </w:t>
      </w:r>
      <w:r w:rsidR="00DD0F55">
        <w:t xml:space="preserve">will only be achieved if significantly more schools and libraries are able to overcome their </w:t>
      </w:r>
      <w:r w:rsidR="000B22EB">
        <w:t xml:space="preserve">lack of </w:t>
      </w:r>
      <w:r w:rsidR="00DD0F55">
        <w:t xml:space="preserve">access </w:t>
      </w:r>
      <w:r w:rsidR="00A4540D">
        <w:t>to high</w:t>
      </w:r>
      <w:r w:rsidR="000B22EB">
        <w:t>-</w:t>
      </w:r>
      <w:r w:rsidR="00A4540D">
        <w:t xml:space="preserve">capacity </w:t>
      </w:r>
      <w:r w:rsidR="000B22EB">
        <w:t xml:space="preserve">connections at an affordable price.  </w:t>
      </w:r>
      <w:r w:rsidR="00A4540D">
        <w:t xml:space="preserve">    </w:t>
      </w:r>
    </w:p>
    <w:p w14:paraId="76348BDA" w14:textId="77777777" w:rsidR="009C1082" w:rsidRPr="009C1082" w:rsidRDefault="00752B25" w:rsidP="00C453C8">
      <w:pPr>
        <w:pStyle w:val="Heading2"/>
      </w:pPr>
      <w:r>
        <w:t xml:space="preserve">Access to </w:t>
      </w:r>
      <w:r w:rsidR="00C453C8">
        <w:t>High-Speed Broadband</w:t>
      </w:r>
    </w:p>
    <w:p w14:paraId="58E624B4" w14:textId="4BDADC98" w:rsidR="009C1082" w:rsidRDefault="009C1082" w:rsidP="00C453C8">
      <w:pPr>
        <w:pStyle w:val="ParaNum"/>
      </w:pPr>
      <w:r>
        <w:t xml:space="preserve">Since </w:t>
      </w:r>
      <w:r w:rsidR="00647AD0">
        <w:t xml:space="preserve">the </w:t>
      </w:r>
      <w:r>
        <w:t xml:space="preserve">release of the </w:t>
      </w:r>
      <w:r w:rsidR="00647AD0">
        <w:t xml:space="preserve">initial version of the </w:t>
      </w:r>
      <w:r>
        <w:t xml:space="preserve">Fiber </w:t>
      </w:r>
      <w:r w:rsidR="00E90C01">
        <w:t xml:space="preserve">Connectivity </w:t>
      </w:r>
      <w:r>
        <w:t>Map</w:t>
      </w:r>
      <w:r w:rsidR="00647AD0">
        <w:t>s</w:t>
      </w:r>
      <w:r>
        <w:t>, numerous entities have submitted updated information on schools’ and libraries’ access to fiber facilities</w:t>
      </w:r>
      <w:r w:rsidR="007F08D8">
        <w:t>.</w:t>
      </w:r>
      <w:r>
        <w:t xml:space="preserve">  Based on the most recent data</w:t>
      </w:r>
      <w:r w:rsidR="00647AD0">
        <w:t xml:space="preserve"> received by the Commission, it appears that </w:t>
      </w:r>
      <w:r>
        <w:t xml:space="preserve">31% of urban public schools and 41% of rural public schools </w:t>
      </w:r>
      <w:r w:rsidR="00647AD0">
        <w:t xml:space="preserve">do </w:t>
      </w:r>
      <w:r>
        <w:t>not have access to fiber facilities.</w:t>
      </w:r>
      <w:r>
        <w:rPr>
          <w:rStyle w:val="FootnoteReference"/>
        </w:rPr>
        <w:footnoteReference w:id="24"/>
      </w:r>
      <w:r>
        <w:t xml:space="preserve">  </w:t>
      </w:r>
      <w:r w:rsidR="000E07C5">
        <w:t>According to ESH, w</w:t>
      </w:r>
      <w:r w:rsidR="005D36C8">
        <w:t xml:space="preserve">hile there are some </w:t>
      </w:r>
      <w:r>
        <w:t>small schools where non-fiber technologies are a viable option</w:t>
      </w:r>
      <w:r w:rsidR="00647AD0">
        <w:t xml:space="preserve"> for meeting the Commission’s connectivity targets (and meeting the school’s connectivity needs)</w:t>
      </w:r>
      <w:r>
        <w:t>, th</w:t>
      </w:r>
      <w:r w:rsidR="005D36C8">
        <w:t>e fiber gap</w:t>
      </w:r>
      <w:r>
        <w:t xml:space="preserve"> means </w:t>
      </w:r>
      <w:r w:rsidR="005D36C8">
        <w:t xml:space="preserve">that </w:t>
      </w:r>
      <w:r w:rsidR="007F08D8">
        <w:t>tens of</w:t>
      </w:r>
      <w:r>
        <w:t xml:space="preserve"> million</w:t>
      </w:r>
      <w:r w:rsidR="007F08D8">
        <w:t>s of</w:t>
      </w:r>
      <w:r>
        <w:t xml:space="preserve"> public school students attend schools lacking </w:t>
      </w:r>
      <w:r w:rsidR="00644016">
        <w:t>access to the needed telecommunications</w:t>
      </w:r>
      <w:r>
        <w:t xml:space="preserve"> infrastructure to meet the</w:t>
      </w:r>
      <w:r w:rsidR="00866442">
        <w:t xml:space="preserve"> </w:t>
      </w:r>
      <w:r w:rsidR="00647AD0">
        <w:t>connectivity targets</w:t>
      </w:r>
      <w:r>
        <w:t xml:space="preserve"> adopted by the Commission.</w:t>
      </w:r>
      <w:r w:rsidR="007F08D8">
        <w:rPr>
          <w:rStyle w:val="FootnoteReference"/>
        </w:rPr>
        <w:footnoteReference w:id="25"/>
      </w:r>
      <w:r>
        <w:t xml:space="preserve">  </w:t>
      </w:r>
      <w:r w:rsidR="00E566F3">
        <w:t xml:space="preserve">Recent </w:t>
      </w:r>
      <w:r>
        <w:t xml:space="preserve">third-party </w:t>
      </w:r>
      <w:r w:rsidR="00BE7AE2">
        <w:t>models</w:t>
      </w:r>
      <w:r w:rsidR="00A41940">
        <w:t xml:space="preserve"> </w:t>
      </w:r>
      <w:r w:rsidR="001D3331">
        <w:t xml:space="preserve">support </w:t>
      </w:r>
      <w:r w:rsidR="00EC5791">
        <w:t>Commission estimates</w:t>
      </w:r>
      <w:r w:rsidR="00866442">
        <w:t xml:space="preserve"> </w:t>
      </w:r>
      <w:r w:rsidR="00E566F3">
        <w:t xml:space="preserve">that </w:t>
      </w:r>
      <w:r w:rsidR="00AA0D40">
        <w:t xml:space="preserve">around </w:t>
      </w:r>
      <w:r w:rsidR="0076667C">
        <w:t xml:space="preserve">35% of schools and </w:t>
      </w:r>
      <w:r w:rsidR="00E311D5">
        <w:t>an even greater percentage</w:t>
      </w:r>
      <w:r w:rsidR="0076667C">
        <w:t xml:space="preserve"> of libraries</w:t>
      </w:r>
      <w:r w:rsidR="00E566F3">
        <w:t xml:space="preserve"> lack the ability to achieve the </w:t>
      </w:r>
      <w:r w:rsidR="005D36C8">
        <w:t>Commission’s connectivity targets</w:t>
      </w:r>
      <w:r w:rsidR="00E566F3">
        <w:t xml:space="preserve"> because they do not have </w:t>
      </w:r>
      <w:r w:rsidR="002A367C">
        <w:t xml:space="preserve">high-speed </w:t>
      </w:r>
      <w:r w:rsidR="00E566F3">
        <w:t>connections.</w:t>
      </w:r>
      <w:r w:rsidR="00E566F3">
        <w:rPr>
          <w:rStyle w:val="FootnoteReference"/>
        </w:rPr>
        <w:footnoteReference w:id="26"/>
      </w:r>
      <w:r w:rsidR="00E566F3" w:rsidRPr="00082A5D">
        <w:t xml:space="preserve"> </w:t>
      </w:r>
      <w:r w:rsidR="00E566F3">
        <w:t xml:space="preserve"> </w:t>
      </w:r>
      <w:r w:rsidR="005D36C8">
        <w:t>According to</w:t>
      </w:r>
      <w:r>
        <w:t xml:space="preserve"> the model submitted by ESH/CoSN</w:t>
      </w:r>
      <w:r w:rsidR="005E18D0">
        <w:t xml:space="preserve">, 31,236 public schools – roughly 30% of </w:t>
      </w:r>
      <w:r w:rsidR="005D36C8">
        <w:t xml:space="preserve">all </w:t>
      </w:r>
      <w:r w:rsidR="005E18D0">
        <w:t xml:space="preserve">public schools </w:t>
      </w:r>
      <w:r w:rsidR="00CD6E13">
        <w:t>–</w:t>
      </w:r>
      <w:r w:rsidR="005E18D0">
        <w:t xml:space="preserve"> </w:t>
      </w:r>
      <w:r w:rsidR="00CD6E13">
        <w:t>need fiber</w:t>
      </w:r>
      <w:r w:rsidR="005E18D0">
        <w:t xml:space="preserve"> connections to reach the </w:t>
      </w:r>
      <w:r w:rsidR="00647AD0">
        <w:t>Commission’s connectivity targets</w:t>
      </w:r>
      <w:r w:rsidR="005E18D0">
        <w:t>.</w:t>
      </w:r>
      <w:r w:rsidR="00322549">
        <w:rPr>
          <w:rStyle w:val="FootnoteReference"/>
        </w:rPr>
        <w:footnoteReference w:id="27"/>
      </w:r>
      <w:r w:rsidR="005E18D0">
        <w:t xml:space="preserve"> </w:t>
      </w:r>
      <w:r w:rsidR="00250A1B">
        <w:t xml:space="preserve"> </w:t>
      </w:r>
      <w:r w:rsidR="00820FF4">
        <w:t xml:space="preserve">The ESH/CoSN model </w:t>
      </w:r>
      <w:r w:rsidR="00E311D5">
        <w:t>shows</w:t>
      </w:r>
      <w:r w:rsidR="00820FF4">
        <w:t xml:space="preserve"> this gap is worst in the most rural areas</w:t>
      </w:r>
      <w:r w:rsidR="00250A1B">
        <w:t>,</w:t>
      </w:r>
      <w:r w:rsidR="00820FF4">
        <w:t xml:space="preserve"> </w:t>
      </w:r>
      <w:r w:rsidR="00F76156">
        <w:t>where</w:t>
      </w:r>
      <w:r w:rsidR="00820FF4">
        <w:t xml:space="preserve"> 41% and 45% of rural and rural remote schools</w:t>
      </w:r>
      <w:r w:rsidR="00F76156">
        <w:t xml:space="preserve"> </w:t>
      </w:r>
      <w:r w:rsidR="00820FF4">
        <w:t xml:space="preserve">respectively </w:t>
      </w:r>
      <w:r w:rsidR="00F76156">
        <w:t>having over 100 students lack</w:t>
      </w:r>
      <w:r w:rsidR="00820FF4">
        <w:t xml:space="preserve"> fiber</w:t>
      </w:r>
      <w:r w:rsidR="009F5C7F">
        <w:t xml:space="preserve"> connectivity</w:t>
      </w:r>
      <w:r w:rsidR="00820FF4">
        <w:t>.</w:t>
      </w:r>
      <w:r w:rsidR="00820FF4">
        <w:rPr>
          <w:rStyle w:val="FootnoteReference"/>
        </w:rPr>
        <w:footnoteReference w:id="28"/>
      </w:r>
      <w:r w:rsidR="00820FF4">
        <w:t xml:space="preserve"> </w:t>
      </w:r>
      <w:r w:rsidR="005E18D0">
        <w:t xml:space="preserve"> </w:t>
      </w:r>
      <w:r w:rsidR="00E311D5">
        <w:t>For</w:t>
      </w:r>
      <w:r w:rsidR="00F76156">
        <w:t xml:space="preserve"> libraries, there is reason to believe the fraction lacking adequate connections is even larger</w:t>
      </w:r>
      <w:r w:rsidR="00E311D5">
        <w:t xml:space="preserve"> than for schools</w:t>
      </w:r>
      <w:r w:rsidR="00F76156">
        <w:t xml:space="preserve">.  </w:t>
      </w:r>
      <w:r w:rsidR="00E311D5">
        <w:t>T</w:t>
      </w:r>
      <w:r w:rsidR="00F76156">
        <w:t xml:space="preserve">he SHLB model estimates that </w:t>
      </w:r>
      <w:r w:rsidR="0076667C">
        <w:t>68</w:t>
      </w:r>
      <w:r w:rsidR="00F76156">
        <w:t>% of libraries across the nation</w:t>
      </w:r>
      <w:r w:rsidR="00E311D5">
        <w:t xml:space="preserve"> </w:t>
      </w:r>
      <w:r w:rsidR="00E262FD">
        <w:t>lack fiber connections</w:t>
      </w:r>
      <w:r w:rsidR="00AC639F">
        <w:t>.</w:t>
      </w:r>
      <w:r w:rsidR="00AC639F">
        <w:rPr>
          <w:rStyle w:val="FootnoteReference"/>
        </w:rPr>
        <w:footnoteReference w:id="29"/>
      </w:r>
      <w:r w:rsidR="00F76156">
        <w:t xml:space="preserve"> </w:t>
      </w:r>
    </w:p>
    <w:p w14:paraId="101AE6A2" w14:textId="77777777" w:rsidR="00E566F3" w:rsidRDefault="00D84527" w:rsidP="00C453C8">
      <w:pPr>
        <w:pStyle w:val="Heading2"/>
      </w:pPr>
      <w:r>
        <w:t xml:space="preserve">Affordability </w:t>
      </w:r>
      <w:r w:rsidR="00752B25">
        <w:t xml:space="preserve">of </w:t>
      </w:r>
      <w:r w:rsidR="001E29EB">
        <w:t>High-Speed Broadband</w:t>
      </w:r>
    </w:p>
    <w:p w14:paraId="730E9523" w14:textId="77777777" w:rsidR="00484C3B" w:rsidRDefault="00BE7AE2" w:rsidP="00630ED7">
      <w:pPr>
        <w:pStyle w:val="Heading3"/>
      </w:pPr>
      <w:r>
        <w:t>Recurring Monthly Costs</w:t>
      </w:r>
    </w:p>
    <w:p w14:paraId="117C5A13" w14:textId="1B6F1C0F" w:rsidR="0015607B" w:rsidRDefault="006C6251" w:rsidP="001C0FB1">
      <w:pPr>
        <w:pStyle w:val="ParaNum"/>
      </w:pPr>
      <w:r>
        <w:t>Many schools and libraries also face an</w:t>
      </w:r>
      <w:r w:rsidR="00E566F3">
        <w:t xml:space="preserve"> affordability gap, </w:t>
      </w:r>
      <w:r w:rsidR="00644016">
        <w:t>in which</w:t>
      </w:r>
      <w:r w:rsidR="00E566F3">
        <w:t xml:space="preserve"> </w:t>
      </w:r>
      <w:r>
        <w:t>an institution</w:t>
      </w:r>
      <w:r w:rsidR="00E566F3">
        <w:t xml:space="preserve"> </w:t>
      </w:r>
      <w:r w:rsidR="00644016">
        <w:t>finds the costs of purchasing high</w:t>
      </w:r>
      <w:r w:rsidR="00CC077F">
        <w:t>-</w:t>
      </w:r>
      <w:r w:rsidR="00644016">
        <w:t xml:space="preserve">speed </w:t>
      </w:r>
      <w:r w:rsidR="00CC077F">
        <w:t>Internet access and fiber-based WAN/Last-Mile</w:t>
      </w:r>
      <w:r w:rsidR="00644016">
        <w:t xml:space="preserve"> service</w:t>
      </w:r>
      <w:r w:rsidR="00CC077F">
        <w:t>s</w:t>
      </w:r>
      <w:r w:rsidR="00644016">
        <w:t xml:space="preserve"> to be prohibitively expensive relative to available local resources, even including available </w:t>
      </w:r>
      <w:r w:rsidR="00C4340F">
        <w:t>E-rate</w:t>
      </w:r>
      <w:r w:rsidR="00644016">
        <w:t xml:space="preserve"> support</w:t>
      </w:r>
      <w:r w:rsidR="00C15C81">
        <w:t>.</w:t>
      </w:r>
      <w:r>
        <w:t xml:space="preserve">  The CoSN survey found </w:t>
      </w:r>
      <w:r w:rsidR="005D36C8">
        <w:t xml:space="preserve">that </w:t>
      </w:r>
      <w:r>
        <w:t xml:space="preserve">58% of respondents said the cost of monthly recurring ongoing expenses was the most significant barrier to </w:t>
      </w:r>
      <w:r w:rsidR="00BE7AE2">
        <w:t xml:space="preserve">increasing Internet </w:t>
      </w:r>
      <w:r>
        <w:t>connectivity.</w:t>
      </w:r>
      <w:r w:rsidR="00BF1D0E">
        <w:rPr>
          <w:rStyle w:val="FootnoteReference"/>
        </w:rPr>
        <w:footnoteReference w:id="30"/>
      </w:r>
      <w:r>
        <w:t xml:space="preserve">  The same survey shows that 72% of districts pay </w:t>
      </w:r>
      <w:r w:rsidRPr="00521802">
        <w:t>at least</w:t>
      </w:r>
      <w:r>
        <w:t xml:space="preserve"> $5/Mbps/mo</w:t>
      </w:r>
      <w:r w:rsidR="00EA2708">
        <w:t>nth</w:t>
      </w:r>
      <w:r>
        <w:t xml:space="preserve"> for their Internet </w:t>
      </w:r>
      <w:r w:rsidR="00110541">
        <w:t>connection</w:t>
      </w:r>
      <w:r>
        <w:t>.</w:t>
      </w:r>
      <w:r w:rsidR="005A182C">
        <w:rPr>
          <w:rStyle w:val="FootnoteReference"/>
        </w:rPr>
        <w:footnoteReference w:id="31"/>
      </w:r>
      <w:r>
        <w:t xml:space="preserve">  Nine percent </w:t>
      </w:r>
      <w:r w:rsidR="009861FB">
        <w:t xml:space="preserve">pay at least </w:t>
      </w:r>
      <w:r>
        <w:t>$250</w:t>
      </w:r>
      <w:r w:rsidR="009861FB">
        <w:t>/Mbps/month</w:t>
      </w:r>
      <w:r>
        <w:t xml:space="preserve"> for the connection.</w:t>
      </w:r>
      <w:r w:rsidR="005A182C">
        <w:rPr>
          <w:rStyle w:val="FootnoteReference"/>
        </w:rPr>
        <w:footnoteReference w:id="32"/>
      </w:r>
      <w:r>
        <w:t xml:space="preserve">  In rural areas</w:t>
      </w:r>
      <w:r w:rsidR="00C867BD">
        <w:t>,</w:t>
      </w:r>
      <w:r>
        <w:t xml:space="preserve"> 10% of districts pay over $250</w:t>
      </w:r>
      <w:r w:rsidR="009861FB">
        <w:t>/Mbps/month</w:t>
      </w:r>
      <w:r>
        <w:t>.</w:t>
      </w:r>
      <w:r>
        <w:rPr>
          <w:rStyle w:val="FootnoteReference"/>
        </w:rPr>
        <w:footnoteReference w:id="33"/>
      </w:r>
      <w:r>
        <w:t xml:space="preserve">  </w:t>
      </w:r>
      <w:r w:rsidR="00110541">
        <w:t>The CoSN Survey found that WAN connection monthly costs were also a major expense with 53% of districts paying at least $5</w:t>
      </w:r>
      <w:r w:rsidR="0015607B">
        <w:t>/Mbps/month.</w:t>
      </w:r>
      <w:r w:rsidR="005A182C">
        <w:rPr>
          <w:rStyle w:val="FootnoteReference"/>
        </w:rPr>
        <w:footnoteReference w:id="34"/>
      </w:r>
      <w:r w:rsidR="0015607B">
        <w:t xml:space="preserve">  It is clear that at current prices</w:t>
      </w:r>
      <w:r w:rsidR="00BE7AE2">
        <w:t xml:space="preserve"> </w:t>
      </w:r>
      <w:r w:rsidR="0015607B">
        <w:t xml:space="preserve">both Internet access and WAN services are a major expenditure for districts seeking to meet the </w:t>
      </w:r>
      <w:r w:rsidR="00BE7AE2">
        <w:t>connectivity targets</w:t>
      </w:r>
      <w:r w:rsidR="0015607B">
        <w:t>.</w:t>
      </w:r>
    </w:p>
    <w:p w14:paraId="6A985634" w14:textId="77777777" w:rsidR="006C6251" w:rsidRDefault="0015607B" w:rsidP="001C0FB1">
      <w:pPr>
        <w:pStyle w:val="ParaNum"/>
      </w:pPr>
      <w:r>
        <w:t xml:space="preserve"> Also of interest from the CoSN survey, and apparent in the prices mentioned above, is the large pricing disparities across districts.  </w:t>
      </w:r>
      <w:r w:rsidR="00644016">
        <w:t>One reason for the wide pricing dis</w:t>
      </w:r>
      <w:r w:rsidR="00A36E7C">
        <w:t>pari</w:t>
      </w:r>
      <w:r w:rsidR="00644016">
        <w:t>ties highlighted by CoSN’s survey i</w:t>
      </w:r>
      <w:r w:rsidR="006C6251">
        <w:t xml:space="preserve">s that </w:t>
      </w:r>
      <w:r w:rsidR="00E5052C">
        <w:t xml:space="preserve">there is </w:t>
      </w:r>
      <w:r w:rsidR="006C6251">
        <w:t>a lack of bidders responding to s</w:t>
      </w:r>
      <w:r w:rsidR="00644016">
        <w:t>ome s</w:t>
      </w:r>
      <w:r w:rsidR="006C6251">
        <w:t>ch</w:t>
      </w:r>
      <w:r w:rsidR="00644016">
        <w:t>ools’ requests for proposals.</w:t>
      </w:r>
      <w:r w:rsidR="00CC077F">
        <w:rPr>
          <w:rStyle w:val="FootnoteReference"/>
        </w:rPr>
        <w:footnoteReference w:id="35"/>
      </w:r>
      <w:r w:rsidR="00644016">
        <w:t xml:space="preserve">  </w:t>
      </w:r>
      <w:r w:rsidR="00BF1D0E">
        <w:t xml:space="preserve">According to the CoSN Survey, six percent of </w:t>
      </w:r>
      <w:r w:rsidR="006C6251">
        <w:t xml:space="preserve">schools and libraries </w:t>
      </w:r>
      <w:r w:rsidR="00644016">
        <w:t>seeking to purchase</w:t>
      </w:r>
      <w:r w:rsidR="006C6251">
        <w:t xml:space="preserve"> </w:t>
      </w:r>
      <w:r w:rsidR="00B028A0">
        <w:t>telecommunications</w:t>
      </w:r>
      <w:r w:rsidR="006C6251">
        <w:t xml:space="preserve"> service</w:t>
      </w:r>
      <w:r w:rsidR="00BF1D0E">
        <w:t>s</w:t>
      </w:r>
      <w:r w:rsidR="006C6251">
        <w:t xml:space="preserve"> </w:t>
      </w:r>
      <w:r w:rsidR="00BF1D0E">
        <w:t xml:space="preserve">receive </w:t>
      </w:r>
      <w:r w:rsidR="006C6251">
        <w:t>no bids and 26</w:t>
      </w:r>
      <w:r w:rsidR="00BF1D0E">
        <w:t xml:space="preserve"> percent receive</w:t>
      </w:r>
      <w:r w:rsidR="006C6251">
        <w:t xml:space="preserve"> </w:t>
      </w:r>
      <w:r w:rsidR="00644016">
        <w:t>only one</w:t>
      </w:r>
      <w:r w:rsidR="006C6251">
        <w:t xml:space="preserve"> bid.</w:t>
      </w:r>
      <w:r w:rsidR="006C6251">
        <w:rPr>
          <w:rStyle w:val="FootnoteReference"/>
        </w:rPr>
        <w:footnoteReference w:id="36"/>
      </w:r>
      <w:r w:rsidR="00107C18">
        <w:t xml:space="preserve">  </w:t>
      </w:r>
      <w:r w:rsidR="006C6251">
        <w:t>ESH also provides statistics showing great variation in institutions’ costs</w:t>
      </w:r>
      <w:r w:rsidR="006C5858">
        <w:t>, which may be a consequence of a small number of bidders</w:t>
      </w:r>
      <w:r w:rsidR="006C6251">
        <w:t>.</w:t>
      </w:r>
      <w:r w:rsidR="00107C18">
        <w:t xml:space="preserve">  ESH states that schools “without choices beyond the incumbent telephone and cable companies pay two or three times as much for their connections as those in competitive markets.”</w:t>
      </w:r>
      <w:r w:rsidR="00107C18">
        <w:rPr>
          <w:rStyle w:val="FootnoteReference"/>
        </w:rPr>
        <w:footnoteReference w:id="37"/>
      </w:r>
      <w:r w:rsidR="006C6251">
        <w:t xml:space="preserve">    </w:t>
      </w:r>
      <w:r w:rsidR="001D3F29">
        <w:t xml:space="preserve"> </w:t>
      </w:r>
    </w:p>
    <w:p w14:paraId="712FF7C8" w14:textId="19AB53BB" w:rsidR="003828E7" w:rsidRDefault="00E5052C" w:rsidP="001C0FB1">
      <w:pPr>
        <w:pStyle w:val="ParaNum"/>
      </w:pPr>
      <w:r>
        <w:t>The</w:t>
      </w:r>
      <w:r w:rsidR="000E7B67">
        <w:t xml:space="preserve"> LEAD/AEE </w:t>
      </w:r>
      <w:r>
        <w:t xml:space="preserve">report </w:t>
      </w:r>
      <w:r w:rsidR="005B58FF">
        <w:t>provide</w:t>
      </w:r>
      <w:r w:rsidR="00DE6C51">
        <w:t>s</w:t>
      </w:r>
      <w:r w:rsidR="005B58FF">
        <w:t xml:space="preserve"> insight into how th</w:t>
      </w:r>
      <w:r w:rsidR="00BF1D0E">
        <w:t>e affordability</w:t>
      </w:r>
      <w:r w:rsidR="005B58FF">
        <w:t xml:space="preserve"> gap may affect certain segments of the population.  </w:t>
      </w:r>
      <w:r>
        <w:t xml:space="preserve">According to the </w:t>
      </w:r>
      <w:r w:rsidR="005B58FF">
        <w:t xml:space="preserve">LEAD/AEE </w:t>
      </w:r>
      <w:r w:rsidR="000E7B67">
        <w:t>report low-income, African</w:t>
      </w:r>
      <w:r w:rsidR="009861FB">
        <w:t xml:space="preserve"> </w:t>
      </w:r>
      <w:r w:rsidR="000E7B67">
        <w:t>American, Latino, and rural students</w:t>
      </w:r>
      <w:r w:rsidR="005B58FF">
        <w:t xml:space="preserve"> are</w:t>
      </w:r>
      <w:r w:rsidR="000E7B67">
        <w:t xml:space="preserve"> more likely than others to be in schools with slow Internet connectivity</w:t>
      </w:r>
      <w:r w:rsidR="003828E7">
        <w:t>.</w:t>
      </w:r>
      <w:r w:rsidR="00CC077F">
        <w:rPr>
          <w:rStyle w:val="FootnoteReference"/>
        </w:rPr>
        <w:footnoteReference w:id="38"/>
      </w:r>
      <w:r w:rsidR="003828E7">
        <w:t xml:space="preserve">  According to the LEAD</w:t>
      </w:r>
      <w:r>
        <w:t>/AEE</w:t>
      </w:r>
      <w:r w:rsidR="003828E7">
        <w:t xml:space="preserve"> </w:t>
      </w:r>
      <w:r>
        <w:t>report</w:t>
      </w:r>
      <w:r w:rsidR="003828E7">
        <w:t xml:space="preserve">, Latino and African American students were underrepresented in the group of schools with 100 Mbps or </w:t>
      </w:r>
      <w:r w:rsidR="005B58FF">
        <w:t>faster connections</w:t>
      </w:r>
      <w:r w:rsidR="003828E7">
        <w:t xml:space="preserve"> (compare 37% of white students versus 30.4% and 28.8% of </w:t>
      </w:r>
      <w:r w:rsidR="009861FB">
        <w:t xml:space="preserve">Latino and </w:t>
      </w:r>
      <w:r w:rsidR="003828E7">
        <w:t>African American students respectively) and are overrepresented in schools with 10</w:t>
      </w:r>
      <w:r w:rsidR="009861FB">
        <w:t xml:space="preserve"> </w:t>
      </w:r>
      <w:r w:rsidR="003828E7">
        <w:t>Mbps service or slower</w:t>
      </w:r>
      <w:r w:rsidR="005B58FF">
        <w:t xml:space="preserve"> connections</w:t>
      </w:r>
      <w:r w:rsidR="003828E7">
        <w:t xml:space="preserve"> (17.3% of white students compared to 25.7% and 22.8% for Latino and African American students respectively).</w:t>
      </w:r>
      <w:r w:rsidR="003828E7">
        <w:rPr>
          <w:rStyle w:val="FootnoteReference"/>
        </w:rPr>
        <w:footnoteReference w:id="39"/>
      </w:r>
      <w:r w:rsidR="003828E7">
        <w:t xml:space="preserve">  Similarly, the report</w:t>
      </w:r>
      <w:r>
        <w:t xml:space="preserve"> shows</w:t>
      </w:r>
      <w:r w:rsidR="003828E7">
        <w:t xml:space="preserve"> that low</w:t>
      </w:r>
      <w:r w:rsidR="009861FB">
        <w:t>-</w:t>
      </w:r>
      <w:r w:rsidR="003828E7">
        <w:t xml:space="preserve">income students </w:t>
      </w:r>
      <w:r>
        <w:t>are</w:t>
      </w:r>
      <w:r w:rsidR="003828E7">
        <w:t xml:space="preserve"> underrepresented in the group of schools with 100 Mbps or more (compare 35.3% of students in schools with free or reduced price lunches versus 32.7% for students in schools where all students receive either free or discounted lunches</w:t>
      </w:r>
      <w:r w:rsidR="005B58FF">
        <w:t>).</w:t>
      </w:r>
      <w:r w:rsidR="00CC077F">
        <w:rPr>
          <w:rStyle w:val="FootnoteReference"/>
        </w:rPr>
        <w:footnoteReference w:id="40"/>
      </w:r>
      <w:r w:rsidR="005B58FF">
        <w:t xml:space="preserve">  </w:t>
      </w:r>
      <w:r>
        <w:t>At the same time, l</w:t>
      </w:r>
      <w:r w:rsidR="005B58FF">
        <w:t>ow-</w:t>
      </w:r>
      <w:r w:rsidR="003828E7">
        <w:t>income students are over</w:t>
      </w:r>
      <w:r w:rsidR="009861FB">
        <w:t>-</w:t>
      </w:r>
      <w:r w:rsidR="003828E7">
        <w:t>repre</w:t>
      </w:r>
      <w:r w:rsidR="005B58FF">
        <w:t>sented in schools with 10 Mbps or slower connections</w:t>
      </w:r>
      <w:r w:rsidR="003828E7">
        <w:t>.</w:t>
      </w:r>
      <w:r w:rsidR="003828E7">
        <w:rPr>
          <w:rStyle w:val="FootnoteReference"/>
        </w:rPr>
        <w:footnoteReference w:id="41"/>
      </w:r>
      <w:r w:rsidR="003828E7">
        <w:t xml:space="preserve">  </w:t>
      </w:r>
    </w:p>
    <w:p w14:paraId="5841AD44" w14:textId="77777777" w:rsidR="00484C3B" w:rsidRDefault="00484C3B" w:rsidP="00630ED7">
      <w:pPr>
        <w:pStyle w:val="Heading3"/>
      </w:pPr>
      <w:r>
        <w:t>Usage Growth</w:t>
      </w:r>
    </w:p>
    <w:p w14:paraId="6AA0DC0C" w14:textId="5CB7F3BD" w:rsidR="00836A33" w:rsidRDefault="00E64639" w:rsidP="001C0FB1">
      <w:pPr>
        <w:pStyle w:val="ParaNum"/>
      </w:pPr>
      <w:r>
        <w:t>Looking ahead,</w:t>
      </w:r>
      <w:r w:rsidR="00E5052C">
        <w:t xml:space="preserve"> commenters identified the growth in bandwidth usage as</w:t>
      </w:r>
      <w:r>
        <w:t xml:space="preserve"> the most significant affordability hurdle</w:t>
      </w:r>
      <w:r w:rsidR="00772B45">
        <w:t xml:space="preserve">.  The CoSN survey reports that 24% of respondents expect a 20% to 100% growth in bandwidth usage in the next 18 months and 27% expect 100% </w:t>
      </w:r>
      <w:r w:rsidR="00460A75">
        <w:t xml:space="preserve">to </w:t>
      </w:r>
      <w:r w:rsidR="006C5858">
        <w:t xml:space="preserve">500% growth </w:t>
      </w:r>
      <w:r w:rsidR="00772B45">
        <w:t>in the next 18 months.  Only 31% will have sufficient bandwidth for today and the coming 18 months.</w:t>
      </w:r>
      <w:r w:rsidR="00FF13DA">
        <w:rPr>
          <w:rStyle w:val="FootnoteReference"/>
        </w:rPr>
        <w:footnoteReference w:id="42"/>
      </w:r>
      <w:r w:rsidR="00772B45">
        <w:t xml:space="preserve">  </w:t>
      </w:r>
      <w:r w:rsidR="00FF13DA">
        <w:t>As a modeling assumption, the ESH/CoSN model assumed 50% compounded annual growth rate in bandwidth</w:t>
      </w:r>
      <w:r w:rsidR="00255170">
        <w:t>.</w:t>
      </w:r>
      <w:r w:rsidR="00DD3431">
        <w:rPr>
          <w:rStyle w:val="FootnoteReference"/>
        </w:rPr>
        <w:footnoteReference w:id="43"/>
      </w:r>
      <w:r w:rsidR="00255170">
        <w:t xml:space="preserve">  T</w:t>
      </w:r>
      <w:r w:rsidR="000E07C5">
        <w:t xml:space="preserve">he </w:t>
      </w:r>
      <w:r w:rsidR="00FF13DA">
        <w:t xml:space="preserve">Commission has also received </w:t>
      </w:r>
      <w:r>
        <w:t xml:space="preserve">direct network </w:t>
      </w:r>
      <w:r w:rsidR="009A1E64">
        <w:t>data</w:t>
      </w:r>
      <w:r w:rsidR="00FF13DA">
        <w:t xml:space="preserve"> from the states of North Carolina and Washington </w:t>
      </w:r>
      <w:r>
        <w:t xml:space="preserve">describing usage </w:t>
      </w:r>
      <w:r w:rsidR="00FF13DA">
        <w:t>growth rates over multiple school years.</w:t>
      </w:r>
      <w:r w:rsidR="00DD3431">
        <w:rPr>
          <w:rStyle w:val="FootnoteReference"/>
        </w:rPr>
        <w:footnoteReference w:id="44"/>
      </w:r>
      <w:r w:rsidR="00FF13DA">
        <w:t xml:space="preserve">  </w:t>
      </w:r>
      <w:r w:rsidR="00FA11E1">
        <w:t xml:space="preserve">Some </w:t>
      </w:r>
      <w:r w:rsidR="00E566F3">
        <w:t>North Carolina</w:t>
      </w:r>
      <w:r w:rsidR="00255170">
        <w:t xml:space="preserve"> school districts</w:t>
      </w:r>
      <w:r w:rsidR="00E566F3">
        <w:t>, which are installing Wi-Fi throughout all their schools and implementing digital learning and 1:1 initiatives, are increasing their bandwidth usage by more than 50% per year.</w:t>
      </w:r>
      <w:r w:rsidR="00DD3431">
        <w:rPr>
          <w:rStyle w:val="FootnoteReference"/>
        </w:rPr>
        <w:footnoteReference w:id="45"/>
      </w:r>
      <w:r w:rsidR="00FF13DA">
        <w:t xml:space="preserve">  In fact, statewide North Carolina showed</w:t>
      </w:r>
      <w:r w:rsidR="00255B17">
        <w:t xml:space="preserve"> that</w:t>
      </w:r>
      <w:r w:rsidR="00FF13DA">
        <w:t xml:space="preserve"> </w:t>
      </w:r>
      <w:r w:rsidR="009861FB">
        <w:t xml:space="preserve">its </w:t>
      </w:r>
      <w:r w:rsidR="00FF13DA">
        <w:t>total monthly bandwidth usage increased by 35% over</w:t>
      </w:r>
      <w:r>
        <w:t xml:space="preserve"> just</w:t>
      </w:r>
      <w:r w:rsidR="00160AD2">
        <w:t xml:space="preserve"> the</w:t>
      </w:r>
      <w:r w:rsidR="00FF13DA">
        <w:t xml:space="preserve"> seven months spanning the period from November 2013 to May 2014.  This growth rate includes</w:t>
      </w:r>
      <w:r w:rsidR="00160AD2">
        <w:t xml:space="preserve"> a diverse </w:t>
      </w:r>
      <w:r>
        <w:t>range</w:t>
      </w:r>
      <w:r w:rsidR="00160AD2">
        <w:t xml:space="preserve"> of districts, </w:t>
      </w:r>
      <w:r>
        <w:t xml:space="preserve">including </w:t>
      </w:r>
      <w:r w:rsidR="00160AD2">
        <w:t>those</w:t>
      </w:r>
      <w:r w:rsidR="00FF13DA">
        <w:t xml:space="preserve"> both implementing and not implementing major digital learning initiatives.</w:t>
      </w:r>
      <w:r w:rsidR="00DD3431">
        <w:rPr>
          <w:rStyle w:val="FootnoteReference"/>
        </w:rPr>
        <w:footnoteReference w:id="46"/>
      </w:r>
      <w:r w:rsidR="00836A33">
        <w:t xml:space="preserve">  Schools that implemented </w:t>
      </w:r>
      <w:r w:rsidR="00160AD2">
        <w:t>a</w:t>
      </w:r>
      <w:r w:rsidR="00836A33">
        <w:t xml:space="preserve"> </w:t>
      </w:r>
      <w:r w:rsidR="00836A33" w:rsidRPr="00025EBD">
        <w:t>1:1 initiative</w:t>
      </w:r>
      <w:r w:rsidR="00836A33">
        <w:t xml:space="preserve"> had even higher bandwidth growth rates</w:t>
      </w:r>
      <w:r w:rsidR="00160AD2">
        <w:t xml:space="preserve">.  </w:t>
      </w:r>
      <w:r w:rsidR="00353B43">
        <w:t xml:space="preserve">Avery </w:t>
      </w:r>
      <w:r w:rsidR="009E2DD3">
        <w:t>C</w:t>
      </w:r>
      <w:r w:rsidR="00353B43">
        <w:t>oun</w:t>
      </w:r>
      <w:r w:rsidR="009E2DD3">
        <w:t>t</w:t>
      </w:r>
      <w:r w:rsidR="00353B43">
        <w:t xml:space="preserve">y schools </w:t>
      </w:r>
      <w:r w:rsidR="00836A33">
        <w:t xml:space="preserve">recently implemented </w:t>
      </w:r>
      <w:r w:rsidR="00160AD2">
        <w:t>a 1:1</w:t>
      </w:r>
      <w:r w:rsidR="00836A33">
        <w:t xml:space="preserve"> initiative had bandwidth usage grow over 100% per year</w:t>
      </w:r>
      <w:r w:rsidR="00353B43">
        <w:t>.</w:t>
      </w:r>
      <w:r w:rsidR="00DD3431">
        <w:rPr>
          <w:rStyle w:val="FootnoteReference"/>
        </w:rPr>
        <w:footnoteReference w:id="47"/>
      </w:r>
      <w:r w:rsidR="00353B43">
        <w:t xml:space="preserve">  Moor</w:t>
      </w:r>
      <w:r w:rsidR="00A36E7C">
        <w:t>e</w:t>
      </w:r>
      <w:r w:rsidR="00353B43">
        <w:t xml:space="preserve">sville County schools implemented </w:t>
      </w:r>
      <w:r w:rsidR="00D05EB7">
        <w:t>a 1:1</w:t>
      </w:r>
      <w:r w:rsidR="00353B43">
        <w:t xml:space="preserve"> </w:t>
      </w:r>
      <w:r w:rsidR="00836A33">
        <w:t>initiative</w:t>
      </w:r>
      <w:r w:rsidR="00D05EB7">
        <w:t xml:space="preserve"> in</w:t>
      </w:r>
      <w:r w:rsidR="00160AD2">
        <w:t xml:space="preserve"> </w:t>
      </w:r>
      <w:r w:rsidR="00353B43">
        <w:t xml:space="preserve">2008 and </w:t>
      </w:r>
      <w:r w:rsidR="00836A33">
        <w:t>continue</w:t>
      </w:r>
      <w:r w:rsidR="00353B43">
        <w:t>s</w:t>
      </w:r>
      <w:r w:rsidR="00836A33">
        <w:t xml:space="preserve"> to see bandwidth grow</w:t>
      </w:r>
      <w:r w:rsidR="00D05EB7">
        <w:t xml:space="preserve"> over</w:t>
      </w:r>
      <w:r w:rsidR="00836A33">
        <w:t xml:space="preserve"> 50% per year.</w:t>
      </w:r>
      <w:r w:rsidR="00836A33">
        <w:rPr>
          <w:rStyle w:val="FootnoteReference"/>
        </w:rPr>
        <w:footnoteReference w:id="48"/>
      </w:r>
      <w:r w:rsidR="00836A33">
        <w:t xml:space="preserve"> </w:t>
      </w:r>
      <w:r w:rsidR="006C0059">
        <w:t xml:space="preserve"> Even districts like Halifax County that have not adopted major digital literacy initiatives </w:t>
      </w:r>
      <w:r w:rsidR="006B150A">
        <w:t>have seen 40% annual growth rates in bandwidth usage.</w:t>
      </w:r>
      <w:r w:rsidR="00DD3431">
        <w:rPr>
          <w:rStyle w:val="FootnoteReference"/>
        </w:rPr>
        <w:footnoteReference w:id="49"/>
      </w:r>
      <w:r w:rsidR="006B150A">
        <w:t xml:space="preserve"> </w:t>
      </w:r>
      <w:r w:rsidR="00836A33">
        <w:t xml:space="preserve"> Figure</w:t>
      </w:r>
      <w:r w:rsidR="006C0059">
        <w:t xml:space="preserve"> 1</w:t>
      </w:r>
      <w:r w:rsidR="00836A33">
        <w:t xml:space="preserve"> show</w:t>
      </w:r>
      <w:r w:rsidR="006C0059">
        <w:t>s</w:t>
      </w:r>
      <w:r w:rsidR="00FA11E1">
        <w:t xml:space="preserve"> these</w:t>
      </w:r>
      <w:r w:rsidR="00353B43">
        <w:t xml:space="preserve"> </w:t>
      </w:r>
      <w:r w:rsidR="00836A33">
        <w:t>North Carolina districts</w:t>
      </w:r>
      <w:r w:rsidR="00916F58">
        <w:t>’</w:t>
      </w:r>
      <w:r w:rsidR="00836A33">
        <w:t xml:space="preserve"> bandwidth usage over the last few years.</w:t>
      </w:r>
      <w:r w:rsidR="00D05EB7">
        <w:rPr>
          <w:rStyle w:val="FootnoteReference"/>
        </w:rPr>
        <w:footnoteReference w:id="50"/>
      </w:r>
      <w:r w:rsidR="00EC5791">
        <w:t xml:space="preserve">  In Washington State, annual usage growth between 2010 and 2014 averaged over 40% and increased at similar rates for districts of various sizes.</w:t>
      </w:r>
      <w:r w:rsidR="00EC5791">
        <w:rPr>
          <w:rStyle w:val="FootnoteReference"/>
        </w:rPr>
        <w:footnoteReference w:id="51"/>
      </w:r>
    </w:p>
    <w:p w14:paraId="3826AA1A" w14:textId="77777777" w:rsidR="000D1957" w:rsidRDefault="000D1957" w:rsidP="006C0059">
      <w:pPr>
        <w:pStyle w:val="ParaNum"/>
        <w:numPr>
          <w:ilvl w:val="0"/>
          <w:numId w:val="0"/>
        </w:numPr>
        <w:ind w:left="720"/>
        <w:jc w:val="center"/>
        <w:rPr>
          <w:b/>
          <w:noProof/>
        </w:rPr>
      </w:pPr>
    </w:p>
    <w:p w14:paraId="3E5876F2" w14:textId="77777777" w:rsidR="00955B2A" w:rsidRDefault="006C0059" w:rsidP="006C0059">
      <w:pPr>
        <w:pStyle w:val="ParaNum"/>
        <w:numPr>
          <w:ilvl w:val="0"/>
          <w:numId w:val="0"/>
        </w:numPr>
        <w:ind w:left="720"/>
        <w:jc w:val="center"/>
        <w:rPr>
          <w:b/>
          <w:noProof/>
        </w:rPr>
      </w:pPr>
      <w:r>
        <w:rPr>
          <w:b/>
          <w:noProof/>
        </w:rPr>
        <w:t>Figure 1: Bandwidth Usage Growth in Select North Carolina Districts</w:t>
      </w:r>
    </w:p>
    <w:p w14:paraId="62D7F109" w14:textId="77777777" w:rsidR="0034755C" w:rsidRDefault="000D1957" w:rsidP="00A806A2">
      <w:pPr>
        <w:pStyle w:val="ParaNum"/>
        <w:numPr>
          <w:ilvl w:val="0"/>
          <w:numId w:val="0"/>
        </w:numPr>
        <w:ind w:left="720"/>
        <w:jc w:val="center"/>
      </w:pPr>
      <w:r>
        <w:rPr>
          <w:noProof/>
        </w:rPr>
        <w:drawing>
          <wp:inline distT="0" distB="0" distL="0" distR="0" wp14:anchorId="754ABA30" wp14:editId="4ED5C104">
            <wp:extent cx="5410044" cy="3895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58" cy="3905024"/>
                    </a:xfrm>
                    <a:prstGeom prst="rect">
                      <a:avLst/>
                    </a:prstGeom>
                    <a:noFill/>
                  </pic:spPr>
                </pic:pic>
              </a:graphicData>
            </a:graphic>
          </wp:inline>
        </w:drawing>
      </w:r>
    </w:p>
    <w:p w14:paraId="1146DF48" w14:textId="180E8C74" w:rsidR="00E566F3" w:rsidRDefault="0046125F" w:rsidP="00E843FF">
      <w:pPr>
        <w:pStyle w:val="ParaNum"/>
      </w:pPr>
      <w:r>
        <w:t>This</w:t>
      </w:r>
      <w:r w:rsidR="005D7BB5">
        <w:t xml:space="preserve"> rapid, broad-based increase in bandwidth </w:t>
      </w:r>
      <w:r>
        <w:t>will tend to increase costs for connected schools to the extent usage</w:t>
      </w:r>
      <w:r w:rsidR="005D7BB5">
        <w:t xml:space="preserve"> rise</w:t>
      </w:r>
      <w:r>
        <w:t>s</w:t>
      </w:r>
      <w:r w:rsidR="005D7BB5">
        <w:t xml:space="preserve"> faster than prices</w:t>
      </w:r>
      <w:r w:rsidR="00E566F3">
        <w:t xml:space="preserve"> </w:t>
      </w:r>
      <w:r w:rsidR="005D7BB5">
        <w:t>decline</w:t>
      </w:r>
      <w:r w:rsidR="00E566F3">
        <w:t>.</w:t>
      </w:r>
      <w:r w:rsidR="005D7BB5">
        <w:t xml:space="preserve">  </w:t>
      </w:r>
      <w:r w:rsidR="00916F58">
        <w:t>This point is made clearly by ESH</w:t>
      </w:r>
      <w:r w:rsidR="009861FB">
        <w:t>,</w:t>
      </w:r>
      <w:r w:rsidR="00916F58">
        <w:t xml:space="preserve"> wh</w:t>
      </w:r>
      <w:r w:rsidR="009B1C66">
        <w:t xml:space="preserve">ich </w:t>
      </w:r>
      <w:r w:rsidR="00916F58">
        <w:t>explain</w:t>
      </w:r>
      <w:r w:rsidR="009B1C66">
        <w:t>s</w:t>
      </w:r>
      <w:r w:rsidR="00916F58">
        <w:t xml:space="preserve"> that even if bandwidth costs decline by 10% per annum, the demand for broadband is growing at least 50% per annum.</w:t>
      </w:r>
      <w:r w:rsidR="00E566F3">
        <w:rPr>
          <w:rStyle w:val="FootnoteReference"/>
        </w:rPr>
        <w:footnoteReference w:id="52"/>
      </w:r>
      <w:r w:rsidR="00E566F3">
        <w:t xml:space="preserve">  </w:t>
      </w:r>
      <w:r w:rsidR="002D0E64">
        <w:t>If the trend continues</w:t>
      </w:r>
      <w:r w:rsidR="009861FB">
        <w:t>,</w:t>
      </w:r>
      <w:r w:rsidR="002D0E64">
        <w:t xml:space="preserve"> </w:t>
      </w:r>
      <w:r w:rsidR="005D7BB5">
        <w:t xml:space="preserve">total </w:t>
      </w:r>
      <w:r w:rsidR="00E566F3">
        <w:t xml:space="preserve">bandwidth costs will continue to grow </w:t>
      </w:r>
      <w:r w:rsidR="005D7BB5">
        <w:t>even with reductions in prices per Mbps per month</w:t>
      </w:r>
      <w:r w:rsidR="00E566F3">
        <w:t>.</w:t>
      </w:r>
      <w:r>
        <w:t xml:space="preserve">  The ESH/CoSN mode</w:t>
      </w:r>
      <w:r w:rsidR="00182CEE">
        <w:t>l</w:t>
      </w:r>
      <w:r>
        <w:t xml:space="preserve">, for example, shows usage-driven costs increasing from </w:t>
      </w:r>
      <w:r w:rsidR="00E843FF">
        <w:t>2</w:t>
      </w:r>
      <w:r w:rsidR="00CC5477">
        <w:t>4</w:t>
      </w:r>
      <w:r w:rsidR="00E843FF">
        <w:t>%</w:t>
      </w:r>
      <w:r>
        <w:t xml:space="preserve"> to </w:t>
      </w:r>
      <w:r w:rsidR="00CC5477">
        <w:t>40</w:t>
      </w:r>
      <w:r w:rsidR="00E843FF">
        <w:t>%</w:t>
      </w:r>
      <w:r>
        <w:t xml:space="preserve"> of total costs over the next 5 years.</w:t>
      </w:r>
      <w:r w:rsidR="00CC5477">
        <w:rPr>
          <w:rStyle w:val="FootnoteReference"/>
        </w:rPr>
        <w:footnoteReference w:id="53"/>
      </w:r>
    </w:p>
    <w:p w14:paraId="66F08E0B" w14:textId="77777777" w:rsidR="00CD7920" w:rsidRDefault="00B028A0" w:rsidP="00CD7920">
      <w:pPr>
        <w:pStyle w:val="Heading3"/>
      </w:pPr>
      <w:r>
        <w:t>WAN/</w:t>
      </w:r>
      <w:r w:rsidR="00CD7920">
        <w:t>Last-Mile</w:t>
      </w:r>
      <w:r>
        <w:t xml:space="preserve"> Construction</w:t>
      </w:r>
      <w:r w:rsidR="00CD7920">
        <w:t xml:space="preserve"> Costs</w:t>
      </w:r>
    </w:p>
    <w:p w14:paraId="75BB307F" w14:textId="30A9A71E" w:rsidR="00955B2A" w:rsidRDefault="00CD7920" w:rsidP="00521802">
      <w:pPr>
        <w:pStyle w:val="ParaNum"/>
      </w:pPr>
      <w:r>
        <w:t>Another component of the affordability gap that disproportionately impacts rural schools and libraries is the cost of building adequate connections.  According to ESH/CoSN, the average cost of connecting rural distant and rural remote schools ranges from $177,000 to $1.61 million respectively as compared to $35,400 to $68,500 for schools in urban and town areas.</w:t>
      </w:r>
      <w:r>
        <w:rPr>
          <w:rStyle w:val="FootnoteReference"/>
        </w:rPr>
        <w:footnoteReference w:id="54"/>
      </w:r>
      <w:r>
        <w:rPr>
          <w:rStyle w:val="FootnoteReference"/>
        </w:rPr>
        <w:t xml:space="preserve"> </w:t>
      </w:r>
      <w:r>
        <w:t xml:space="preserve"> Similarly, rural libraries are also more affected by the affordability gap because their construction costs are significantly higher as well.  SHLB estimates the connection costs for rural libraries at between $55,000 and $275,000, and between $40,000 </w:t>
      </w:r>
      <w:r w:rsidR="00DF6723">
        <w:t>and</w:t>
      </w:r>
      <w:r>
        <w:t xml:space="preserve"> $59,000 for libraries in metropolitan areas.</w:t>
      </w:r>
      <w:r>
        <w:rPr>
          <w:rStyle w:val="FootnoteReference"/>
        </w:rPr>
        <w:footnoteReference w:id="55"/>
      </w:r>
      <w:r>
        <w:t xml:space="preserve">  It is not surprising that a smaller proportion of rural schools</w:t>
      </w:r>
      <w:r w:rsidR="00D9662B">
        <w:t xml:space="preserve"> and</w:t>
      </w:r>
      <w:r>
        <w:t xml:space="preserve"> libraries meet the Commission’s goals for high-capacity broadband than suburban and urban ones.</w:t>
      </w:r>
      <w:r>
        <w:rPr>
          <w:rStyle w:val="FootnoteReference"/>
        </w:rPr>
        <w:footnoteReference w:id="56"/>
      </w:r>
      <w:r>
        <w:t xml:space="preserve"> </w:t>
      </w:r>
    </w:p>
    <w:p w14:paraId="29406310" w14:textId="77777777" w:rsidR="001E29EB" w:rsidRDefault="001E29EB" w:rsidP="001E29EB">
      <w:pPr>
        <w:pStyle w:val="Heading1"/>
      </w:pPr>
      <w:r>
        <w:t>Long-Term Funding Needs</w:t>
      </w:r>
      <w:r w:rsidR="00572301">
        <w:t xml:space="preserve"> to Meet Connectivity Targets</w:t>
      </w:r>
    </w:p>
    <w:p w14:paraId="26251815" w14:textId="77777777" w:rsidR="00EF6E8E" w:rsidRDefault="005A0DCF" w:rsidP="005A0DCF">
      <w:pPr>
        <w:pStyle w:val="ParaNum"/>
      </w:pPr>
      <w:r>
        <w:t xml:space="preserve">As a framework for thinking about the funding required to achieve the connectivity targets, we begin with the actions taken in the </w:t>
      </w:r>
      <w:r w:rsidR="00C4340F">
        <w:rPr>
          <w:i/>
        </w:rPr>
        <w:t>E-rate</w:t>
      </w:r>
      <w:r w:rsidRPr="00DB4648">
        <w:rPr>
          <w:i/>
        </w:rPr>
        <w:t xml:space="preserve"> Modernization </w:t>
      </w:r>
      <w:r w:rsidRPr="00AB4957">
        <w:rPr>
          <w:i/>
        </w:rPr>
        <w:t>Order</w:t>
      </w:r>
      <w:r>
        <w:t xml:space="preserve">.  The </w:t>
      </w:r>
      <w:r w:rsidRPr="00793C07">
        <w:rPr>
          <w:i/>
        </w:rPr>
        <w:t xml:space="preserve">Order </w:t>
      </w:r>
      <w:r>
        <w:t xml:space="preserve">initiated a phase-out of support for non-broadband services and also set a $1 billion annual target for closing the Wi-Fi gap through </w:t>
      </w:r>
      <w:r w:rsidR="00CA2655">
        <w:t>category two</w:t>
      </w:r>
      <w:r>
        <w:t xml:space="preserve"> support.</w:t>
      </w:r>
      <w:r>
        <w:rPr>
          <w:rStyle w:val="FootnoteReference"/>
        </w:rPr>
        <w:footnoteReference w:id="57"/>
      </w:r>
      <w:r>
        <w:t xml:space="preserve">  Since </w:t>
      </w:r>
      <w:r w:rsidR="00CA2655">
        <w:t>category two</w:t>
      </w:r>
      <w:r>
        <w:t xml:space="preserve"> support is targeted at $1 billion annually and non-broadband support will be fully phased out within five years, demand for Internet Access and WAN/L</w:t>
      </w:r>
      <w:r w:rsidR="00D9662B">
        <w:t>ast Mile connections (</w:t>
      </w:r>
      <w:r w:rsidR="00CA2655">
        <w:t>category one</w:t>
      </w:r>
      <w:r>
        <w:t xml:space="preserve">) will likely be the primary driver for additional </w:t>
      </w:r>
      <w:r w:rsidR="00C4340F">
        <w:t>E-rate</w:t>
      </w:r>
      <w:r>
        <w:t xml:space="preserve"> funding.  </w:t>
      </w:r>
      <w:r w:rsidR="00254E5D">
        <w:t xml:space="preserve">The record now includes </w:t>
      </w:r>
      <w:r w:rsidR="00B028A0">
        <w:t>d</w:t>
      </w:r>
      <w:r w:rsidR="00CA5CAA">
        <w:t xml:space="preserve">etailed </w:t>
      </w:r>
      <w:r w:rsidR="00254E5D">
        <w:t xml:space="preserve">third-party cost </w:t>
      </w:r>
      <w:r w:rsidR="00CA5CAA">
        <w:t xml:space="preserve">models </w:t>
      </w:r>
      <w:r w:rsidR="00254E5D">
        <w:t>that</w:t>
      </w:r>
      <w:r w:rsidR="00CA5CAA">
        <w:t xml:space="preserve"> </w:t>
      </w:r>
      <w:r>
        <w:t xml:space="preserve">provide </w:t>
      </w:r>
      <w:r w:rsidR="00BB53A9">
        <w:t>estimate</w:t>
      </w:r>
      <w:r>
        <w:t>s</w:t>
      </w:r>
      <w:r w:rsidR="00890212">
        <w:t xml:space="preserve"> </w:t>
      </w:r>
      <w:r>
        <w:t xml:space="preserve">of </w:t>
      </w:r>
      <w:r w:rsidR="00254E5D">
        <w:t xml:space="preserve">the </w:t>
      </w:r>
      <w:r w:rsidR="00890212">
        <w:t xml:space="preserve">funding </w:t>
      </w:r>
      <w:r>
        <w:t xml:space="preserve">required </w:t>
      </w:r>
      <w:r w:rsidR="00890212">
        <w:t>in order to</w:t>
      </w:r>
      <w:r w:rsidR="00835AE4">
        <w:t xml:space="preserve"> </w:t>
      </w:r>
      <w:r w:rsidR="00890212">
        <w:t xml:space="preserve">achieve the </w:t>
      </w:r>
      <w:r w:rsidR="006D5CE0">
        <w:t xml:space="preserve">Internet access and WAN/Last-Mile </w:t>
      </w:r>
      <w:r w:rsidR="00076BE1">
        <w:t>connectivity targets</w:t>
      </w:r>
      <w:r w:rsidR="00890212">
        <w:t xml:space="preserve"> adopted by the Commission in the </w:t>
      </w:r>
      <w:r w:rsidR="00C4340F">
        <w:rPr>
          <w:i/>
        </w:rPr>
        <w:t>E-rate</w:t>
      </w:r>
      <w:r w:rsidR="00076BE1" w:rsidRPr="00DB4648">
        <w:rPr>
          <w:i/>
        </w:rPr>
        <w:t xml:space="preserve"> Modernization</w:t>
      </w:r>
      <w:r w:rsidR="00076BE1">
        <w:t xml:space="preserve"> </w:t>
      </w:r>
      <w:r w:rsidR="00890212" w:rsidRPr="00793C07">
        <w:rPr>
          <w:i/>
        </w:rPr>
        <w:t>Order</w:t>
      </w:r>
      <w:r w:rsidR="00890212">
        <w:t>.</w:t>
      </w:r>
      <w:r w:rsidR="001E29EB">
        <w:rPr>
          <w:rStyle w:val="FootnoteReference"/>
        </w:rPr>
        <w:footnoteReference w:id="58"/>
      </w:r>
      <w:r w:rsidR="00890212">
        <w:t xml:space="preserve">  </w:t>
      </w:r>
      <w:r w:rsidR="00852A84">
        <w:t xml:space="preserve">  </w:t>
      </w:r>
    </w:p>
    <w:p w14:paraId="7819AB1A" w14:textId="63D14B92" w:rsidR="002546C4" w:rsidRDefault="00CA2655" w:rsidP="005A0DCF">
      <w:pPr>
        <w:pStyle w:val="ParaNum"/>
      </w:pPr>
      <w:r>
        <w:t>Category one</w:t>
      </w:r>
      <w:r w:rsidR="00EF6E8E">
        <w:t xml:space="preserve"> funding includes both CAPEX and OPEX costs</w:t>
      </w:r>
      <w:r w:rsidR="00FC7B1B">
        <w:t xml:space="preserve"> for broadband service.</w:t>
      </w:r>
      <w:r w:rsidR="008316D9">
        <w:rPr>
          <w:rStyle w:val="FootnoteReference"/>
        </w:rPr>
        <w:footnoteReference w:id="59"/>
      </w:r>
      <w:r w:rsidR="00FC7B1B">
        <w:t xml:space="preserve">  T</w:t>
      </w:r>
      <w:r w:rsidR="00EF6E8E">
        <w:t>he models submitted estimate either both CAPEX and OPEX (</w:t>
      </w:r>
      <w:r w:rsidR="009A1E64">
        <w:t>i.e.</w:t>
      </w:r>
      <w:r w:rsidR="005A0DCF">
        <w:t>,</w:t>
      </w:r>
      <w:r w:rsidR="00EF6E8E">
        <w:t xml:space="preserve"> ESH) or the total CAPEX (i.e.</w:t>
      </w:r>
      <w:r w:rsidR="005A0DCF">
        <w:t>,</w:t>
      </w:r>
      <w:r w:rsidR="00EF6E8E">
        <w:t xml:space="preserve"> SHLB) costs required to meet the </w:t>
      </w:r>
      <w:r w:rsidR="00AB4957">
        <w:t>Commission’s connectivity targets</w:t>
      </w:r>
      <w:r w:rsidR="00B80D5A">
        <w:t>, and they vary in scope of covered schools and libraries;</w:t>
      </w:r>
      <w:r w:rsidR="00FC7B1B">
        <w:t xml:space="preserve"> </w:t>
      </w:r>
      <w:r w:rsidR="003369AD">
        <w:t>collectively</w:t>
      </w:r>
      <w:r w:rsidR="00B80D5A">
        <w:t>, however,</w:t>
      </w:r>
      <w:r w:rsidR="00FC7B1B">
        <w:t xml:space="preserve"> the models provide valuable</w:t>
      </w:r>
      <w:r w:rsidR="003369AD">
        <w:t xml:space="preserve"> guidance as to the range of funding needed to achie</w:t>
      </w:r>
      <w:r w:rsidR="00BB53A9">
        <w:t>ve the goals while also</w:t>
      </w:r>
      <w:r w:rsidR="003369AD">
        <w:t xml:space="preserve"> fund</w:t>
      </w:r>
      <w:r w:rsidR="00BB53A9">
        <w:t>ing</w:t>
      </w:r>
      <w:r w:rsidR="003369AD">
        <w:t xml:space="preserve"> </w:t>
      </w:r>
      <w:r>
        <w:t>category two services</w:t>
      </w:r>
      <w:r w:rsidR="003369AD">
        <w:t xml:space="preserve"> and legacy services as directed by the </w:t>
      </w:r>
      <w:r w:rsidR="00C4340F">
        <w:rPr>
          <w:i/>
        </w:rPr>
        <w:t>E-rate</w:t>
      </w:r>
      <w:r>
        <w:rPr>
          <w:i/>
        </w:rPr>
        <w:t xml:space="preserve"> Modernization</w:t>
      </w:r>
      <w:r w:rsidR="003369AD">
        <w:t xml:space="preserve"> </w:t>
      </w:r>
      <w:r w:rsidR="003369AD" w:rsidRPr="00793C07">
        <w:rPr>
          <w:i/>
        </w:rPr>
        <w:t>Order</w:t>
      </w:r>
      <w:r w:rsidR="003369AD">
        <w:t xml:space="preserve">. </w:t>
      </w:r>
    </w:p>
    <w:p w14:paraId="0BC5FD9C" w14:textId="77777777" w:rsidR="008C16E2" w:rsidRDefault="008C16E2" w:rsidP="008C16E2">
      <w:pPr>
        <w:pStyle w:val="Heading2"/>
      </w:pPr>
      <w:r>
        <w:t>Cost Models</w:t>
      </w:r>
    </w:p>
    <w:p w14:paraId="459EF235" w14:textId="6F4D0F7E" w:rsidR="00A827F6" w:rsidRDefault="00254E5D" w:rsidP="00254E5D">
      <w:pPr>
        <w:pStyle w:val="ParaNum"/>
      </w:pPr>
      <w:r>
        <w:t>A b</w:t>
      </w:r>
      <w:r w:rsidR="00BB53A9">
        <w:t xml:space="preserve">rief description of each </w:t>
      </w:r>
      <w:r>
        <w:t xml:space="preserve">cost </w:t>
      </w:r>
      <w:r w:rsidR="00BB53A9">
        <w:t xml:space="preserve">model </w:t>
      </w:r>
      <w:r>
        <w:t>is provided</w:t>
      </w:r>
      <w:r w:rsidR="00BB53A9">
        <w:t xml:space="preserve"> below</w:t>
      </w:r>
      <w:r w:rsidR="00A827F6">
        <w:t>:</w:t>
      </w:r>
    </w:p>
    <w:p w14:paraId="7DBEBF5B" w14:textId="77777777" w:rsidR="00CE5B97" w:rsidRDefault="00BB53A9" w:rsidP="00A827F6">
      <w:pPr>
        <w:pStyle w:val="ListParagraph"/>
        <w:numPr>
          <w:ilvl w:val="0"/>
          <w:numId w:val="4"/>
        </w:numPr>
      </w:pPr>
      <w:r w:rsidRPr="00254E5D">
        <w:rPr>
          <w:b/>
        </w:rPr>
        <w:t>ESH</w:t>
      </w:r>
      <w:r w:rsidR="00A827F6" w:rsidRPr="00254E5D">
        <w:rPr>
          <w:b/>
        </w:rPr>
        <w:t>/CoSN</w:t>
      </w:r>
      <w:r w:rsidR="00254E5D" w:rsidRPr="00254E5D">
        <w:rPr>
          <w:b/>
        </w:rPr>
        <w:t>:</w:t>
      </w:r>
      <w:r w:rsidR="00A827F6">
        <w:t xml:space="preserve"> This model estimates both the CAPEX and OPEX costs for public schools</w:t>
      </w:r>
      <w:r w:rsidR="00AD01AD">
        <w:t xml:space="preserve"> </w:t>
      </w:r>
      <w:r w:rsidR="00A827F6">
        <w:t>to meet the goals over the next five years.</w:t>
      </w:r>
      <w:r w:rsidR="00FF52D7">
        <w:rPr>
          <w:rStyle w:val="FootnoteReference"/>
        </w:rPr>
        <w:footnoteReference w:id="60"/>
      </w:r>
      <w:r w:rsidR="00FF52D7">
        <w:t xml:space="preserve"> </w:t>
      </w:r>
      <w:r w:rsidR="00306C76">
        <w:t xml:space="preserve"> </w:t>
      </w:r>
      <w:r w:rsidR="00CE5B97">
        <w:t>ESH/CoSN input data on</w:t>
      </w:r>
      <w:r>
        <w:t xml:space="preserve"> public</w:t>
      </w:r>
      <w:r w:rsidR="00CE5B97">
        <w:t xml:space="preserve"> schools </w:t>
      </w:r>
      <w:r w:rsidR="00AD01AD">
        <w:t>lacking connectivity</w:t>
      </w:r>
      <w:r w:rsidR="00CE5B97">
        <w:t>, predicted bandwidth growth, and CAPEX and OPEX prices.  The model takes in to account variation in connectivity needs based on school size and price decline</w:t>
      </w:r>
      <w:r>
        <w:t>s</w:t>
      </w:r>
      <w:r w:rsidR="00CE5B97">
        <w:t xml:space="preserve"> for specific services</w:t>
      </w:r>
      <w:r w:rsidR="00CC12EB">
        <w:t xml:space="preserve"> resulting from market dynamics</w:t>
      </w:r>
      <w:r w:rsidR="00CE5B97">
        <w:t>.</w:t>
      </w:r>
      <w:r w:rsidR="00FD0483">
        <w:rPr>
          <w:rStyle w:val="FootnoteReference"/>
        </w:rPr>
        <w:footnoteReference w:id="61"/>
      </w:r>
      <w:r w:rsidR="002E1D4F">
        <w:t xml:space="preserve">  Through several scenarios</w:t>
      </w:r>
      <w:r w:rsidR="00CC12EB">
        <w:t xml:space="preserve">, </w:t>
      </w:r>
      <w:r w:rsidR="00C867BD">
        <w:t>the model</w:t>
      </w:r>
      <w:r w:rsidR="00CC12EB">
        <w:t xml:space="preserve"> demonstrate</w:t>
      </w:r>
      <w:r w:rsidR="00C867BD">
        <w:t>s</w:t>
      </w:r>
      <w:r w:rsidR="00CC12EB">
        <w:t xml:space="preserve"> how funding demand </w:t>
      </w:r>
      <w:r w:rsidR="002E1D4F">
        <w:t>would vary as a function of the number of schools and students connected.</w:t>
      </w:r>
      <w:r w:rsidR="00EB76CF">
        <w:rPr>
          <w:rStyle w:val="FootnoteReference"/>
        </w:rPr>
        <w:footnoteReference w:id="62"/>
      </w:r>
      <w:r w:rsidR="002E1D4F">
        <w:t xml:space="preserve"> </w:t>
      </w:r>
    </w:p>
    <w:p w14:paraId="19BFF9AD" w14:textId="77777777" w:rsidR="00A827F6" w:rsidRDefault="00BB53A9" w:rsidP="00A827F6">
      <w:pPr>
        <w:pStyle w:val="ListParagraph"/>
        <w:numPr>
          <w:ilvl w:val="0"/>
          <w:numId w:val="4"/>
        </w:numPr>
      </w:pPr>
      <w:r w:rsidRPr="00254E5D">
        <w:rPr>
          <w:b/>
        </w:rPr>
        <w:t>SHLB</w:t>
      </w:r>
      <w:r w:rsidR="00254E5D" w:rsidRPr="00254E5D">
        <w:rPr>
          <w:b/>
        </w:rPr>
        <w:t xml:space="preserve"> Coalition:</w:t>
      </w:r>
      <w:r w:rsidR="00CE5B97">
        <w:t xml:space="preserve"> </w:t>
      </w:r>
      <w:r w:rsidR="002E1D4F">
        <w:t xml:space="preserve">This model (prepared by </w:t>
      </w:r>
      <w:r w:rsidR="00C867BD">
        <w:t>CTC T</w:t>
      </w:r>
      <w:r w:rsidR="002E1D4F">
        <w:t xml:space="preserve">echnology &amp; </w:t>
      </w:r>
      <w:r w:rsidR="00C867BD">
        <w:t>E</w:t>
      </w:r>
      <w:r w:rsidR="002E1D4F">
        <w:t>nergy) estimates the total CAPEX costs of connecting all public and private schools and libraries.  The model takes a distinctly engineering-based approach, dividing the nation into regions and then using construction cost estimates to develop a total CAPEX amount.</w:t>
      </w:r>
      <w:r w:rsidR="007201CB">
        <w:rPr>
          <w:rStyle w:val="FootnoteReference"/>
        </w:rPr>
        <w:footnoteReference w:id="63"/>
      </w:r>
      <w:r w:rsidR="002E1D4F">
        <w:t xml:space="preserve">  Based on varying parameters in the model, SHLB offers a low and high CAPEX estimate for connecting all schools</w:t>
      </w:r>
      <w:r>
        <w:t xml:space="preserve"> and a single CAPEX estimate for connecting libraries</w:t>
      </w:r>
      <w:r w:rsidR="00AF367A">
        <w:t>.</w:t>
      </w:r>
      <w:r w:rsidR="007201CB">
        <w:rPr>
          <w:rStyle w:val="FootnoteReference"/>
        </w:rPr>
        <w:footnoteReference w:id="64"/>
      </w:r>
      <w:r w:rsidR="002E1D4F">
        <w:t xml:space="preserve">   </w:t>
      </w:r>
    </w:p>
    <w:p w14:paraId="74DA1FCF" w14:textId="77777777" w:rsidR="00962B2F" w:rsidRPr="00BF1640" w:rsidRDefault="008C16E2" w:rsidP="008C16E2">
      <w:pPr>
        <w:pStyle w:val="Heading2"/>
      </w:pPr>
      <w:r>
        <w:t>Estimating the Amount of Additional Funding Needed</w:t>
      </w:r>
    </w:p>
    <w:p w14:paraId="6F0350B7" w14:textId="77777777" w:rsidR="008D52F6" w:rsidRDefault="00AD01AD" w:rsidP="008534DC">
      <w:pPr>
        <w:pStyle w:val="ParaNum"/>
      </w:pPr>
      <w:r>
        <w:t>Both</w:t>
      </w:r>
      <w:r w:rsidR="00BF1640">
        <w:t xml:space="preserve"> models </w:t>
      </w:r>
      <w:r w:rsidR="00B80D5A">
        <w:t>indicate</w:t>
      </w:r>
      <w:r w:rsidR="008D52F6">
        <w:t xml:space="preserve"> </w:t>
      </w:r>
      <w:r w:rsidR="00BF1640">
        <w:t xml:space="preserve">that achieving the </w:t>
      </w:r>
      <w:r w:rsidR="008C16E2">
        <w:t>connectivity targets</w:t>
      </w:r>
      <w:r w:rsidR="00B80D5A">
        <w:t xml:space="preserve"> </w:t>
      </w:r>
      <w:r w:rsidR="00BF1640">
        <w:t xml:space="preserve">will require increased </w:t>
      </w:r>
      <w:r w:rsidR="00C4340F">
        <w:t>E-rate</w:t>
      </w:r>
      <w:r w:rsidR="00BF1640">
        <w:t xml:space="preserve"> funding.</w:t>
      </w:r>
      <w:r w:rsidR="008D52F6">
        <w:t xml:space="preserve">  </w:t>
      </w:r>
      <w:r w:rsidR="00875F1E">
        <w:t>C</w:t>
      </w:r>
      <w:r w:rsidR="008D52F6">
        <w:t xml:space="preserve">ommenters </w:t>
      </w:r>
      <w:r w:rsidR="003C646F">
        <w:t>recognize</w:t>
      </w:r>
      <w:r w:rsidR="008D52F6">
        <w:t xml:space="preserve"> that pricing efficiencies can be accomplished as a result of a combination of market dynamics</w:t>
      </w:r>
      <w:r w:rsidR="003C646F">
        <w:t xml:space="preserve">, </w:t>
      </w:r>
      <w:r w:rsidR="008D52F6">
        <w:t>the Commission’s rec</w:t>
      </w:r>
      <w:r w:rsidR="00875F1E">
        <w:t>ent reforms</w:t>
      </w:r>
      <w:r w:rsidR="003C646F">
        <w:t>, and additional reforms</w:t>
      </w:r>
      <w:r w:rsidR="00875F1E">
        <w:t>.</w:t>
      </w:r>
      <w:r w:rsidR="00875F1E">
        <w:rPr>
          <w:rStyle w:val="FootnoteReference"/>
        </w:rPr>
        <w:footnoteReference w:id="65"/>
      </w:r>
      <w:r w:rsidR="0090272A">
        <w:t xml:space="preserve">  However, even the most aggressive pricing efficiency projections tend to be offset by even larger bandwidth growth projections when the goals are fully achieved.  For example,</w:t>
      </w:r>
      <w:r w:rsidR="00875F1E">
        <w:t xml:space="preserve"> the</w:t>
      </w:r>
      <w:r w:rsidR="0090272A">
        <w:t xml:space="preserve"> ESH/CoSN model assumes a 50% annual growth in bandwidth.  As </w:t>
      </w:r>
      <w:r w:rsidR="00B80D5A">
        <w:t>discussed</w:t>
      </w:r>
      <w:r w:rsidR="0090272A">
        <w:t xml:space="preserve"> above, experience from North Carolina and Washington show that when schools adopt specific digital initiatives the steepest parts of the growth curve may exceed 100% annual rates.  It is this interplay between price declines and increasing </w:t>
      </w:r>
      <w:r w:rsidR="00875F1E">
        <w:t>demand</w:t>
      </w:r>
      <w:r w:rsidR="0090272A">
        <w:t xml:space="preserve"> (due to both new fiber connections and </w:t>
      </w:r>
      <w:r w:rsidR="008C16E2">
        <w:t>increased usage</w:t>
      </w:r>
      <w:r w:rsidR="0090272A">
        <w:t xml:space="preserve"> among schools already connected) that will drive future funding needs.</w:t>
      </w:r>
    </w:p>
    <w:p w14:paraId="6D3C7AE2" w14:textId="77777777" w:rsidR="004D58F2" w:rsidRDefault="0090272A" w:rsidP="008534DC">
      <w:pPr>
        <w:pStyle w:val="ParaNum"/>
      </w:pPr>
      <w:r>
        <w:t xml:space="preserve">To consider what the submitted models say about the total needs of the fund to achieve the goals, we first separately consider the CAPEX costs required to connect schools and then we consider the OPEX costs.  </w:t>
      </w:r>
      <w:r w:rsidR="00B80D5A">
        <w:t>The models recognize</w:t>
      </w:r>
      <w:r>
        <w:t xml:space="preserve"> that many </w:t>
      </w:r>
      <w:r w:rsidR="0034374A">
        <w:t xml:space="preserve">schools and libraries </w:t>
      </w:r>
      <w:r w:rsidR="004D58F2">
        <w:t xml:space="preserve">pay a recurring monthly price for service and that this price </w:t>
      </w:r>
      <w:r w:rsidR="0034374A">
        <w:t>may cover all, or a portion, of the</w:t>
      </w:r>
      <w:r w:rsidR="004D58F2">
        <w:t xml:space="preserve"> CAPEX costs incurred by the provider</w:t>
      </w:r>
      <w:r w:rsidR="00C678C0">
        <w:t xml:space="preserve"> to build the infrastructure</w:t>
      </w:r>
      <w:r w:rsidR="00B80D5A">
        <w:t xml:space="preserve">.  </w:t>
      </w:r>
      <w:r w:rsidR="004D58F2">
        <w:t xml:space="preserve">As a modeling </w:t>
      </w:r>
      <w:r w:rsidR="00B80D5A">
        <w:t>convention</w:t>
      </w:r>
      <w:r w:rsidR="004D58F2">
        <w:t xml:space="preserve">, </w:t>
      </w:r>
      <w:r w:rsidR="00B80D5A">
        <w:t>however, the models submitted</w:t>
      </w:r>
      <w:r w:rsidR="00C678C0">
        <w:t xml:space="preserve"> </w:t>
      </w:r>
      <w:r w:rsidR="004D58F2">
        <w:t xml:space="preserve">separated the CAPEX and OPEX </w:t>
      </w:r>
      <w:r w:rsidR="00484649">
        <w:t>components</w:t>
      </w:r>
      <w:r w:rsidR="00C678C0">
        <w:t>.  T</w:t>
      </w:r>
      <w:r w:rsidR="004D58F2">
        <w:t xml:space="preserve">herefore </w:t>
      </w:r>
      <w:r w:rsidR="00C678C0">
        <w:t>we can</w:t>
      </w:r>
      <w:r w:rsidR="004D58F2">
        <w:t xml:space="preserve"> compare </w:t>
      </w:r>
      <w:r w:rsidR="00C678C0">
        <w:t xml:space="preserve">across </w:t>
      </w:r>
      <w:r w:rsidR="004D58F2">
        <w:t>models</w:t>
      </w:r>
      <w:r w:rsidR="00C678C0">
        <w:t xml:space="preserve"> the</w:t>
      </w:r>
      <w:r w:rsidR="004D58F2">
        <w:t xml:space="preserve"> estimates of the total CAPEX required to connect all schools in order to meet the goals.</w:t>
      </w:r>
    </w:p>
    <w:p w14:paraId="44431A6D" w14:textId="77777777" w:rsidR="00446660" w:rsidRPr="00446660" w:rsidRDefault="00446660" w:rsidP="008C16E2">
      <w:pPr>
        <w:pStyle w:val="Heading3"/>
      </w:pPr>
      <w:r>
        <w:t>Capital Expenditure</w:t>
      </w:r>
      <w:r w:rsidR="00B028A0">
        <w:t xml:space="preserve"> (CAPEX)</w:t>
      </w:r>
      <w:r>
        <w:t xml:space="preserve"> Estimates</w:t>
      </w:r>
    </w:p>
    <w:p w14:paraId="5D5997D8" w14:textId="77777777" w:rsidR="006B0BA3" w:rsidRDefault="004D58F2" w:rsidP="008534DC">
      <w:pPr>
        <w:pStyle w:val="ParaNum"/>
      </w:pPr>
      <w:r>
        <w:t>The SHLB and ESH/CoSN model</w:t>
      </w:r>
      <w:r w:rsidR="00641E16">
        <w:t xml:space="preserve">s </w:t>
      </w:r>
      <w:r w:rsidR="00E00D09">
        <w:t>both</w:t>
      </w:r>
      <w:r w:rsidR="00641E16">
        <w:t xml:space="preserve"> provide CAPEX estimates.  Each model’s CAPEX estimate is as follows:</w:t>
      </w:r>
    </w:p>
    <w:p w14:paraId="512327EA" w14:textId="7A58490F" w:rsidR="006B0BA3" w:rsidRDefault="004D58F2" w:rsidP="006B0BA3">
      <w:pPr>
        <w:pStyle w:val="ListParagraph"/>
        <w:numPr>
          <w:ilvl w:val="0"/>
          <w:numId w:val="5"/>
        </w:numPr>
      </w:pPr>
      <w:r>
        <w:t xml:space="preserve">SHLB estimates </w:t>
      </w:r>
      <w:r w:rsidR="00375A29">
        <w:t>CAPEX costs for connecting</w:t>
      </w:r>
      <w:r>
        <w:t xml:space="preserve"> all</w:t>
      </w:r>
      <w:r w:rsidR="00375A29">
        <w:t xml:space="preserve"> currently unconnected</w:t>
      </w:r>
      <w:r>
        <w:t xml:space="preserve"> schools </w:t>
      </w:r>
      <w:r w:rsidR="00BA7746">
        <w:t>at</w:t>
      </w:r>
      <w:r>
        <w:t xml:space="preserve"> between </w:t>
      </w:r>
      <w:r w:rsidR="00BA7746">
        <w:t>$</w:t>
      </w:r>
      <w:r w:rsidR="00271EEA">
        <w:t>4.0</w:t>
      </w:r>
      <w:r w:rsidR="00BA7746">
        <w:t xml:space="preserve"> billion and $</w:t>
      </w:r>
      <w:r w:rsidR="00271EEA">
        <w:t>5.7</w:t>
      </w:r>
      <w:r w:rsidR="00BA7746">
        <w:t xml:space="preserve"> billion.</w:t>
      </w:r>
      <w:r w:rsidR="00BA7746">
        <w:rPr>
          <w:rStyle w:val="FootnoteReference"/>
        </w:rPr>
        <w:footnoteReference w:id="66"/>
      </w:r>
      <w:r w:rsidR="00BA7746">
        <w:t xml:space="preserve">  Simply averaging these CAPEX costs over five years results in an annual</w:t>
      </w:r>
      <w:r w:rsidR="00375A29">
        <w:t xml:space="preserve"> pre-discount</w:t>
      </w:r>
      <w:r w:rsidR="00BA7746">
        <w:t xml:space="preserve"> CAPEX cost</w:t>
      </w:r>
      <w:r w:rsidR="006B0BA3">
        <w:t xml:space="preserve"> between approximately $</w:t>
      </w:r>
      <w:r w:rsidR="00271EEA">
        <w:t xml:space="preserve">800 million </w:t>
      </w:r>
      <w:r w:rsidR="006B0BA3">
        <w:t>and $1.</w:t>
      </w:r>
      <w:r w:rsidR="00271EEA">
        <w:t xml:space="preserve">1 </w:t>
      </w:r>
      <w:r w:rsidR="006B0BA3">
        <w:t>billion</w:t>
      </w:r>
      <w:r w:rsidR="00BA7746">
        <w:t xml:space="preserve"> to completely close the connectivity gap</w:t>
      </w:r>
      <w:r w:rsidR="007346B4">
        <w:t xml:space="preserve"> for all supported institutions</w:t>
      </w:r>
      <w:r w:rsidR="006B0BA3">
        <w:t>.</w:t>
      </w:r>
      <w:r w:rsidR="00271EEA">
        <w:t xml:space="preserve">  SHLB also estimates a CAPEX cost for connecting all currently unconnected libraries at $675 million, for an average annual cost over five years of $135 million.</w:t>
      </w:r>
    </w:p>
    <w:p w14:paraId="4CBF0BCE" w14:textId="77777777" w:rsidR="000F75E9" w:rsidRDefault="000F75E9" w:rsidP="006B0BA3">
      <w:pPr>
        <w:pStyle w:val="ListParagraph"/>
        <w:numPr>
          <w:ilvl w:val="0"/>
          <w:numId w:val="5"/>
        </w:numPr>
      </w:pPr>
      <w:r>
        <w:t>ESH/</w:t>
      </w:r>
      <w:r w:rsidRPr="000F75E9">
        <w:t>CoSN</w:t>
      </w:r>
      <w:r w:rsidRPr="006026F2">
        <w:t xml:space="preserve"> also provides estimates of CAPEX costs.  The ESH/CoSN model’s estimated CAPEX costs to</w:t>
      </w:r>
      <w:r>
        <w:t xml:space="preserve"> connect all public schools and achieve the goals is $4.1 billion pre-discount and prior to any pricing efficiencies being realized.</w:t>
      </w:r>
      <w:r w:rsidR="00001043">
        <w:rPr>
          <w:rStyle w:val="FootnoteReference"/>
        </w:rPr>
        <w:footnoteReference w:id="67"/>
      </w:r>
      <w:r>
        <w:t xml:space="preserve">  Over five years, this averages approxi</w:t>
      </w:r>
      <w:r w:rsidR="00C867BD">
        <w:t>mately $810 million each year.</w:t>
      </w:r>
    </w:p>
    <w:p w14:paraId="5834C8D5" w14:textId="77777777" w:rsidR="00641E16" w:rsidRDefault="00F04DEA" w:rsidP="00146676">
      <w:pPr>
        <w:pStyle w:val="ParaNum"/>
      </w:pPr>
      <w:r>
        <w:t>The CAPEX costs presented for each model are pre-discount costs and thus do not represent the cost to the fund.  However, one could apply a discount rate to estimate the CAPEX costs to the fund.  Such an exercise (i.e. SHLB’s estimate</w:t>
      </w:r>
      <w:r w:rsidR="007C7BD5">
        <w:t xml:space="preserve"> for both schools and libraries</w:t>
      </w:r>
      <w:r>
        <w:t xml:space="preserve"> with a</w:t>
      </w:r>
      <w:r w:rsidR="00090276">
        <w:t>n average</w:t>
      </w:r>
      <w:r>
        <w:t xml:space="preserve"> </w:t>
      </w:r>
      <w:r w:rsidR="00090276">
        <w:t>69</w:t>
      </w:r>
      <w:r>
        <w:t xml:space="preserve">% discount rate implies an annual </w:t>
      </w:r>
      <w:r w:rsidR="00C4340F">
        <w:t>E-rate</w:t>
      </w:r>
      <w:r>
        <w:t xml:space="preserve"> funding requirement </w:t>
      </w:r>
      <w:r w:rsidRPr="000D1957">
        <w:t xml:space="preserve">between </w:t>
      </w:r>
      <w:r w:rsidRPr="00A806A2">
        <w:t>$</w:t>
      </w:r>
      <w:r w:rsidR="007C7BD5" w:rsidRPr="00A806A2">
        <w:t>645</w:t>
      </w:r>
      <w:r w:rsidR="007C7BD5" w:rsidRPr="000D1957">
        <w:t xml:space="preserve"> </w:t>
      </w:r>
      <w:r w:rsidRPr="00A806A2">
        <w:t>million and $</w:t>
      </w:r>
      <w:r w:rsidR="007C7BD5" w:rsidRPr="00A806A2">
        <w:t>852</w:t>
      </w:r>
      <w:r w:rsidR="007C7BD5">
        <w:t xml:space="preserve"> million</w:t>
      </w:r>
      <w:r>
        <w:t xml:space="preserve">) reveals that CAPEX costs in addition to </w:t>
      </w:r>
      <w:r w:rsidR="00C867BD">
        <w:t>category one</w:t>
      </w:r>
      <w:r>
        <w:t xml:space="preserve"> OPEX costs </w:t>
      </w:r>
      <w:r w:rsidR="00CC6A1F">
        <w:t>and legacy service costs will easily exceed the</w:t>
      </w:r>
      <w:r w:rsidR="008723FF">
        <w:t xml:space="preserve"> current</w:t>
      </w:r>
      <w:r w:rsidR="00CC6A1F">
        <w:t xml:space="preserve"> $2.4 billion cap.  The ESH/CoSN model for 2014 estimates post-discount </w:t>
      </w:r>
      <w:r w:rsidR="00C867BD">
        <w:t>category one</w:t>
      </w:r>
      <w:r w:rsidR="00CC6A1F">
        <w:t xml:space="preserve"> and legacy funding demand to be approximately $2.4 billion which </w:t>
      </w:r>
      <w:r w:rsidR="00375A29">
        <w:t>means</w:t>
      </w:r>
      <w:r w:rsidR="00CC6A1F">
        <w:t xml:space="preserve"> additional CAPEX as estimated </w:t>
      </w:r>
      <w:r w:rsidR="00C0480F">
        <w:t>by both</w:t>
      </w:r>
      <w:r w:rsidR="00CC6A1F">
        <w:t xml:space="preserve"> models would cause funding demand to well exceed the $2.4 billion cap. </w:t>
      </w:r>
      <w:r>
        <w:t xml:space="preserve"> </w:t>
      </w:r>
    </w:p>
    <w:p w14:paraId="7C097BE7" w14:textId="77777777" w:rsidR="00446660" w:rsidRDefault="00446660" w:rsidP="008C16E2">
      <w:pPr>
        <w:pStyle w:val="Heading3"/>
      </w:pPr>
      <w:r>
        <w:t>Operation</w:t>
      </w:r>
      <w:r w:rsidR="00090276">
        <w:t>al</w:t>
      </w:r>
      <w:r>
        <w:t xml:space="preserve"> Expenditure</w:t>
      </w:r>
      <w:r w:rsidR="008723FF">
        <w:t xml:space="preserve"> (OPEX)</w:t>
      </w:r>
      <w:r w:rsidR="00306C76">
        <w:t xml:space="preserve"> </w:t>
      </w:r>
      <w:r>
        <w:t>Estimates</w:t>
      </w:r>
      <w:r w:rsidR="008D52F6">
        <w:t xml:space="preserve"> </w:t>
      </w:r>
    </w:p>
    <w:p w14:paraId="12E335AC" w14:textId="77777777" w:rsidR="00797B58" w:rsidRDefault="003A5754" w:rsidP="00146676">
      <w:pPr>
        <w:pStyle w:val="ParaNum"/>
      </w:pPr>
      <w:r>
        <w:t xml:space="preserve">The ESH/CoSN </w:t>
      </w:r>
      <w:r w:rsidR="00E56862">
        <w:t xml:space="preserve">model estimates OPEX costs </w:t>
      </w:r>
      <w:r w:rsidR="00797B58">
        <w:t>of</w:t>
      </w:r>
      <w:r w:rsidR="00E56862">
        <w:t xml:space="preserve"> broadband services for various levels </w:t>
      </w:r>
      <w:r w:rsidR="00797B58">
        <w:t>of</w:t>
      </w:r>
      <w:r w:rsidR="00E56862">
        <w:t xml:space="preserve"> goal</w:t>
      </w:r>
      <w:r w:rsidR="00797B58">
        <w:t xml:space="preserve"> attainment</w:t>
      </w:r>
      <w:r w:rsidR="00E56862">
        <w:t xml:space="preserve"> for public schools.</w:t>
      </w:r>
      <w:r w:rsidR="00797B58">
        <w:t xml:space="preserve">  In their model, growth in </w:t>
      </w:r>
      <w:r w:rsidR="00C867BD">
        <w:t>category one</w:t>
      </w:r>
      <w:r w:rsidR="00797B58">
        <w:t xml:space="preserve"> OPEX results from both growth in the number of schools connected and growth in individual schools’ bandwidth costs.  Since the </w:t>
      </w:r>
      <w:r w:rsidR="00C867BD">
        <w:t>category one</w:t>
      </w:r>
      <w:r w:rsidR="00797B58">
        <w:t xml:space="preserve"> OPEX is a function of the extent to which the connectivity gap is closed, we can present ESH/CoSN’s estimates of </w:t>
      </w:r>
      <w:r w:rsidR="000C2D02">
        <w:t>“</w:t>
      </w:r>
      <w:r w:rsidR="00797B58">
        <w:t>pure</w:t>
      </w:r>
      <w:r w:rsidR="000C2D02">
        <w:t>”</w:t>
      </w:r>
      <w:r w:rsidR="00797B58">
        <w:t xml:space="preserve"> OPEX costs for various levels of goal attainment.  The annual post-discount OPEX costs (excluding CAPEX costs paid through OPEX) estimated in the ESH/CoSN model are shown in Table </w:t>
      </w:r>
      <w:r w:rsidR="00332C41">
        <w:t>2</w:t>
      </w:r>
      <w:r w:rsidR="00797B58">
        <w:t>.</w:t>
      </w:r>
      <w:r w:rsidR="00CB3B6F">
        <w:rPr>
          <w:rStyle w:val="FootnoteReference"/>
        </w:rPr>
        <w:footnoteReference w:id="68"/>
      </w:r>
    </w:p>
    <w:p w14:paraId="21A9B986" w14:textId="77777777" w:rsidR="00400267" w:rsidRPr="00332C41" w:rsidRDefault="00332C41" w:rsidP="009C7CDD">
      <w:pPr>
        <w:keepNext/>
        <w:jc w:val="center"/>
        <w:rPr>
          <w:b/>
        </w:rPr>
      </w:pPr>
      <w:r>
        <w:rPr>
          <w:b/>
        </w:rPr>
        <w:t xml:space="preserve">Table 2: Annual </w:t>
      </w:r>
      <w:r w:rsidR="00090276">
        <w:rPr>
          <w:b/>
        </w:rPr>
        <w:t xml:space="preserve">E-rate Funding for </w:t>
      </w:r>
      <w:r>
        <w:rPr>
          <w:b/>
        </w:rPr>
        <w:t>Public School OPEX Costs Estimated by ESH/CoSN</w:t>
      </w:r>
      <w:r w:rsidR="00665FA1">
        <w:rPr>
          <w:rStyle w:val="FootnoteReference"/>
          <w:b/>
        </w:rPr>
        <w:footnoteReference w:id="69"/>
      </w:r>
      <w:r>
        <w:rPr>
          <w:b/>
        </w:rPr>
        <w:t xml:space="preserve"> </w:t>
      </w:r>
    </w:p>
    <w:tbl>
      <w:tblPr>
        <w:tblStyle w:val="TableGrid"/>
        <w:tblW w:w="0" w:type="auto"/>
        <w:tblLook w:val="04A0" w:firstRow="1" w:lastRow="0" w:firstColumn="1" w:lastColumn="0" w:noHBand="0" w:noVBand="1"/>
      </w:tblPr>
      <w:tblGrid>
        <w:gridCol w:w="3192"/>
        <w:gridCol w:w="3192"/>
        <w:gridCol w:w="3192"/>
      </w:tblGrid>
      <w:tr w:rsidR="00797B58" w14:paraId="41E12554" w14:textId="77777777" w:rsidTr="00400267">
        <w:tc>
          <w:tcPr>
            <w:tcW w:w="3192" w:type="dxa"/>
            <w:vAlign w:val="center"/>
          </w:tcPr>
          <w:p w14:paraId="073F0BEC" w14:textId="77777777" w:rsidR="00797B58" w:rsidRPr="00400267" w:rsidRDefault="00797B58" w:rsidP="00400267">
            <w:pPr>
              <w:rPr>
                <w:b/>
              </w:rPr>
            </w:pPr>
            <w:r w:rsidRPr="00400267">
              <w:rPr>
                <w:b/>
              </w:rPr>
              <w:t>Scenario</w:t>
            </w:r>
          </w:p>
        </w:tc>
        <w:tc>
          <w:tcPr>
            <w:tcW w:w="3192" w:type="dxa"/>
          </w:tcPr>
          <w:p w14:paraId="18B8FFBB" w14:textId="77777777" w:rsidR="00797B58" w:rsidRPr="00400267" w:rsidRDefault="00797B58" w:rsidP="00400267">
            <w:pPr>
              <w:jc w:val="center"/>
              <w:rPr>
                <w:b/>
              </w:rPr>
            </w:pPr>
            <w:r w:rsidRPr="00400267">
              <w:rPr>
                <w:b/>
              </w:rPr>
              <w:t xml:space="preserve">Percent of </w:t>
            </w:r>
            <w:r w:rsidR="00400267" w:rsidRPr="00400267">
              <w:rPr>
                <w:b/>
              </w:rPr>
              <w:t xml:space="preserve">Public </w:t>
            </w:r>
            <w:r w:rsidRPr="00400267">
              <w:rPr>
                <w:b/>
              </w:rPr>
              <w:t>Schools Connected</w:t>
            </w:r>
          </w:p>
        </w:tc>
        <w:tc>
          <w:tcPr>
            <w:tcW w:w="3192" w:type="dxa"/>
          </w:tcPr>
          <w:p w14:paraId="0C3755BF" w14:textId="77777777" w:rsidR="00797B58" w:rsidRPr="00400267" w:rsidRDefault="00A17DE7" w:rsidP="00090276">
            <w:pPr>
              <w:jc w:val="center"/>
              <w:rPr>
                <w:b/>
              </w:rPr>
            </w:pPr>
            <w:r w:rsidRPr="00400267">
              <w:rPr>
                <w:b/>
              </w:rPr>
              <w:t xml:space="preserve">Maximum </w:t>
            </w:r>
            <w:r w:rsidR="00090276">
              <w:rPr>
                <w:b/>
              </w:rPr>
              <w:t>Annual E-rate Funding for</w:t>
            </w:r>
            <w:r w:rsidRPr="00400267">
              <w:rPr>
                <w:b/>
              </w:rPr>
              <w:t xml:space="preserve"> </w:t>
            </w:r>
            <w:r w:rsidR="00C867BD">
              <w:rPr>
                <w:b/>
              </w:rPr>
              <w:t>Category One</w:t>
            </w:r>
            <w:r w:rsidRPr="00400267">
              <w:rPr>
                <w:b/>
              </w:rPr>
              <w:t xml:space="preserve"> OPEX </w:t>
            </w:r>
          </w:p>
        </w:tc>
      </w:tr>
      <w:tr w:rsidR="00797B58" w14:paraId="214D3B69" w14:textId="77777777" w:rsidTr="00BE2FB6">
        <w:tc>
          <w:tcPr>
            <w:tcW w:w="3192" w:type="dxa"/>
          </w:tcPr>
          <w:p w14:paraId="7561D00B" w14:textId="77777777" w:rsidR="00797B58" w:rsidRDefault="00797B58" w:rsidP="00BF1640">
            <w:r>
              <w:t>Improved Gap Coverage: Urban, Suburban, Town</w:t>
            </w:r>
          </w:p>
        </w:tc>
        <w:tc>
          <w:tcPr>
            <w:tcW w:w="3192" w:type="dxa"/>
            <w:vAlign w:val="center"/>
          </w:tcPr>
          <w:p w14:paraId="44772F9B" w14:textId="77777777" w:rsidR="00797B58" w:rsidRDefault="00A17DE7" w:rsidP="00BE2FB6">
            <w:pPr>
              <w:jc w:val="center"/>
            </w:pPr>
            <w:r>
              <w:t>94</w:t>
            </w:r>
            <w:r w:rsidR="00955B2A">
              <w:t>.0</w:t>
            </w:r>
            <w:r>
              <w:t>%</w:t>
            </w:r>
          </w:p>
        </w:tc>
        <w:tc>
          <w:tcPr>
            <w:tcW w:w="3192" w:type="dxa"/>
            <w:vAlign w:val="center"/>
          </w:tcPr>
          <w:p w14:paraId="2B6A1FA8" w14:textId="77777777" w:rsidR="00797B58" w:rsidRDefault="00377136" w:rsidP="008071EE">
            <w:pPr>
              <w:jc w:val="center"/>
            </w:pPr>
            <w:r>
              <w:t>$1.</w:t>
            </w:r>
            <w:r w:rsidR="008071EE">
              <w:t xml:space="preserve">82 </w:t>
            </w:r>
            <w:r>
              <w:t>billion</w:t>
            </w:r>
          </w:p>
        </w:tc>
      </w:tr>
      <w:tr w:rsidR="00797B58" w14:paraId="7D43F889" w14:textId="77777777" w:rsidTr="00BE2FB6">
        <w:tc>
          <w:tcPr>
            <w:tcW w:w="3192" w:type="dxa"/>
          </w:tcPr>
          <w:p w14:paraId="2AECFAA5" w14:textId="77777777" w:rsidR="00797B58" w:rsidRDefault="00797B58" w:rsidP="00BF1640">
            <w:r>
              <w:t xml:space="preserve">Substantial Gap Coverage: </w:t>
            </w:r>
            <w:r w:rsidRPr="00797B58">
              <w:t>Urban, Suburban, Town, Rural Distant, 80% Rural Remote</w:t>
            </w:r>
          </w:p>
        </w:tc>
        <w:tc>
          <w:tcPr>
            <w:tcW w:w="3192" w:type="dxa"/>
            <w:vAlign w:val="center"/>
          </w:tcPr>
          <w:p w14:paraId="60585B10" w14:textId="77777777" w:rsidR="00797B58" w:rsidRDefault="00A17DE7" w:rsidP="00BE2FB6">
            <w:pPr>
              <w:jc w:val="center"/>
            </w:pPr>
            <w:r>
              <w:t>99.7%</w:t>
            </w:r>
          </w:p>
        </w:tc>
        <w:tc>
          <w:tcPr>
            <w:tcW w:w="3192" w:type="dxa"/>
            <w:vAlign w:val="center"/>
          </w:tcPr>
          <w:p w14:paraId="38AA6DD3" w14:textId="77777777" w:rsidR="00797B58" w:rsidRDefault="00377136" w:rsidP="008071EE">
            <w:pPr>
              <w:jc w:val="center"/>
            </w:pPr>
            <w:r>
              <w:t>$1.</w:t>
            </w:r>
            <w:r w:rsidR="008071EE">
              <w:t xml:space="preserve">94 </w:t>
            </w:r>
            <w:r>
              <w:t>billion</w:t>
            </w:r>
          </w:p>
        </w:tc>
      </w:tr>
      <w:tr w:rsidR="00797B58" w14:paraId="55BE8C95" w14:textId="77777777" w:rsidTr="00BE2FB6">
        <w:tc>
          <w:tcPr>
            <w:tcW w:w="3192" w:type="dxa"/>
          </w:tcPr>
          <w:p w14:paraId="33A2AB83" w14:textId="77777777" w:rsidR="00797B58" w:rsidRDefault="00A17DE7" w:rsidP="00BF1640">
            <w:r>
              <w:t>Complete Gap Coverage: All Locales</w:t>
            </w:r>
          </w:p>
        </w:tc>
        <w:tc>
          <w:tcPr>
            <w:tcW w:w="3192" w:type="dxa"/>
            <w:vAlign w:val="center"/>
          </w:tcPr>
          <w:p w14:paraId="029A914B" w14:textId="77777777" w:rsidR="00797B58" w:rsidRDefault="00A17DE7" w:rsidP="00BE2FB6">
            <w:pPr>
              <w:jc w:val="center"/>
            </w:pPr>
            <w:r>
              <w:t>100%</w:t>
            </w:r>
          </w:p>
        </w:tc>
        <w:tc>
          <w:tcPr>
            <w:tcW w:w="3192" w:type="dxa"/>
            <w:vAlign w:val="center"/>
          </w:tcPr>
          <w:p w14:paraId="7EC48F68" w14:textId="77777777" w:rsidR="00797B58" w:rsidRDefault="00377136" w:rsidP="008071EE">
            <w:pPr>
              <w:jc w:val="center"/>
            </w:pPr>
            <w:r>
              <w:t>$1.</w:t>
            </w:r>
            <w:r w:rsidR="008071EE">
              <w:t xml:space="preserve">96 </w:t>
            </w:r>
            <w:r>
              <w:t>billion</w:t>
            </w:r>
          </w:p>
        </w:tc>
      </w:tr>
    </w:tbl>
    <w:p w14:paraId="0A240E05" w14:textId="77777777" w:rsidR="00332C41" w:rsidRDefault="00332C41" w:rsidP="00332C41">
      <w:pPr>
        <w:pStyle w:val="Heading3"/>
        <w:numPr>
          <w:ilvl w:val="0"/>
          <w:numId w:val="0"/>
        </w:numPr>
      </w:pPr>
    </w:p>
    <w:p w14:paraId="243A79C9" w14:textId="77777777" w:rsidR="00332C41" w:rsidRPr="00332C41" w:rsidRDefault="00332C41" w:rsidP="00332C41">
      <w:pPr>
        <w:pStyle w:val="ParaNum"/>
      </w:pPr>
      <w:r>
        <w:t>ESH/CoSN also provided a supplemental analysis of the OPEX costs for private schools and libraries.</w:t>
      </w:r>
      <w:r w:rsidR="003614C7">
        <w:rPr>
          <w:rStyle w:val="FootnoteReference"/>
        </w:rPr>
        <w:footnoteReference w:id="70"/>
      </w:r>
      <w:r>
        <w:t xml:space="preserve">  In this analysis, ESH/CoSN estimates a total cost impact to </w:t>
      </w:r>
      <w:r w:rsidR="00C4340F">
        <w:t>E-rate</w:t>
      </w:r>
      <w:r>
        <w:t xml:space="preserve"> from private school OPEX to be $241 million annually.</w:t>
      </w:r>
      <w:r w:rsidR="003614C7">
        <w:rPr>
          <w:rStyle w:val="FootnoteReference"/>
        </w:rPr>
        <w:footnoteReference w:id="71"/>
      </w:r>
      <w:r>
        <w:t xml:space="preserve">  ESH/CoSN also estimates a total cost impact to </w:t>
      </w:r>
      <w:r w:rsidR="00C4340F">
        <w:t>E-rate</w:t>
      </w:r>
      <w:r>
        <w:t xml:space="preserve"> from library OPEX of $218 million.</w:t>
      </w:r>
      <w:r w:rsidR="003614C7">
        <w:rPr>
          <w:rStyle w:val="FootnoteReference"/>
        </w:rPr>
        <w:footnoteReference w:id="72"/>
      </w:r>
      <w:r>
        <w:t xml:space="preserve">  </w:t>
      </w:r>
    </w:p>
    <w:p w14:paraId="725ECEB0" w14:textId="77777777" w:rsidR="00EE00FE" w:rsidRPr="00EE00FE" w:rsidRDefault="00EE00FE" w:rsidP="008534DC">
      <w:pPr>
        <w:pStyle w:val="Heading3"/>
      </w:pPr>
      <w:r w:rsidRPr="00EE00FE">
        <w:t>Impact of Price Declines</w:t>
      </w:r>
      <w:r w:rsidR="00370268">
        <w:t xml:space="preserve"> on Recurring (O</w:t>
      </w:r>
      <w:r w:rsidR="00C867BD">
        <w:t>PEX</w:t>
      </w:r>
      <w:r w:rsidR="00370268">
        <w:t>) Costs</w:t>
      </w:r>
    </w:p>
    <w:p w14:paraId="3A2C1865" w14:textId="66B6129F" w:rsidR="00EE00FE" w:rsidRDefault="00EE00FE" w:rsidP="00146676">
      <w:pPr>
        <w:pStyle w:val="ParaNum"/>
      </w:pPr>
      <w:r>
        <w:t xml:space="preserve">ESH’s model also analyzes the typical pricing levels paid for schools achieving the goals today and applies a set of projections as to how those prices may decline over the next five years due to basic market factors such as volume discounting.  ESH relied on its recent survey of </w:t>
      </w:r>
      <w:r w:rsidR="00731767">
        <w:t xml:space="preserve">1,044 </w:t>
      </w:r>
      <w:r>
        <w:t>school districts</w:t>
      </w:r>
      <w:r w:rsidR="00731767">
        <w:t xml:space="preserve"> that supplied data from the Item 21 attachments to their FCC Forms 471 </w:t>
      </w:r>
      <w:r>
        <w:t>to develop its current pricing assumptions</w:t>
      </w:r>
      <w:r w:rsidR="00731767">
        <w:t xml:space="preserve">.  The data show </w:t>
      </w:r>
      <w:r>
        <w:t xml:space="preserve">a total cost for 1 Gbps </w:t>
      </w:r>
      <w:r w:rsidR="00731767">
        <w:t xml:space="preserve">of </w:t>
      </w:r>
      <w:r>
        <w:t xml:space="preserve">connectivity to a school </w:t>
      </w:r>
      <w:r w:rsidR="00731767">
        <w:t>in 2014 is $6,661 per month ($79,935 per year)</w:t>
      </w:r>
      <w:r>
        <w:t>.</w:t>
      </w:r>
      <w:r w:rsidR="001E6F04">
        <w:rPr>
          <w:rStyle w:val="FootnoteReference"/>
        </w:rPr>
        <w:footnoteReference w:id="73"/>
      </w:r>
      <w:r>
        <w:t xml:space="preserve">  As a projection of baseline pricing efficiencies, ESH estimates that </w:t>
      </w:r>
      <w:r w:rsidR="00731767">
        <w:t>by 2018 this cost will fall another 34% to $4,370 a month ($52,445 per year) in 2018</w:t>
      </w:r>
      <w:r w:rsidR="00370268">
        <w:t>.</w:t>
      </w:r>
      <w:r w:rsidR="00731767">
        <w:rPr>
          <w:rStyle w:val="FootnoteReference"/>
        </w:rPr>
        <w:footnoteReference w:id="74"/>
      </w:r>
    </w:p>
    <w:p w14:paraId="48B0A83E" w14:textId="77777777" w:rsidR="008D52F6" w:rsidRDefault="003A5754" w:rsidP="008534DC">
      <w:pPr>
        <w:pStyle w:val="Heading3"/>
      </w:pPr>
      <w:r>
        <w:t>Total Cost Estimates</w:t>
      </w:r>
      <w:r w:rsidR="00E56862">
        <w:t xml:space="preserve"> for Public Schools</w:t>
      </w:r>
    </w:p>
    <w:p w14:paraId="3C332C4A" w14:textId="71F5441C" w:rsidR="003A5754" w:rsidRDefault="0036397E" w:rsidP="00146676">
      <w:pPr>
        <w:pStyle w:val="ParaNum"/>
      </w:pPr>
      <w:r>
        <w:t>In additional to the specific CAPEX and OPEX funding needs discussed above, the ESH/CoSN</w:t>
      </w:r>
      <w:r w:rsidR="00EC41A7">
        <w:t xml:space="preserve"> model</w:t>
      </w:r>
      <w:r>
        <w:t xml:space="preserve"> also provides a comprehensive estimate of </w:t>
      </w:r>
      <w:r w:rsidR="00C4340F">
        <w:t>E-rate</w:t>
      </w:r>
      <w:r>
        <w:t xml:space="preserve"> funding needs over the next five years for public schools. To compute the total costs for </w:t>
      </w:r>
      <w:r w:rsidR="00C4340F">
        <w:t>E-rate</w:t>
      </w:r>
      <w:r>
        <w:t xml:space="preserve"> funding of public schools, ESH/CoSN also take</w:t>
      </w:r>
      <w:r w:rsidR="00EC41A7">
        <w:t>s</w:t>
      </w:r>
      <w:r>
        <w:t xml:space="preserve"> into account the phase-out of legacy support while assuming the $1 billion </w:t>
      </w:r>
      <w:r w:rsidR="00C867BD">
        <w:t>category two funding</w:t>
      </w:r>
      <w:r>
        <w:t xml:space="preserve"> target is </w:t>
      </w:r>
      <w:r w:rsidR="00306C76">
        <w:t>achieved</w:t>
      </w:r>
      <w:r>
        <w:t xml:space="preserve"> for the entire five year period.  This </w:t>
      </w:r>
      <w:r w:rsidR="003A5754">
        <w:t>ESH/CoSN baseline model estimates that connecting all public schools in five years will lead to annual funding requirements</w:t>
      </w:r>
      <w:r>
        <w:t xml:space="preserve"> </w:t>
      </w:r>
      <w:r w:rsidR="008071EE">
        <w:t>just over</w:t>
      </w:r>
      <w:r w:rsidR="003A5754">
        <w:t xml:space="preserve"> $4 billion in some years, declining to $3.9 billion in the fifth year.</w:t>
      </w:r>
      <w:r w:rsidR="00435D55">
        <w:rPr>
          <w:rStyle w:val="FootnoteReference"/>
        </w:rPr>
        <w:footnoteReference w:id="75"/>
      </w:r>
      <w:r w:rsidR="003A5754">
        <w:t xml:space="preserve">  ESH/CoSN also shows that connecting only 99.7% of schools leads to a maximum annual fund requirement in </w:t>
      </w:r>
      <w:r>
        <w:t>the next five years</w:t>
      </w:r>
      <w:r w:rsidR="003A5754">
        <w:t xml:space="preserve"> of approximately $3.9 billion.</w:t>
      </w:r>
      <w:r w:rsidR="00435D55">
        <w:rPr>
          <w:rStyle w:val="FootnoteReference"/>
        </w:rPr>
        <w:footnoteReference w:id="76"/>
      </w:r>
      <w:r w:rsidR="00C71D3C">
        <w:t xml:space="preserve">  </w:t>
      </w:r>
      <w:r w:rsidR="00D82DF3">
        <w:t>N</w:t>
      </w:r>
      <w:r w:rsidR="00C71D3C">
        <w:t xml:space="preserve">ote however that the ESH/CoSN baseline estimates </w:t>
      </w:r>
      <w:r w:rsidR="00C71D3C" w:rsidRPr="00C71D3C">
        <w:t xml:space="preserve">do </w:t>
      </w:r>
      <w:r w:rsidR="00C71D3C" w:rsidRPr="00D82DF3">
        <w:rPr>
          <w:i/>
        </w:rPr>
        <w:t>not</w:t>
      </w:r>
      <w:r w:rsidR="00C71D3C" w:rsidRPr="00C71D3C">
        <w:t xml:space="preserve"> incorporate pricing efficiencies</w:t>
      </w:r>
      <w:r w:rsidR="00D82DF3">
        <w:t xml:space="preserve"> into the baseline estimates</w:t>
      </w:r>
      <w:r w:rsidR="00C71D3C">
        <w:t xml:space="preserve"> but rather estimate costs to connect public schools if only natural price declines are realized.</w:t>
      </w:r>
      <w:r w:rsidR="00D82DF3">
        <w:t xml:space="preserve">  </w:t>
      </w:r>
      <w:r w:rsidR="00C71D3C">
        <w:t>Below we discuss price efficiencies that ESH/CoSN expect</w:t>
      </w:r>
      <w:r w:rsidR="007D5DFD">
        <w:t>s</w:t>
      </w:r>
      <w:r w:rsidR="00C71D3C">
        <w:t xml:space="preserve"> can be realized under various policy options.</w:t>
      </w:r>
    </w:p>
    <w:p w14:paraId="1236DD97" w14:textId="77777777" w:rsidR="00890212" w:rsidRPr="006E74B1" w:rsidRDefault="00563EF2" w:rsidP="00E40C55">
      <w:pPr>
        <w:pStyle w:val="ParaNum"/>
      </w:pPr>
      <w:r>
        <w:t xml:space="preserve">An important caveat to the ESH model which seeks to estimate all costs on an annual basis for public schools is that over the five year period funding may follow a different trajectory.  </w:t>
      </w:r>
      <w:r w:rsidR="006767B1">
        <w:t>F</w:t>
      </w:r>
      <w:r>
        <w:t xml:space="preserve">unding needs may not be felt immediately in </w:t>
      </w:r>
      <w:r w:rsidR="00C867BD">
        <w:t>funding year 2015</w:t>
      </w:r>
      <w:r>
        <w:t xml:space="preserve"> because of the need to plan capital projects.</w:t>
      </w:r>
      <w:r w:rsidR="006767B1">
        <w:rPr>
          <w:rStyle w:val="FootnoteReference"/>
        </w:rPr>
        <w:footnoteReference w:id="77"/>
      </w:r>
      <w:r w:rsidR="0011555C">
        <w:t xml:space="preserve"> </w:t>
      </w:r>
      <w:r>
        <w:t xml:space="preserve">Furthermore, the ESH </w:t>
      </w:r>
      <w:r w:rsidR="000771D6">
        <w:t>filing points out</w:t>
      </w:r>
      <w:r>
        <w:t xml:space="preserve"> that the long-term funding needs could in fact decline as the benefits of efficiency grow and the need for extensive non-recurring construction costs decline</w:t>
      </w:r>
      <w:r w:rsidR="001F4FC9">
        <w:t>.</w:t>
      </w:r>
      <w:r w:rsidR="001F4FC9">
        <w:rPr>
          <w:rStyle w:val="FootnoteReference"/>
        </w:rPr>
        <w:footnoteReference w:id="78"/>
      </w:r>
    </w:p>
    <w:p w14:paraId="5DDFA100" w14:textId="77777777" w:rsidR="00BE20FA" w:rsidRDefault="00BE20FA" w:rsidP="00BE20FA">
      <w:pPr>
        <w:pStyle w:val="Heading3"/>
      </w:pPr>
      <w:r>
        <w:t>Potential Cost Efficiencies</w:t>
      </w:r>
    </w:p>
    <w:p w14:paraId="67307136" w14:textId="77777777" w:rsidR="00793C07" w:rsidRDefault="00BE20FA" w:rsidP="00630ED7">
      <w:pPr>
        <w:pStyle w:val="ParaNum"/>
      </w:pPr>
      <w:r>
        <w:t>In addition to these cost models, ESH submitted for the record an analysis of the potential pricing efficiencies resulting from several different policy measures.</w:t>
      </w:r>
      <w:r>
        <w:rPr>
          <w:rStyle w:val="FootnoteReference"/>
        </w:rPr>
        <w:footnoteReference w:id="79"/>
      </w:r>
      <w:r>
        <w:t xml:space="preserve">  They looked specifically at three policy measures: (1) increased use of cost effective consortia; (2) increased viability of leased and owned dark fiber for WAN connectivity; and (3) enhanced transparency of </w:t>
      </w:r>
      <w:r w:rsidR="00C4340F">
        <w:t>E-rate</w:t>
      </w:r>
      <w:r>
        <w:t xml:space="preserve"> pricing.  The ESH analysis estimates potential savings of between three and 18 percent resulting from additional consortia, potential savings of up to 50 percent resulting from the equalization of lit and dark fiber, and potential savings of between 15 and 33 percent resulting from pricing transparency.</w:t>
      </w:r>
      <w:r>
        <w:rPr>
          <w:rStyle w:val="FootnoteReference"/>
        </w:rPr>
        <w:footnoteReference w:id="80"/>
      </w:r>
      <w:r>
        <w:t xml:space="preserve">  Collectively, ESH estimates that </w:t>
      </w:r>
      <w:r w:rsidR="00C867BD">
        <w:t>efficiencies</w:t>
      </w:r>
      <w:r>
        <w:t xml:space="preserve"> can lower the cost of broadband by 10 to 25 percent</w:t>
      </w:r>
      <w:r w:rsidR="00C867BD">
        <w:t xml:space="preserve"> off the projected category one costs</w:t>
      </w:r>
      <w:r>
        <w:t xml:space="preserve"> for the </w:t>
      </w:r>
      <w:r w:rsidR="00C4340F">
        <w:t>E-rate</w:t>
      </w:r>
      <w:r>
        <w:t xml:space="preserve"> program.</w:t>
      </w:r>
      <w:r>
        <w:rPr>
          <w:rStyle w:val="FootnoteReference"/>
        </w:rPr>
        <w:footnoteReference w:id="81"/>
      </w:r>
      <w:r>
        <w:t xml:space="preserve">  </w:t>
      </w:r>
    </w:p>
    <w:p w14:paraId="48741A41" w14:textId="77777777" w:rsidR="00A60031" w:rsidRDefault="00A60031" w:rsidP="00630ED7">
      <w:pPr>
        <w:pStyle w:val="Heading2"/>
      </w:pPr>
      <w:r>
        <w:t xml:space="preserve">Estimated Impact of </w:t>
      </w:r>
      <w:r w:rsidR="00C4340F">
        <w:t>E-rate</w:t>
      </w:r>
      <w:r>
        <w:t xml:space="preserve"> Funding Increases on Contributions </w:t>
      </w:r>
    </w:p>
    <w:p w14:paraId="29201033" w14:textId="77777777" w:rsidR="00A60031" w:rsidRDefault="00A60031" w:rsidP="00A60031">
      <w:pPr>
        <w:pStyle w:val="ParaNum"/>
      </w:pPr>
      <w:r>
        <w:t>Telecommunications providers contribute to the Universal Service Fund (USF) based on a percentage of interstate and international end-user revenues, known as the “contribution factor,” which they may choose to pass on to customers.  The contribution factor is adjusted quarterly based on USF demand and total assessable revenues reported by providers, known as the “contribution base.”</w:t>
      </w:r>
      <w:r>
        <w:rPr>
          <w:rStyle w:val="FootnoteReference"/>
        </w:rPr>
        <w:footnoteReference w:id="82"/>
      </w:r>
      <w:r>
        <w:t xml:space="preserve">  The contribution factor for the fourth quarter of 2014 is 16.1%.</w:t>
      </w:r>
      <w:r>
        <w:rPr>
          <w:rStyle w:val="FootnoteReference"/>
        </w:rPr>
        <w:footnoteReference w:id="83"/>
      </w:r>
    </w:p>
    <w:p w14:paraId="4E1A2D2C" w14:textId="77777777" w:rsidR="00A60031" w:rsidRDefault="00F96488" w:rsidP="000F75E9">
      <w:pPr>
        <w:pStyle w:val="ParaNum"/>
      </w:pPr>
      <w:r>
        <w:t xml:space="preserve">Collecting more </w:t>
      </w:r>
      <w:r w:rsidR="00C4340F">
        <w:t>E-rate</w:t>
      </w:r>
      <w:r>
        <w:t xml:space="preserve"> funding </w:t>
      </w:r>
      <w:r w:rsidR="00A60031">
        <w:t xml:space="preserve">would increase the contribution factor.  The exact impact </w:t>
      </w:r>
      <w:r>
        <w:t xml:space="preserve">will </w:t>
      </w:r>
      <w:r w:rsidR="00A60031">
        <w:t xml:space="preserve">depend on </w:t>
      </w:r>
      <w:r>
        <w:t xml:space="preserve">the amount of funding needed to meet demand and </w:t>
      </w:r>
      <w:r w:rsidR="00A60031">
        <w:t>future changes to the contribution base.  In 2013, the Commission estimated that the typical contribution for a residential line was $0.91 - $1.11 per month.</w:t>
      </w:r>
      <w:r w:rsidR="00A60031" w:rsidRPr="004170F5">
        <w:rPr>
          <w:rStyle w:val="FootnoteReference"/>
        </w:rPr>
        <w:t xml:space="preserve"> </w:t>
      </w:r>
      <w:r w:rsidR="00A60031">
        <w:rPr>
          <w:rStyle w:val="FootnoteReference"/>
        </w:rPr>
        <w:footnoteReference w:id="84"/>
      </w:r>
      <w:r w:rsidR="00A60031">
        <w:t xml:space="preserve">  Table </w:t>
      </w:r>
      <w:r w:rsidR="00D82DF3">
        <w:t>3</w:t>
      </w:r>
      <w:r w:rsidR="00A60031">
        <w:t xml:space="preserve"> estimates the increase in the monthly per-line residential contribution if the Commission raises the </w:t>
      </w:r>
      <w:r w:rsidR="00C4340F">
        <w:t>E-rate</w:t>
      </w:r>
      <w:r w:rsidR="00A60031">
        <w:t xml:space="preserve"> cap.</w:t>
      </w:r>
      <w:r w:rsidR="00A60031">
        <w:rPr>
          <w:rStyle w:val="FootnoteReference"/>
        </w:rPr>
        <w:footnoteReference w:id="85"/>
      </w:r>
    </w:p>
    <w:p w14:paraId="5D43D71C" w14:textId="77777777" w:rsidR="00F96488" w:rsidRPr="00F96488" w:rsidRDefault="00F34969" w:rsidP="006B150A">
      <w:pPr>
        <w:pStyle w:val="ParaNum"/>
        <w:numPr>
          <w:ilvl w:val="0"/>
          <w:numId w:val="0"/>
        </w:numPr>
        <w:ind w:left="720"/>
        <w:jc w:val="center"/>
        <w:rPr>
          <w:rFonts w:ascii="Calibri" w:hAnsi="Calibri" w:cs="Times New Roman"/>
        </w:rPr>
      </w:pPr>
      <w:r w:rsidRPr="00955B2A">
        <w:rPr>
          <w:rFonts w:cs="Times New Roman"/>
          <w:b/>
          <w:bCs/>
        </w:rPr>
        <w:t xml:space="preserve">Table </w:t>
      </w:r>
      <w:r w:rsidR="00D82DF3">
        <w:rPr>
          <w:rFonts w:cs="Times New Roman"/>
          <w:b/>
          <w:bCs/>
        </w:rPr>
        <w:t>3</w:t>
      </w:r>
      <w:r w:rsidRPr="00955B2A">
        <w:rPr>
          <w:rFonts w:cs="Times New Roman"/>
          <w:b/>
          <w:bCs/>
        </w:rPr>
        <w:t xml:space="preserve">: </w:t>
      </w:r>
      <w:r w:rsidR="00F96488" w:rsidRPr="00955B2A">
        <w:rPr>
          <w:rFonts w:cs="Times New Roman"/>
          <w:b/>
          <w:bCs/>
        </w:rPr>
        <w:t>Estimated Monthly Per-Line Residential Contribution</w:t>
      </w:r>
      <w:r w:rsidR="00F96488" w:rsidRPr="00955B2A">
        <w:rPr>
          <w:rStyle w:val="FootnoteReference"/>
          <w:rFonts w:cs="Times New Roman"/>
          <w:b/>
        </w:rPr>
        <w:footnoteReference w:id="8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6"/>
        <w:gridCol w:w="2089"/>
        <w:gridCol w:w="1930"/>
      </w:tblGrid>
      <w:tr w:rsidR="00070DD9" w:rsidRPr="00F96488" w14:paraId="3927602F" w14:textId="77777777" w:rsidTr="006B150A">
        <w:trPr>
          <w:trHeight w:val="611"/>
          <w:jc w:val="center"/>
        </w:trPr>
        <w:tc>
          <w:tcPr>
            <w:tcW w:w="2046" w:type="dxa"/>
            <w:tcMar>
              <w:top w:w="0" w:type="dxa"/>
              <w:left w:w="108" w:type="dxa"/>
              <w:bottom w:w="0" w:type="dxa"/>
              <w:right w:w="108" w:type="dxa"/>
            </w:tcMar>
            <w:vAlign w:val="center"/>
            <w:hideMark/>
          </w:tcPr>
          <w:p w14:paraId="0EA03D1E" w14:textId="77777777" w:rsidR="00070DD9" w:rsidRPr="00955B2A" w:rsidRDefault="00C4340F" w:rsidP="00955B2A">
            <w:pPr>
              <w:spacing w:after="0" w:line="240" w:lineRule="auto"/>
              <w:jc w:val="center"/>
              <w:rPr>
                <w:rFonts w:cs="Times New Roman"/>
                <w:b/>
              </w:rPr>
            </w:pPr>
            <w:r>
              <w:rPr>
                <w:rFonts w:cs="Times New Roman"/>
                <w:b/>
              </w:rPr>
              <w:t>E-rate</w:t>
            </w:r>
            <w:r w:rsidR="00070DD9" w:rsidRPr="00955B2A">
              <w:rPr>
                <w:rFonts w:cs="Times New Roman"/>
                <w:b/>
              </w:rPr>
              <w:t xml:space="preserve"> Annual Cap Increase</w:t>
            </w:r>
          </w:p>
          <w:p w14:paraId="3455699D" w14:textId="77777777" w:rsidR="00070DD9" w:rsidRPr="00955B2A" w:rsidRDefault="00070DD9" w:rsidP="00955B2A">
            <w:pPr>
              <w:spacing w:after="0" w:line="240" w:lineRule="auto"/>
              <w:jc w:val="center"/>
              <w:rPr>
                <w:rFonts w:cs="Times New Roman"/>
                <w:b/>
              </w:rPr>
            </w:pPr>
            <w:r w:rsidRPr="00955B2A">
              <w:rPr>
                <w:rFonts w:cs="Times New Roman"/>
                <w:b/>
              </w:rPr>
              <w:t>(millions)</w:t>
            </w:r>
          </w:p>
        </w:tc>
        <w:tc>
          <w:tcPr>
            <w:tcW w:w="2089" w:type="dxa"/>
            <w:tcMar>
              <w:top w:w="0" w:type="dxa"/>
              <w:left w:w="108" w:type="dxa"/>
              <w:bottom w:w="0" w:type="dxa"/>
              <w:right w:w="108" w:type="dxa"/>
            </w:tcMar>
            <w:vAlign w:val="center"/>
            <w:hideMark/>
          </w:tcPr>
          <w:p w14:paraId="4BC16AF9" w14:textId="77777777" w:rsidR="00070DD9" w:rsidRPr="00955B2A" w:rsidRDefault="00070DD9" w:rsidP="00955B2A">
            <w:pPr>
              <w:spacing w:after="0" w:line="240" w:lineRule="auto"/>
              <w:jc w:val="center"/>
              <w:rPr>
                <w:rFonts w:cs="Times New Roman"/>
                <w:b/>
              </w:rPr>
            </w:pPr>
            <w:r w:rsidRPr="00955B2A">
              <w:rPr>
                <w:rFonts w:cs="Times New Roman"/>
                <w:b/>
              </w:rPr>
              <w:t>Low Estimate of Additional Monthly Per-Line</w:t>
            </w:r>
          </w:p>
          <w:p w14:paraId="5631C279" w14:textId="77777777" w:rsidR="00070DD9" w:rsidRPr="00955B2A" w:rsidRDefault="00070DD9" w:rsidP="00955B2A">
            <w:pPr>
              <w:spacing w:after="0" w:line="240" w:lineRule="auto"/>
              <w:jc w:val="center"/>
              <w:rPr>
                <w:rFonts w:cs="Times New Roman"/>
                <w:b/>
              </w:rPr>
            </w:pPr>
            <w:r w:rsidRPr="00955B2A">
              <w:rPr>
                <w:rFonts w:cs="Times New Roman"/>
                <w:b/>
              </w:rPr>
              <w:t>Contribution</w:t>
            </w:r>
          </w:p>
        </w:tc>
        <w:tc>
          <w:tcPr>
            <w:tcW w:w="1930" w:type="dxa"/>
            <w:tcMar>
              <w:top w:w="0" w:type="dxa"/>
              <w:left w:w="108" w:type="dxa"/>
              <w:bottom w:w="0" w:type="dxa"/>
              <w:right w:w="108" w:type="dxa"/>
            </w:tcMar>
            <w:vAlign w:val="center"/>
            <w:hideMark/>
          </w:tcPr>
          <w:p w14:paraId="4DFE8B00" w14:textId="77777777" w:rsidR="00070DD9" w:rsidRPr="00955B2A" w:rsidRDefault="00070DD9" w:rsidP="00955B2A">
            <w:pPr>
              <w:spacing w:after="0" w:line="240" w:lineRule="auto"/>
              <w:jc w:val="center"/>
              <w:rPr>
                <w:rFonts w:cs="Times New Roman"/>
                <w:b/>
              </w:rPr>
            </w:pPr>
            <w:r w:rsidRPr="00955B2A">
              <w:rPr>
                <w:rFonts w:cs="Times New Roman"/>
                <w:b/>
              </w:rPr>
              <w:t>High Estimate of Additional Monthly Per-Line Contribution</w:t>
            </w:r>
          </w:p>
        </w:tc>
      </w:tr>
      <w:tr w:rsidR="00070DD9" w:rsidRPr="00F96488" w14:paraId="5624C989" w14:textId="77777777" w:rsidTr="006B150A">
        <w:trPr>
          <w:trHeight w:val="306"/>
          <w:jc w:val="center"/>
        </w:trPr>
        <w:tc>
          <w:tcPr>
            <w:tcW w:w="2046" w:type="dxa"/>
            <w:tcMar>
              <w:top w:w="0" w:type="dxa"/>
              <w:left w:w="108" w:type="dxa"/>
              <w:bottom w:w="0" w:type="dxa"/>
              <w:right w:w="108" w:type="dxa"/>
            </w:tcMar>
            <w:hideMark/>
          </w:tcPr>
          <w:p w14:paraId="36A1B51B" w14:textId="77777777" w:rsidR="00070DD9" w:rsidRPr="00955B2A" w:rsidRDefault="00070DD9" w:rsidP="00F96488">
            <w:pPr>
              <w:spacing w:after="0" w:line="240" w:lineRule="auto"/>
              <w:jc w:val="center"/>
              <w:rPr>
                <w:rFonts w:cs="Times New Roman"/>
              </w:rPr>
            </w:pPr>
            <w:r w:rsidRPr="00955B2A">
              <w:rPr>
                <w:rFonts w:cs="Times New Roman"/>
              </w:rPr>
              <w:t>$500</w:t>
            </w:r>
          </w:p>
        </w:tc>
        <w:tc>
          <w:tcPr>
            <w:tcW w:w="2089" w:type="dxa"/>
            <w:tcMar>
              <w:top w:w="0" w:type="dxa"/>
              <w:left w:w="108" w:type="dxa"/>
              <w:bottom w:w="0" w:type="dxa"/>
              <w:right w:w="108" w:type="dxa"/>
            </w:tcMar>
            <w:hideMark/>
          </w:tcPr>
          <w:p w14:paraId="74AD91F7" w14:textId="77777777" w:rsidR="00070DD9" w:rsidRPr="00955B2A" w:rsidRDefault="00070DD9" w:rsidP="00F96488">
            <w:pPr>
              <w:spacing w:after="0" w:line="240" w:lineRule="auto"/>
              <w:jc w:val="center"/>
              <w:rPr>
                <w:rFonts w:cs="Times New Roman"/>
                <w:color w:val="000000" w:themeColor="text1"/>
              </w:rPr>
            </w:pPr>
            <w:r w:rsidRPr="00955B2A">
              <w:rPr>
                <w:rFonts w:cs="Times New Roman"/>
                <w:color w:val="000000" w:themeColor="text1"/>
              </w:rPr>
              <w:t>$0.05</w:t>
            </w:r>
          </w:p>
        </w:tc>
        <w:tc>
          <w:tcPr>
            <w:tcW w:w="1930" w:type="dxa"/>
            <w:tcMar>
              <w:top w:w="0" w:type="dxa"/>
              <w:left w:w="108" w:type="dxa"/>
              <w:bottom w:w="0" w:type="dxa"/>
              <w:right w:w="108" w:type="dxa"/>
            </w:tcMar>
            <w:hideMark/>
          </w:tcPr>
          <w:p w14:paraId="41C5A3AC" w14:textId="77777777" w:rsidR="00070DD9" w:rsidRPr="00955B2A" w:rsidRDefault="00070DD9" w:rsidP="00F96488">
            <w:pPr>
              <w:spacing w:after="0" w:line="240" w:lineRule="auto"/>
              <w:jc w:val="center"/>
              <w:rPr>
                <w:rFonts w:cs="Times New Roman"/>
                <w:color w:val="000000" w:themeColor="text1"/>
              </w:rPr>
            </w:pPr>
            <w:r w:rsidRPr="00955B2A">
              <w:rPr>
                <w:rFonts w:cs="Times New Roman"/>
                <w:color w:val="000000" w:themeColor="text1"/>
              </w:rPr>
              <w:t>$0.06</w:t>
            </w:r>
          </w:p>
        </w:tc>
      </w:tr>
      <w:tr w:rsidR="00070DD9" w:rsidRPr="00F96488" w14:paraId="5F4FB290" w14:textId="77777777" w:rsidTr="006B150A">
        <w:trPr>
          <w:trHeight w:val="287"/>
          <w:jc w:val="center"/>
        </w:trPr>
        <w:tc>
          <w:tcPr>
            <w:tcW w:w="2046" w:type="dxa"/>
            <w:tcMar>
              <w:top w:w="0" w:type="dxa"/>
              <w:left w:w="108" w:type="dxa"/>
              <w:bottom w:w="0" w:type="dxa"/>
              <w:right w:w="108" w:type="dxa"/>
            </w:tcMar>
            <w:hideMark/>
          </w:tcPr>
          <w:p w14:paraId="5C54749E" w14:textId="77777777" w:rsidR="00070DD9" w:rsidRPr="00955B2A" w:rsidRDefault="00070DD9" w:rsidP="00F96488">
            <w:pPr>
              <w:spacing w:after="0" w:line="240" w:lineRule="auto"/>
              <w:jc w:val="center"/>
              <w:rPr>
                <w:rFonts w:cs="Times New Roman"/>
              </w:rPr>
            </w:pPr>
            <w:r w:rsidRPr="00955B2A">
              <w:rPr>
                <w:rFonts w:cs="Times New Roman"/>
              </w:rPr>
              <w:t>$1,000</w:t>
            </w:r>
          </w:p>
        </w:tc>
        <w:tc>
          <w:tcPr>
            <w:tcW w:w="2089" w:type="dxa"/>
            <w:tcMar>
              <w:top w:w="0" w:type="dxa"/>
              <w:left w:w="108" w:type="dxa"/>
              <w:bottom w:w="0" w:type="dxa"/>
              <w:right w:w="108" w:type="dxa"/>
            </w:tcMar>
            <w:hideMark/>
          </w:tcPr>
          <w:p w14:paraId="2F0AC829" w14:textId="77777777" w:rsidR="00070DD9" w:rsidRPr="00955B2A" w:rsidRDefault="00070DD9" w:rsidP="00F96488">
            <w:pPr>
              <w:spacing w:after="0" w:line="240" w:lineRule="auto"/>
              <w:jc w:val="center"/>
              <w:rPr>
                <w:rFonts w:cs="Times New Roman"/>
                <w:color w:val="000000" w:themeColor="text1"/>
              </w:rPr>
            </w:pPr>
            <w:r w:rsidRPr="00955B2A">
              <w:rPr>
                <w:rFonts w:cs="Times New Roman"/>
                <w:color w:val="000000" w:themeColor="text1"/>
              </w:rPr>
              <w:t>$0.11</w:t>
            </w:r>
          </w:p>
        </w:tc>
        <w:tc>
          <w:tcPr>
            <w:tcW w:w="1930" w:type="dxa"/>
            <w:tcMar>
              <w:top w:w="0" w:type="dxa"/>
              <w:left w:w="108" w:type="dxa"/>
              <w:bottom w:w="0" w:type="dxa"/>
              <w:right w:w="108" w:type="dxa"/>
            </w:tcMar>
            <w:hideMark/>
          </w:tcPr>
          <w:p w14:paraId="4BADA2E9" w14:textId="77777777" w:rsidR="00070DD9" w:rsidRPr="00955B2A" w:rsidRDefault="00070DD9" w:rsidP="00F96488">
            <w:pPr>
              <w:spacing w:after="0" w:line="240" w:lineRule="auto"/>
              <w:jc w:val="center"/>
              <w:rPr>
                <w:rFonts w:cs="Times New Roman"/>
                <w:color w:val="000000" w:themeColor="text1"/>
              </w:rPr>
            </w:pPr>
            <w:r w:rsidRPr="00955B2A">
              <w:rPr>
                <w:rFonts w:cs="Times New Roman"/>
                <w:color w:val="000000" w:themeColor="text1"/>
              </w:rPr>
              <w:t>$0.13</w:t>
            </w:r>
          </w:p>
        </w:tc>
      </w:tr>
      <w:tr w:rsidR="00070DD9" w:rsidRPr="00F96488" w14:paraId="16FA0CD3" w14:textId="77777777" w:rsidTr="006B150A">
        <w:trPr>
          <w:trHeight w:val="306"/>
          <w:jc w:val="center"/>
        </w:trPr>
        <w:tc>
          <w:tcPr>
            <w:tcW w:w="2046" w:type="dxa"/>
            <w:tcMar>
              <w:top w:w="0" w:type="dxa"/>
              <w:left w:w="108" w:type="dxa"/>
              <w:bottom w:w="0" w:type="dxa"/>
              <w:right w:w="108" w:type="dxa"/>
            </w:tcMar>
            <w:hideMark/>
          </w:tcPr>
          <w:p w14:paraId="0F822A10" w14:textId="77777777" w:rsidR="00070DD9" w:rsidRPr="00955B2A" w:rsidRDefault="00070DD9" w:rsidP="00F96488">
            <w:pPr>
              <w:spacing w:after="0" w:line="240" w:lineRule="auto"/>
              <w:jc w:val="center"/>
              <w:rPr>
                <w:rFonts w:cs="Times New Roman"/>
              </w:rPr>
            </w:pPr>
            <w:r w:rsidRPr="00955B2A">
              <w:rPr>
                <w:rFonts w:cs="Times New Roman"/>
              </w:rPr>
              <w:t>$1,500</w:t>
            </w:r>
          </w:p>
        </w:tc>
        <w:tc>
          <w:tcPr>
            <w:tcW w:w="2089" w:type="dxa"/>
            <w:tcMar>
              <w:top w:w="0" w:type="dxa"/>
              <w:left w:w="108" w:type="dxa"/>
              <w:bottom w:w="0" w:type="dxa"/>
              <w:right w:w="108" w:type="dxa"/>
            </w:tcMar>
            <w:hideMark/>
          </w:tcPr>
          <w:p w14:paraId="0F9462EF" w14:textId="77777777" w:rsidR="00070DD9" w:rsidRPr="00955B2A" w:rsidRDefault="00070DD9" w:rsidP="00F96488">
            <w:pPr>
              <w:spacing w:after="0" w:line="240" w:lineRule="auto"/>
              <w:jc w:val="center"/>
              <w:rPr>
                <w:rFonts w:cs="Times New Roman"/>
                <w:color w:val="000000" w:themeColor="text1"/>
              </w:rPr>
            </w:pPr>
            <w:r w:rsidRPr="00955B2A">
              <w:rPr>
                <w:rFonts w:cs="Times New Roman"/>
                <w:color w:val="000000" w:themeColor="text1"/>
              </w:rPr>
              <w:t>$0.16</w:t>
            </w:r>
          </w:p>
        </w:tc>
        <w:tc>
          <w:tcPr>
            <w:tcW w:w="1930" w:type="dxa"/>
            <w:tcMar>
              <w:top w:w="0" w:type="dxa"/>
              <w:left w:w="108" w:type="dxa"/>
              <w:bottom w:w="0" w:type="dxa"/>
              <w:right w:w="108" w:type="dxa"/>
            </w:tcMar>
            <w:hideMark/>
          </w:tcPr>
          <w:p w14:paraId="4AA42A5D" w14:textId="77777777" w:rsidR="00070DD9" w:rsidRPr="00955B2A" w:rsidRDefault="00070DD9" w:rsidP="00F96488">
            <w:pPr>
              <w:spacing w:after="0" w:line="240" w:lineRule="auto"/>
              <w:jc w:val="center"/>
              <w:rPr>
                <w:rFonts w:cs="Times New Roman"/>
                <w:color w:val="000000" w:themeColor="text1"/>
              </w:rPr>
            </w:pPr>
            <w:r w:rsidRPr="00955B2A">
              <w:rPr>
                <w:rFonts w:cs="Times New Roman"/>
                <w:color w:val="000000" w:themeColor="text1"/>
              </w:rPr>
              <w:t>$0.19</w:t>
            </w:r>
          </w:p>
        </w:tc>
      </w:tr>
      <w:tr w:rsidR="00070DD9" w:rsidRPr="00F96488" w14:paraId="2B32A23A" w14:textId="77777777" w:rsidTr="006B150A">
        <w:trPr>
          <w:trHeight w:val="306"/>
          <w:jc w:val="center"/>
        </w:trPr>
        <w:tc>
          <w:tcPr>
            <w:tcW w:w="2046" w:type="dxa"/>
            <w:tcMar>
              <w:top w:w="0" w:type="dxa"/>
              <w:left w:w="108" w:type="dxa"/>
              <w:bottom w:w="0" w:type="dxa"/>
              <w:right w:w="108" w:type="dxa"/>
            </w:tcMar>
            <w:hideMark/>
          </w:tcPr>
          <w:p w14:paraId="11CAC8BB" w14:textId="77777777" w:rsidR="00070DD9" w:rsidRPr="00955B2A" w:rsidRDefault="00070DD9" w:rsidP="00F96488">
            <w:pPr>
              <w:spacing w:after="0" w:line="240" w:lineRule="auto"/>
              <w:jc w:val="center"/>
              <w:rPr>
                <w:rFonts w:cs="Times New Roman"/>
              </w:rPr>
            </w:pPr>
            <w:r w:rsidRPr="00955B2A">
              <w:rPr>
                <w:rFonts w:cs="Times New Roman"/>
              </w:rPr>
              <w:t>$2,000</w:t>
            </w:r>
          </w:p>
        </w:tc>
        <w:tc>
          <w:tcPr>
            <w:tcW w:w="2089" w:type="dxa"/>
            <w:tcMar>
              <w:top w:w="0" w:type="dxa"/>
              <w:left w:w="108" w:type="dxa"/>
              <w:bottom w:w="0" w:type="dxa"/>
              <w:right w:w="108" w:type="dxa"/>
            </w:tcMar>
            <w:hideMark/>
          </w:tcPr>
          <w:p w14:paraId="2B836BC0" w14:textId="77777777" w:rsidR="00070DD9" w:rsidRPr="00955B2A" w:rsidRDefault="00070DD9" w:rsidP="00F96488">
            <w:pPr>
              <w:spacing w:after="0" w:line="240" w:lineRule="auto"/>
              <w:jc w:val="center"/>
              <w:rPr>
                <w:rFonts w:cs="Times New Roman"/>
                <w:color w:val="000000" w:themeColor="text1"/>
              </w:rPr>
            </w:pPr>
            <w:r w:rsidRPr="00955B2A">
              <w:rPr>
                <w:rFonts w:cs="Times New Roman"/>
                <w:color w:val="000000" w:themeColor="text1"/>
              </w:rPr>
              <w:t>$0.21</w:t>
            </w:r>
          </w:p>
        </w:tc>
        <w:tc>
          <w:tcPr>
            <w:tcW w:w="1930" w:type="dxa"/>
            <w:tcMar>
              <w:top w:w="0" w:type="dxa"/>
              <w:left w:w="108" w:type="dxa"/>
              <w:bottom w:w="0" w:type="dxa"/>
              <w:right w:w="108" w:type="dxa"/>
            </w:tcMar>
            <w:hideMark/>
          </w:tcPr>
          <w:p w14:paraId="6BC978F8" w14:textId="77777777" w:rsidR="00070DD9" w:rsidRPr="00955B2A" w:rsidRDefault="00070DD9" w:rsidP="00F96488">
            <w:pPr>
              <w:spacing w:after="0" w:line="240" w:lineRule="auto"/>
              <w:jc w:val="center"/>
              <w:rPr>
                <w:rFonts w:cs="Times New Roman"/>
                <w:color w:val="000000" w:themeColor="text1"/>
              </w:rPr>
            </w:pPr>
            <w:r w:rsidRPr="00955B2A">
              <w:rPr>
                <w:rFonts w:cs="Times New Roman"/>
                <w:color w:val="000000" w:themeColor="text1"/>
              </w:rPr>
              <w:t>$0.26</w:t>
            </w:r>
          </w:p>
        </w:tc>
      </w:tr>
    </w:tbl>
    <w:p w14:paraId="4F1F0D36" w14:textId="6942EB04" w:rsidR="00F96488" w:rsidRDefault="00F96488" w:rsidP="00521802">
      <w:pPr>
        <w:spacing w:after="0" w:line="240" w:lineRule="auto"/>
        <w:jc w:val="center"/>
      </w:pPr>
      <w:r w:rsidRPr="00F96488">
        <w:rPr>
          <w:rFonts w:ascii="Calibri" w:hAnsi="Calibri" w:cs="Times New Roman"/>
          <w:b/>
          <w:bCs/>
        </w:rPr>
        <w:t> </w:t>
      </w:r>
    </w:p>
    <w:sectPr w:rsidR="00F964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3B6DF" w14:textId="77777777" w:rsidR="001D7CF5" w:rsidRDefault="001D7CF5" w:rsidP="00577B9A">
      <w:pPr>
        <w:spacing w:after="0" w:line="240" w:lineRule="auto"/>
      </w:pPr>
      <w:r>
        <w:separator/>
      </w:r>
    </w:p>
  </w:endnote>
  <w:endnote w:type="continuationSeparator" w:id="0">
    <w:p w14:paraId="348ECF8E" w14:textId="77777777" w:rsidR="001D7CF5" w:rsidRDefault="001D7CF5" w:rsidP="0057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FFB6B" w14:textId="77777777" w:rsidR="00A47BCD" w:rsidRDefault="00A47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722581"/>
      <w:docPartObj>
        <w:docPartGallery w:val="Page Numbers (Bottom of Page)"/>
        <w:docPartUnique/>
      </w:docPartObj>
    </w:sdtPr>
    <w:sdtEndPr>
      <w:rPr>
        <w:noProof/>
      </w:rPr>
    </w:sdtEndPr>
    <w:sdtContent>
      <w:p w14:paraId="10A85171" w14:textId="77777777" w:rsidR="00BF1D0E" w:rsidRDefault="00BF1D0E">
        <w:pPr>
          <w:pStyle w:val="Footer"/>
          <w:jc w:val="center"/>
        </w:pPr>
        <w:r>
          <w:fldChar w:fldCharType="begin"/>
        </w:r>
        <w:r>
          <w:instrText xml:space="preserve"> PAGE   \* MERGEFORMAT </w:instrText>
        </w:r>
        <w:r>
          <w:fldChar w:fldCharType="separate"/>
        </w:r>
        <w:r w:rsidR="00D52196">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13306" w14:textId="77777777" w:rsidR="00A47BCD" w:rsidRDefault="00A47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222CC" w14:textId="77777777" w:rsidR="001D7CF5" w:rsidRDefault="001D7CF5" w:rsidP="00577B9A">
      <w:pPr>
        <w:spacing w:after="0" w:line="240" w:lineRule="auto"/>
      </w:pPr>
      <w:r>
        <w:separator/>
      </w:r>
    </w:p>
  </w:footnote>
  <w:footnote w:type="continuationSeparator" w:id="0">
    <w:p w14:paraId="1DD79B10" w14:textId="77777777" w:rsidR="001D7CF5" w:rsidRDefault="001D7CF5" w:rsidP="00577B9A">
      <w:pPr>
        <w:spacing w:after="0" w:line="240" w:lineRule="auto"/>
      </w:pPr>
      <w:r>
        <w:continuationSeparator/>
      </w:r>
    </w:p>
  </w:footnote>
  <w:footnote w:id="1">
    <w:p w14:paraId="4772E0C1" w14:textId="5620D35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0F1F2E" w:rsidRPr="009C7CDD">
        <w:rPr>
          <w:rFonts w:cs="Times New Roman"/>
          <w:i/>
        </w:rPr>
        <w:t xml:space="preserve">Wireline Competition Bureau Releases </w:t>
      </w:r>
      <w:r w:rsidR="00C4340F" w:rsidRPr="009C7CDD">
        <w:rPr>
          <w:rFonts w:cs="Times New Roman"/>
          <w:i/>
        </w:rPr>
        <w:t>E-rate</w:t>
      </w:r>
      <w:r w:rsidR="000F1F2E" w:rsidRPr="009C7CDD">
        <w:rPr>
          <w:rFonts w:cs="Times New Roman"/>
          <w:i/>
        </w:rPr>
        <w:t xml:space="preserve"> Modernization Staff Report and Online Maps of School and Library Fiber Connectivity Data</w:t>
      </w:r>
      <w:r w:rsidR="000F1F2E" w:rsidRPr="009C7CDD">
        <w:rPr>
          <w:rFonts w:cs="Times New Roman"/>
        </w:rPr>
        <w:t>, Public Notice, 29 FCC Rcd 9644, Attach</w:t>
      </w:r>
      <w:r w:rsidR="00130F7F" w:rsidRPr="009C7CDD">
        <w:rPr>
          <w:rFonts w:cs="Times New Roman"/>
        </w:rPr>
        <w:t>.</w:t>
      </w:r>
      <w:r w:rsidR="000F1F2E" w:rsidRPr="009C7CDD">
        <w:rPr>
          <w:rFonts w:cs="Times New Roman"/>
        </w:rPr>
        <w:t xml:space="preserve"> (2014) (</w:t>
      </w:r>
      <w:r w:rsidR="000F1F2E" w:rsidRPr="009C7CDD">
        <w:rPr>
          <w:rFonts w:cs="Times New Roman"/>
          <w:i/>
        </w:rPr>
        <w:t>Staff Report</w:t>
      </w:r>
      <w:r w:rsidR="000F1F2E" w:rsidRPr="009C7CDD">
        <w:rPr>
          <w:rFonts w:cs="Times New Roman"/>
        </w:rPr>
        <w:t>).</w:t>
      </w:r>
    </w:p>
  </w:footnote>
  <w:footnote w:id="2">
    <w:p w14:paraId="1D25377D"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0F1F2E" w:rsidRPr="009C7CDD">
        <w:rPr>
          <w:rFonts w:cs="Times New Roman"/>
          <w:i/>
        </w:rPr>
        <w:t xml:space="preserve">Modernizing the </w:t>
      </w:r>
      <w:r w:rsidR="00C4340F" w:rsidRPr="009C7CDD">
        <w:rPr>
          <w:rFonts w:cs="Times New Roman"/>
          <w:i/>
        </w:rPr>
        <w:t>E-rate</w:t>
      </w:r>
      <w:r w:rsidR="000F1F2E" w:rsidRPr="009C7CDD">
        <w:rPr>
          <w:rFonts w:cs="Times New Roman"/>
          <w:i/>
        </w:rPr>
        <w:t xml:space="preserve"> Program for Schools and Libraries</w:t>
      </w:r>
      <w:r w:rsidR="000F1F2E" w:rsidRPr="009C7CDD">
        <w:rPr>
          <w:rFonts w:cs="Times New Roman"/>
        </w:rPr>
        <w:t>, WC Docket No. 13-184, Report and Order and Further Notice of Proposed Rulemaking, 29 FCC Rcd 8870 (2014) (</w:t>
      </w:r>
      <w:r w:rsidR="00C4340F" w:rsidRPr="009C7CDD">
        <w:rPr>
          <w:rFonts w:cs="Times New Roman"/>
          <w:i/>
        </w:rPr>
        <w:t>E-rate</w:t>
      </w:r>
      <w:r w:rsidR="000F1F2E" w:rsidRPr="009C7CDD">
        <w:rPr>
          <w:rFonts w:cs="Times New Roman"/>
          <w:i/>
        </w:rPr>
        <w:t xml:space="preserve"> Modernization Order or FNPRM).</w:t>
      </w:r>
    </w:p>
  </w:footnote>
  <w:footnote w:id="3">
    <w:p w14:paraId="37CE750D"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0F1F2E" w:rsidRPr="009C7CDD">
        <w:rPr>
          <w:rFonts w:cs="Times New Roman"/>
          <w:i/>
        </w:rPr>
        <w:t xml:space="preserve">See supra </w:t>
      </w:r>
      <w:r w:rsidR="000F1F2E" w:rsidRPr="009C7CDD">
        <w:rPr>
          <w:rFonts w:cs="Times New Roman"/>
        </w:rPr>
        <w:t>note</w:t>
      </w:r>
      <w:r w:rsidR="004552B7" w:rsidRPr="009C7CDD">
        <w:rPr>
          <w:rFonts w:cs="Times New Roman"/>
        </w:rPr>
        <w:t xml:space="preserve"> </w:t>
      </w:r>
      <w:r w:rsidR="000F1F2E" w:rsidRPr="009C7CDD">
        <w:rPr>
          <w:rFonts w:cs="Times New Roman"/>
        </w:rPr>
        <w:t>1.</w:t>
      </w:r>
    </w:p>
  </w:footnote>
  <w:footnote w:id="4">
    <w:p w14:paraId="066D47DF" w14:textId="2299A044"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AC6A65" w:rsidRPr="009C7CDD">
        <w:rPr>
          <w:rFonts w:cs="Times New Roman"/>
        </w:rPr>
        <w:t xml:space="preserve">Federal Communications Commission, FCC </w:t>
      </w:r>
      <w:r w:rsidR="00C4340F" w:rsidRPr="009C7CDD">
        <w:rPr>
          <w:rFonts w:cs="Times New Roman"/>
        </w:rPr>
        <w:t>E-rate</w:t>
      </w:r>
      <w:r w:rsidR="00AC6A65" w:rsidRPr="009C7CDD">
        <w:rPr>
          <w:rFonts w:cs="Times New Roman"/>
        </w:rPr>
        <w:t xml:space="preserve"> Maps of Fiber Connectivity to Schools and Libraries, </w:t>
      </w:r>
      <w:hyperlink r:id="rId1" w:history="1">
        <w:r w:rsidR="00AC6A65" w:rsidRPr="009C7CDD">
          <w:rPr>
            <w:rStyle w:val="Hyperlink"/>
            <w:rFonts w:cs="Times New Roman"/>
          </w:rPr>
          <w:t>http://www.fcc.gov/maps/</w:t>
        </w:r>
        <w:r w:rsidR="00C4340F" w:rsidRPr="009C7CDD">
          <w:rPr>
            <w:rStyle w:val="Hyperlink"/>
            <w:rFonts w:cs="Times New Roman"/>
          </w:rPr>
          <w:t>E-rate</w:t>
        </w:r>
        <w:r w:rsidR="00AC6A65" w:rsidRPr="009C7CDD">
          <w:rPr>
            <w:rStyle w:val="Hyperlink"/>
            <w:rFonts w:cs="Times New Roman"/>
          </w:rPr>
          <w:t>-fiber-map</w:t>
        </w:r>
      </w:hyperlink>
      <w:r w:rsidR="00AC6A65" w:rsidRPr="009C7CDD">
        <w:rPr>
          <w:rFonts w:cs="Times New Roman"/>
        </w:rPr>
        <w:t xml:space="preserve"> (last visited Nov. 13, 2014) (Fiber Connectivity Maps).</w:t>
      </w:r>
    </w:p>
  </w:footnote>
  <w:footnote w:id="5">
    <w:p w14:paraId="296AE8D1" w14:textId="7C6DFB2F"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130F7F" w:rsidRPr="009C7CDD">
        <w:rPr>
          <w:rFonts w:cs="Times New Roman"/>
          <w:i/>
        </w:rPr>
        <w:t>Staff Report</w:t>
      </w:r>
      <w:r w:rsidR="00130F7F" w:rsidRPr="009C7CDD">
        <w:rPr>
          <w:rFonts w:cs="Times New Roman"/>
        </w:rPr>
        <w:t xml:space="preserve"> at</w:t>
      </w:r>
      <w:r w:rsidR="00AC6A65" w:rsidRPr="009C7CDD">
        <w:rPr>
          <w:rFonts w:cs="Times New Roman"/>
        </w:rPr>
        <w:t xml:space="preserve"> para</w:t>
      </w:r>
      <w:r w:rsidR="00130F7F" w:rsidRPr="009C7CDD">
        <w:rPr>
          <w:rFonts w:cs="Times New Roman"/>
        </w:rPr>
        <w:t>.</w:t>
      </w:r>
      <w:r w:rsidR="00AC6A65" w:rsidRPr="009C7CDD">
        <w:rPr>
          <w:rFonts w:cs="Times New Roman"/>
        </w:rPr>
        <w:t xml:space="preserve"> 37.</w:t>
      </w:r>
    </w:p>
  </w:footnote>
  <w:footnote w:id="6">
    <w:p w14:paraId="05725340" w14:textId="6E4B0B94"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AC6A65" w:rsidRPr="009C7CDD">
        <w:rPr>
          <w:rFonts w:cs="Times New Roman"/>
          <w:i/>
        </w:rPr>
        <w:t>See, e.g.</w:t>
      </w:r>
      <w:r w:rsidR="00AC6A65" w:rsidRPr="009C7CDD">
        <w:rPr>
          <w:rFonts w:cs="Times New Roman"/>
        </w:rPr>
        <w:t xml:space="preserve">, Federal Communications Commission, </w:t>
      </w:r>
      <w:r w:rsidR="00C4340F" w:rsidRPr="009C7CDD">
        <w:rPr>
          <w:rFonts w:cs="Times New Roman"/>
          <w:i/>
        </w:rPr>
        <w:t>E-rate</w:t>
      </w:r>
      <w:r w:rsidR="00AC6A65" w:rsidRPr="009C7CDD">
        <w:rPr>
          <w:rFonts w:cs="Times New Roman"/>
          <w:i/>
        </w:rPr>
        <w:t xml:space="preserve"> Modernization Data,</w:t>
      </w:r>
      <w:r w:rsidR="00AC6A65" w:rsidRPr="009C7CDD">
        <w:rPr>
          <w:rFonts w:cs="Times New Roman"/>
        </w:rPr>
        <w:t xml:space="preserve"> </w:t>
      </w:r>
      <w:hyperlink r:id="rId2" w:history="1">
        <w:r w:rsidR="00AC6A65" w:rsidRPr="009C7CDD">
          <w:rPr>
            <w:rStyle w:val="Hyperlink"/>
            <w:rFonts w:cs="Times New Roman"/>
          </w:rPr>
          <w:t>http://www.fcc.gov/encyclopedia/</w:t>
        </w:r>
        <w:r w:rsidR="00C4340F" w:rsidRPr="009C7CDD">
          <w:rPr>
            <w:rStyle w:val="Hyperlink"/>
            <w:rFonts w:cs="Times New Roman"/>
          </w:rPr>
          <w:t>E-rate</w:t>
        </w:r>
        <w:r w:rsidR="00AC6A65" w:rsidRPr="009C7CDD">
          <w:rPr>
            <w:rStyle w:val="Hyperlink"/>
            <w:rFonts w:cs="Times New Roman"/>
          </w:rPr>
          <w:t>-modernization-data</w:t>
        </w:r>
      </w:hyperlink>
      <w:r w:rsidR="00AC6A65" w:rsidRPr="009C7CDD">
        <w:rPr>
          <w:rFonts w:cs="Times New Roman"/>
        </w:rPr>
        <w:t xml:space="preserve"> (last visited Nov. 13, 2014) (</w:t>
      </w:r>
      <w:r w:rsidR="00C4340F" w:rsidRPr="009C7CDD">
        <w:rPr>
          <w:rFonts w:cs="Times New Roman"/>
        </w:rPr>
        <w:t>E-rate</w:t>
      </w:r>
      <w:r w:rsidR="00AC6A65" w:rsidRPr="009C7CDD">
        <w:rPr>
          <w:rFonts w:cs="Times New Roman"/>
        </w:rPr>
        <w:t xml:space="preserve"> Modernization Data Webpage).</w:t>
      </w:r>
    </w:p>
  </w:footnote>
  <w:footnote w:id="7">
    <w:p w14:paraId="0DF07001" w14:textId="77777777" w:rsidR="00AC6A65" w:rsidRPr="009C7CDD" w:rsidRDefault="00AC6A65"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Pr="009C7CDD">
        <w:rPr>
          <w:rFonts w:cs="Times New Roman"/>
          <w:i/>
        </w:rPr>
        <w:t xml:space="preserve">See supra </w:t>
      </w:r>
      <w:r w:rsidRPr="009C7CDD">
        <w:rPr>
          <w:rFonts w:cs="Times New Roman"/>
        </w:rPr>
        <w:t>note 4.</w:t>
      </w:r>
    </w:p>
  </w:footnote>
  <w:footnote w:id="8">
    <w:p w14:paraId="5C05A137" w14:textId="77777777" w:rsidR="00BF1D0E" w:rsidRPr="009C7CDD" w:rsidRDefault="00BF1D0E" w:rsidP="009C7CDD">
      <w:pPr>
        <w:pStyle w:val="FootnoteText"/>
        <w:spacing w:after="120"/>
        <w:rPr>
          <w:rFonts w:cs="Times New Roman"/>
          <w:highlight w:val="yellow"/>
        </w:rPr>
      </w:pPr>
      <w:r w:rsidRPr="009C7CDD">
        <w:rPr>
          <w:rStyle w:val="FootnoteReference"/>
          <w:rFonts w:cs="Times New Roman"/>
        </w:rPr>
        <w:footnoteRef/>
      </w:r>
      <w:r w:rsidRPr="009C7CDD">
        <w:rPr>
          <w:rFonts w:cs="Times New Roman"/>
        </w:rPr>
        <w:t xml:space="preserve"> </w:t>
      </w:r>
      <w:r w:rsidR="00C4340F" w:rsidRPr="009C7CDD">
        <w:rPr>
          <w:rFonts w:cs="Times New Roman"/>
        </w:rPr>
        <w:t>E-rate</w:t>
      </w:r>
      <w:r w:rsidR="00AC6A65" w:rsidRPr="009C7CDD">
        <w:rPr>
          <w:rFonts w:cs="Times New Roman"/>
        </w:rPr>
        <w:t xml:space="preserve"> Modernization Data Webpage (including a series of updates of the direct access to broadband connectivity datasets based on new data on the record).</w:t>
      </w:r>
    </w:p>
  </w:footnote>
  <w:footnote w:id="9">
    <w:p w14:paraId="5F06A66D"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AC6A65" w:rsidRPr="009C7CDD">
        <w:rPr>
          <w:rFonts w:cs="Times New Roman"/>
          <w:i/>
        </w:rPr>
        <w:t>Staff Report</w:t>
      </w:r>
      <w:r w:rsidR="00AC6A65" w:rsidRPr="009C7CDD">
        <w:rPr>
          <w:rFonts w:cs="Times New Roman"/>
        </w:rPr>
        <w:t>, 29 FCC Rcd 9644.</w:t>
      </w:r>
    </w:p>
  </w:footnote>
  <w:footnote w:id="10">
    <w:p w14:paraId="1D2B8F92" w14:textId="5BEB5B9A" w:rsidR="00BF1D0E" w:rsidRPr="009C7CDD" w:rsidRDefault="00BF1D0E" w:rsidP="009C7CDD">
      <w:pPr>
        <w:pStyle w:val="FootnoteText"/>
        <w:spacing w:after="120"/>
        <w:rPr>
          <w:rFonts w:cs="Times New Roman"/>
          <w:highlight w:val="yellow"/>
        </w:rPr>
      </w:pPr>
      <w:r w:rsidRPr="009C7CDD">
        <w:rPr>
          <w:rStyle w:val="FootnoteReference"/>
          <w:rFonts w:cs="Times New Roman"/>
        </w:rPr>
        <w:footnoteRef/>
      </w:r>
      <w:r w:rsidRPr="009C7CDD">
        <w:rPr>
          <w:rFonts w:cs="Times New Roman"/>
        </w:rPr>
        <w:t xml:space="preserve"> </w:t>
      </w:r>
      <w:r w:rsidR="000E0CFB" w:rsidRPr="009C7CDD">
        <w:rPr>
          <w:rFonts w:cs="Times New Roman"/>
        </w:rPr>
        <w:t xml:space="preserve">Federal Communications Commission, </w:t>
      </w:r>
      <w:r w:rsidR="00AC6A65" w:rsidRPr="009C7CDD">
        <w:rPr>
          <w:rFonts w:cs="Times New Roman"/>
        </w:rPr>
        <w:t>State School Connectivity Profiles, WC Docket No. 13-184 (rel. Sept. 19, 2014)</w:t>
      </w:r>
      <w:r w:rsidR="009C7CDD">
        <w:rPr>
          <w:rFonts w:cs="Times New Roman"/>
        </w:rPr>
        <w:t>,</w:t>
      </w:r>
      <w:r w:rsidR="00AC6A65" w:rsidRPr="009C7CDD">
        <w:rPr>
          <w:rFonts w:cs="Times New Roman"/>
        </w:rPr>
        <w:t xml:space="preserve"> </w:t>
      </w:r>
      <w:hyperlink r:id="rId3" w:history="1">
        <w:r w:rsidR="00AC6A65" w:rsidRPr="009C7CDD">
          <w:rPr>
            <w:rStyle w:val="Hyperlink"/>
            <w:rFonts w:cs="Times New Roman"/>
          </w:rPr>
          <w:t>https://apps.fcc.gov/edocs_public/attachmatch/DOC-329357A1.pdf</w:t>
        </w:r>
      </w:hyperlink>
      <w:r w:rsidR="004552B7" w:rsidRPr="009C7CDD">
        <w:rPr>
          <w:rStyle w:val="Hyperlink"/>
          <w:rFonts w:cs="Times New Roman"/>
        </w:rPr>
        <w:t>.</w:t>
      </w:r>
      <w:r w:rsidR="00AC6A65" w:rsidRPr="009C7CDD">
        <w:rPr>
          <w:rStyle w:val="Hyperlink"/>
          <w:rFonts w:cs="Times New Roman"/>
        </w:rPr>
        <w:t xml:space="preserve"> </w:t>
      </w:r>
      <w:r w:rsidRPr="009C7CDD">
        <w:rPr>
          <w:rFonts w:cs="Times New Roman"/>
        </w:rPr>
        <w:t xml:space="preserve"> </w:t>
      </w:r>
    </w:p>
  </w:footnote>
  <w:footnote w:id="11">
    <w:p w14:paraId="2B2FA410" w14:textId="4C204DBF" w:rsidR="00BF1D0E" w:rsidRPr="009C7CDD" w:rsidRDefault="00BF1D0E" w:rsidP="009C7CDD">
      <w:pPr>
        <w:pStyle w:val="FootnoteText"/>
        <w:spacing w:after="120"/>
        <w:rPr>
          <w:rFonts w:cs="Times New Roman"/>
          <w:highlight w:val="yellow"/>
        </w:rPr>
      </w:pPr>
      <w:r w:rsidRPr="009C7CDD">
        <w:rPr>
          <w:rStyle w:val="FootnoteReference"/>
          <w:rFonts w:cs="Times New Roman"/>
        </w:rPr>
        <w:footnoteRef/>
      </w:r>
      <w:r w:rsidRPr="009C7CDD">
        <w:rPr>
          <w:rFonts w:cs="Times New Roman"/>
        </w:rPr>
        <w:t xml:space="preserve"> </w:t>
      </w:r>
      <w:r w:rsidR="00AC6A65" w:rsidRPr="009C7CDD">
        <w:rPr>
          <w:rFonts w:cs="Times New Roman"/>
        </w:rPr>
        <w:t>Letter from Reg Leichty, Partner, Education Counsel to Marlene H. Dortch Secretary, Federal Communications Commission, WC Docket No. 13-184, Attach</w:t>
      </w:r>
      <w:r w:rsidR="00130F7F" w:rsidRPr="009C7CDD">
        <w:rPr>
          <w:rFonts w:cs="Times New Roman"/>
        </w:rPr>
        <w:t>.</w:t>
      </w:r>
      <w:r w:rsidR="00AC6A65" w:rsidRPr="009C7CDD">
        <w:rPr>
          <w:rFonts w:cs="Times New Roman"/>
        </w:rPr>
        <w:t xml:space="preserve"> (filed Oct. 15, 2014) (attaching CoSN’s 2</w:t>
      </w:r>
      <w:r w:rsidR="00AC6A65" w:rsidRPr="009C7CDD">
        <w:rPr>
          <w:rFonts w:cs="Times New Roman"/>
          <w:vertAlign w:val="superscript"/>
        </w:rPr>
        <w:t>nd</w:t>
      </w:r>
      <w:r w:rsidR="00AC6A65" w:rsidRPr="009C7CDD">
        <w:rPr>
          <w:rFonts w:cs="Times New Roman"/>
        </w:rPr>
        <w:t xml:space="preserve"> Annual </w:t>
      </w:r>
      <w:r w:rsidR="00C4340F" w:rsidRPr="009C7CDD">
        <w:rPr>
          <w:rFonts w:cs="Times New Roman"/>
        </w:rPr>
        <w:t>E-rate</w:t>
      </w:r>
      <w:r w:rsidR="00AC6A65" w:rsidRPr="009C7CDD">
        <w:rPr>
          <w:rFonts w:cs="Times New Roman"/>
        </w:rPr>
        <w:t xml:space="preserve">  and Infrastructure Survey) (CoSN Survey)</w:t>
      </w:r>
      <w:r w:rsidR="004552B7" w:rsidRPr="009C7CDD">
        <w:rPr>
          <w:rFonts w:cs="Times New Roman"/>
        </w:rPr>
        <w:t>.</w:t>
      </w:r>
      <w:r w:rsidR="00AC6A65" w:rsidRPr="009C7CDD">
        <w:rPr>
          <w:rFonts w:cs="Times New Roman"/>
        </w:rPr>
        <w:t xml:space="preserve">  </w:t>
      </w:r>
      <w:r w:rsidRPr="009C7CDD">
        <w:rPr>
          <w:rFonts w:cs="Times New Roman"/>
        </w:rPr>
        <w:t xml:space="preserve"> </w:t>
      </w:r>
    </w:p>
  </w:footnote>
  <w:footnote w:id="12">
    <w:p w14:paraId="5DB5D35A" w14:textId="0E5372C1" w:rsidR="00BF1D0E" w:rsidRPr="009C7CDD" w:rsidRDefault="00BF1D0E" w:rsidP="009C7CDD">
      <w:pPr>
        <w:pStyle w:val="FootnoteText"/>
        <w:spacing w:after="120"/>
        <w:rPr>
          <w:rFonts w:cs="Times New Roman"/>
          <w:highlight w:val="yellow"/>
        </w:rPr>
      </w:pPr>
      <w:r w:rsidRPr="009C7CDD">
        <w:rPr>
          <w:rStyle w:val="FootnoteReference"/>
          <w:rFonts w:cs="Times New Roman"/>
        </w:rPr>
        <w:footnoteRef/>
      </w:r>
      <w:r w:rsidRPr="009C7CDD">
        <w:rPr>
          <w:rFonts w:cs="Times New Roman"/>
        </w:rPr>
        <w:t xml:space="preserve"> </w:t>
      </w:r>
      <w:r w:rsidR="00AC6A65" w:rsidRPr="009C7CDD">
        <w:rPr>
          <w:rFonts w:cs="Times New Roman"/>
        </w:rPr>
        <w:t>Letter from Evan Marwell, CEO, EducationSuperHighway, to Marlene H. Dortch, Secretary, Federal Communications Commission, WC Docket No. 13-184, Attach</w:t>
      </w:r>
      <w:r w:rsidR="007864CB" w:rsidRPr="009C7CDD">
        <w:rPr>
          <w:rFonts w:cs="Times New Roman"/>
        </w:rPr>
        <w:t>.</w:t>
      </w:r>
      <w:r w:rsidR="00AC6A65" w:rsidRPr="009C7CDD">
        <w:rPr>
          <w:rFonts w:cs="Times New Roman"/>
        </w:rPr>
        <w:t xml:space="preserve"> (filed Oct. 17, 2014) (ESH/CoSN Connectivity Ex Parte) (attaching “Bringing Everyone Up to Speed: Analysis of Costs to Upgrade and Maintain WAN and Internet Access Connections for all K-12 Public Schools”</w:t>
      </w:r>
      <w:r w:rsidR="009C7CDD">
        <w:rPr>
          <w:rFonts w:cs="Times New Roman"/>
        </w:rPr>
        <w:t>)</w:t>
      </w:r>
      <w:r w:rsidR="007864CB" w:rsidRPr="009C7CDD">
        <w:rPr>
          <w:rFonts w:cs="Times New Roman"/>
        </w:rPr>
        <w:t xml:space="preserve"> </w:t>
      </w:r>
      <w:r w:rsidR="00AC6A65" w:rsidRPr="009C7CDD">
        <w:rPr>
          <w:rFonts w:cs="Times New Roman"/>
        </w:rPr>
        <w:t>(ESH/CoSN Connectivity Model).</w:t>
      </w:r>
    </w:p>
  </w:footnote>
  <w:footnote w:id="13">
    <w:p w14:paraId="2379FFDC" w14:textId="045FF0AC"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AC6A65" w:rsidRPr="009C7CDD">
        <w:rPr>
          <w:rFonts w:cs="Times New Roman"/>
        </w:rPr>
        <w:t>Letter from Evan Marwell, CEO, EducationSuperHighway, to Marlene H. Dortch , Secretary, Federal Communications Commission, WC Docket No. 13-184 (filed Oct. 30, 2014) (ESH Policy Options Analysis).</w:t>
      </w:r>
    </w:p>
  </w:footnote>
  <w:footnote w:id="14">
    <w:p w14:paraId="1A595E6F" w14:textId="1FB1E0D4"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AC6A65" w:rsidRPr="009C7CDD">
        <w:rPr>
          <w:rFonts w:cs="Times New Roman"/>
        </w:rPr>
        <w:t xml:space="preserve">Letter from John Windhausen, Jr., Executive Director, SHLB Coalition, to Chairman Wheeler and Commissioners, </w:t>
      </w:r>
      <w:r w:rsidR="00303CCC" w:rsidRPr="00303CCC">
        <w:rPr>
          <w:rFonts w:cs="Times New Roman"/>
        </w:rPr>
        <w:t>Federal Communications Commission</w:t>
      </w:r>
      <w:r w:rsidR="00303CCC">
        <w:rPr>
          <w:rFonts w:cs="Times New Roman"/>
        </w:rPr>
        <w:t xml:space="preserve">, </w:t>
      </w:r>
      <w:r w:rsidR="00AC6A65" w:rsidRPr="009C7CDD">
        <w:rPr>
          <w:rFonts w:cs="Times New Roman"/>
        </w:rPr>
        <w:t>WC Docket No. 13-184, Attach</w:t>
      </w:r>
      <w:r w:rsidR="007A5F4E" w:rsidRPr="009C7CDD">
        <w:rPr>
          <w:rFonts w:cs="Times New Roman"/>
        </w:rPr>
        <w:t>.</w:t>
      </w:r>
      <w:r w:rsidR="00AC6A65" w:rsidRPr="009C7CDD">
        <w:rPr>
          <w:rFonts w:cs="Times New Roman"/>
        </w:rPr>
        <w:t xml:space="preserve"> (filed </w:t>
      </w:r>
      <w:r w:rsidR="00271EEA" w:rsidRPr="009C7CDD">
        <w:rPr>
          <w:rFonts w:cs="Times New Roman"/>
        </w:rPr>
        <w:t>Nov. 14</w:t>
      </w:r>
      <w:r w:rsidR="00AC6A65" w:rsidRPr="009C7CDD">
        <w:rPr>
          <w:rFonts w:cs="Times New Roman"/>
        </w:rPr>
        <w:t>, 2014) (SHLB Coalition Ex Parte) (attaching a study of estimated one-time costs for deploying fiber to schools and libraries without such infrastructure, entitled “A Model for Understanding the Cost to Connect Schools and Libraries with Fiber Optics”) (SHLB Model).</w:t>
      </w:r>
    </w:p>
  </w:footnote>
  <w:footnote w:id="15">
    <w:p w14:paraId="7188950C" w14:textId="452F2BA5" w:rsidR="00BF1D0E" w:rsidRPr="009C7CDD" w:rsidRDefault="00BF1D0E" w:rsidP="009C7CDD">
      <w:pPr>
        <w:pStyle w:val="FootnoteText"/>
        <w:spacing w:after="120"/>
        <w:rPr>
          <w:rFonts w:cs="Times New Roman"/>
          <w:highlight w:val="yellow"/>
        </w:rPr>
      </w:pPr>
      <w:r w:rsidRPr="009C7CDD">
        <w:rPr>
          <w:rStyle w:val="FootnoteReference"/>
          <w:rFonts w:cs="Times New Roman"/>
        </w:rPr>
        <w:footnoteRef/>
      </w:r>
      <w:r w:rsidRPr="009C7CDD">
        <w:rPr>
          <w:rFonts w:cs="Times New Roman"/>
        </w:rPr>
        <w:t xml:space="preserve"> </w:t>
      </w:r>
      <w:r w:rsidR="00AC6A65" w:rsidRPr="009C7CDD">
        <w:rPr>
          <w:rFonts w:cs="Times New Roman"/>
        </w:rPr>
        <w:t>Letter from Phillip H. Lovell, VP of Policy and Advocacy, The Alliance for Excellent Education and Blair Levin, Senior Advisor, LEAD Commission, to Chairman Wheeler, Federal Communications Commission, WC Docket No. 13-184, Attach</w:t>
      </w:r>
      <w:r w:rsidR="007A5F4E" w:rsidRPr="009C7CDD">
        <w:rPr>
          <w:rFonts w:cs="Times New Roman"/>
        </w:rPr>
        <w:t>.</w:t>
      </w:r>
      <w:r w:rsidR="00AC6A65" w:rsidRPr="009C7CDD">
        <w:rPr>
          <w:rFonts w:cs="Times New Roman"/>
        </w:rPr>
        <w:t xml:space="preserve"> (filed Oct. 23, 2014) (attaching “School and Broadband Speeds: An Analysis of Gaps in Access to High-Speed Internet for African-American, Latino, Low-Income, and Rural Students”) (LEAD/AEE Equity Study).  </w:t>
      </w:r>
    </w:p>
  </w:footnote>
  <w:footnote w:id="16">
    <w:p w14:paraId="1FCAED90"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AC6A65" w:rsidRPr="009C7CDD">
        <w:rPr>
          <w:rFonts w:cs="Times New Roman"/>
        </w:rPr>
        <w:t>Letter from Charles Eberle, Attorney-Advisor, Wireline Competition Bureau, to Marlene H. Dortch, Secretary, Federal Communications Commission, WC Docket No. 13-184 (filed Oct. 20, 2014) (North Carolina K12 Internet Usage Growth)</w:t>
      </w:r>
      <w:r w:rsidR="00AC6A65" w:rsidRPr="009C7CDD">
        <w:rPr>
          <w:rFonts w:cs="Times New Roman"/>
          <w:i/>
        </w:rPr>
        <w:t xml:space="preserve">; </w:t>
      </w:r>
      <w:r w:rsidR="00AC6A65" w:rsidRPr="009C7CDD">
        <w:rPr>
          <w:rFonts w:cs="Times New Roman"/>
        </w:rPr>
        <w:t>Letter from Charles Eberle, Attorney-Advisor, Wireline Competition Bureau, to Marlene H. Dortch, Secretary, Federal Communications Commission, WC Docket No. 13-184 (filed Oct. 17, 2014) (Washington K-12 Bandwidth Utilization History).</w:t>
      </w:r>
    </w:p>
  </w:footnote>
  <w:footnote w:id="17">
    <w:p w14:paraId="47087F0F"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00551D4F" w:rsidRPr="009C7CDD">
        <w:rPr>
          <w:rFonts w:cs="Times New Roman"/>
        </w:rPr>
        <w:t xml:space="preserve"> </w:t>
      </w:r>
      <w:r w:rsidR="00AC6A65" w:rsidRPr="009C7CDD">
        <w:rPr>
          <w:rFonts w:cs="Times New Roman"/>
          <w:i/>
        </w:rPr>
        <w:t xml:space="preserve">See generally </w:t>
      </w:r>
      <w:r w:rsidR="00AC6A65" w:rsidRPr="009C7CDD">
        <w:rPr>
          <w:rFonts w:cs="Times New Roman"/>
        </w:rPr>
        <w:t>ESH FNPRM Comments (filed Sept. 15, 2014); NEA FNPRM Comments (filed Sept. 15, 2014).</w:t>
      </w:r>
    </w:p>
  </w:footnote>
  <w:footnote w:id="18">
    <w:p w14:paraId="2BFF42CF" w14:textId="225D3F3D" w:rsidR="00A71D76" w:rsidRPr="009C7CDD" w:rsidRDefault="00A71D76"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Pr="009C7CDD">
        <w:rPr>
          <w:rFonts w:cs="Times New Roman"/>
          <w:i/>
        </w:rPr>
        <w:t>See</w:t>
      </w:r>
      <w:r w:rsidRPr="009C7CDD">
        <w:rPr>
          <w:rFonts w:cs="Times New Roman"/>
        </w:rPr>
        <w:t xml:space="preserve"> </w:t>
      </w:r>
      <w:r w:rsidR="009C7CDD" w:rsidRPr="009C7CDD">
        <w:rPr>
          <w:rFonts w:cs="Times New Roman"/>
        </w:rPr>
        <w:t>Federal Communications Commission</w:t>
      </w:r>
      <w:r w:rsidR="009C7CDD">
        <w:rPr>
          <w:rFonts w:cs="Times New Roman"/>
        </w:rPr>
        <w:t xml:space="preserve">, </w:t>
      </w:r>
      <w:r w:rsidRPr="009C7CDD">
        <w:rPr>
          <w:rFonts w:cs="Times New Roman"/>
        </w:rPr>
        <w:t xml:space="preserve">E-rate </w:t>
      </w:r>
      <w:r w:rsidR="00F43B78" w:rsidRPr="009C7CDD">
        <w:rPr>
          <w:rFonts w:cs="Times New Roman"/>
        </w:rPr>
        <w:t>Modernization D</w:t>
      </w:r>
      <w:r w:rsidRPr="009C7CDD">
        <w:rPr>
          <w:rFonts w:cs="Times New Roman"/>
        </w:rPr>
        <w:t xml:space="preserve">ata </w:t>
      </w:r>
      <w:r w:rsidR="00F43B78" w:rsidRPr="009C7CDD">
        <w:rPr>
          <w:rFonts w:cs="Times New Roman"/>
        </w:rPr>
        <w:t>P</w:t>
      </w:r>
      <w:r w:rsidRPr="009C7CDD">
        <w:rPr>
          <w:rFonts w:cs="Times New Roman"/>
        </w:rPr>
        <w:t>age</w:t>
      </w:r>
      <w:r w:rsidR="009C7CDD">
        <w:rPr>
          <w:rFonts w:cs="Times New Roman"/>
        </w:rPr>
        <w:t>,</w:t>
      </w:r>
      <w:r w:rsidRPr="009C7CDD">
        <w:rPr>
          <w:rFonts w:cs="Times New Roman"/>
        </w:rPr>
        <w:t xml:space="preserve"> </w:t>
      </w:r>
      <w:hyperlink r:id="rId4" w:history="1">
        <w:r w:rsidRPr="009C7CDD">
          <w:rPr>
            <w:rStyle w:val="Hyperlink"/>
            <w:rFonts w:cs="Times New Roman"/>
          </w:rPr>
          <w:t>www.fcc.gov/encyclopedia/E-rate-modernization-data</w:t>
        </w:r>
      </w:hyperlink>
      <w:r w:rsidR="009C7CDD">
        <w:rPr>
          <w:rFonts w:cs="Times New Roman"/>
        </w:rPr>
        <w:t xml:space="preserve"> (last visited Nov. 17, 2014).</w:t>
      </w:r>
    </w:p>
  </w:footnote>
  <w:footnote w:id="19">
    <w:p w14:paraId="7AB2C94D" w14:textId="3463D6FA"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AC6A65" w:rsidRPr="009C7CDD">
        <w:rPr>
          <w:rFonts w:cs="Times New Roman"/>
          <w:i/>
        </w:rPr>
        <w:t xml:space="preserve">See </w:t>
      </w:r>
      <w:r w:rsidR="00C4340F" w:rsidRPr="009C7CDD">
        <w:rPr>
          <w:rFonts w:cs="Times New Roman"/>
          <w:i/>
        </w:rPr>
        <w:t>E-rate</w:t>
      </w:r>
      <w:r w:rsidR="00AC6A65" w:rsidRPr="009C7CDD">
        <w:rPr>
          <w:rFonts w:cs="Times New Roman"/>
          <w:i/>
        </w:rPr>
        <w:t xml:space="preserve"> Modernization Order</w:t>
      </w:r>
      <w:r w:rsidR="00AC6A65" w:rsidRPr="009C7CDD">
        <w:rPr>
          <w:rFonts w:cs="Times New Roman"/>
        </w:rPr>
        <w:t xml:space="preserve">, </w:t>
      </w:r>
      <w:r w:rsidR="007A5F4E" w:rsidRPr="009C7CDD">
        <w:rPr>
          <w:rFonts w:cs="Times New Roman"/>
        </w:rPr>
        <w:t xml:space="preserve">29 </w:t>
      </w:r>
      <w:r w:rsidR="00AC6A65" w:rsidRPr="009C7CDD">
        <w:rPr>
          <w:rFonts w:cs="Times New Roman"/>
        </w:rPr>
        <w:t>FCC Rcd at 8881</w:t>
      </w:r>
      <w:r w:rsidR="007A5F4E" w:rsidRPr="009C7CDD">
        <w:rPr>
          <w:rFonts w:cs="Times New Roman"/>
        </w:rPr>
        <w:t>,</w:t>
      </w:r>
      <w:r w:rsidR="00AC6A65" w:rsidRPr="009C7CDD">
        <w:rPr>
          <w:rFonts w:cs="Times New Roman"/>
        </w:rPr>
        <w:t xml:space="preserve"> para. 26; </w:t>
      </w:r>
      <w:r w:rsidR="00AC6A65" w:rsidRPr="009C7CDD">
        <w:rPr>
          <w:rFonts w:cs="Times New Roman"/>
          <w:i/>
        </w:rPr>
        <w:t>see also</w:t>
      </w:r>
      <w:r w:rsidR="00AC6A65" w:rsidRPr="009C7CDD">
        <w:rPr>
          <w:rFonts w:cs="Times New Roman"/>
        </w:rPr>
        <w:t xml:space="preserve"> </w:t>
      </w:r>
      <w:r w:rsidR="007A5F4E" w:rsidRPr="009C7CDD">
        <w:rPr>
          <w:rFonts w:cs="Times New Roman"/>
          <w:i/>
        </w:rPr>
        <w:t xml:space="preserve">id. </w:t>
      </w:r>
      <w:r w:rsidR="007A5F4E" w:rsidRPr="009C7CDD">
        <w:rPr>
          <w:rFonts w:cs="Times New Roman"/>
        </w:rPr>
        <w:t>at 8890,</w:t>
      </w:r>
      <w:r w:rsidR="00AC6A65" w:rsidRPr="009C7CDD">
        <w:rPr>
          <w:rFonts w:cs="Times New Roman"/>
        </w:rPr>
        <w:t xml:space="preserve"> para. 50, 8891, para. 55 (</w:t>
      </w:r>
      <w:r w:rsidR="007A5F4E" w:rsidRPr="009C7CDD">
        <w:rPr>
          <w:rFonts w:cs="Times New Roman"/>
        </w:rPr>
        <w:t>adopting</w:t>
      </w:r>
      <w:r w:rsidR="00AC6A65" w:rsidRPr="009C7CDD">
        <w:rPr>
          <w:rFonts w:cs="Times New Roman"/>
        </w:rPr>
        <w:t xml:space="preserve"> as its second goal “maximizing the cost-effectiveness of spending for </w:t>
      </w:r>
      <w:r w:rsidR="00C4340F" w:rsidRPr="009C7CDD">
        <w:rPr>
          <w:rFonts w:cs="Times New Roman"/>
        </w:rPr>
        <w:t>E-rate</w:t>
      </w:r>
      <w:r w:rsidR="00AC6A65" w:rsidRPr="009C7CDD">
        <w:rPr>
          <w:rFonts w:cs="Times New Roman"/>
        </w:rPr>
        <w:t xml:space="preserve"> supported purchases” and as its third goal “making the </w:t>
      </w:r>
      <w:r w:rsidR="00C4340F" w:rsidRPr="009C7CDD">
        <w:rPr>
          <w:rFonts w:cs="Times New Roman"/>
        </w:rPr>
        <w:t>E-rate</w:t>
      </w:r>
      <w:r w:rsidR="00AC6A65" w:rsidRPr="009C7CDD">
        <w:rPr>
          <w:rFonts w:cs="Times New Roman"/>
        </w:rPr>
        <w:t xml:space="preserve"> application process and other </w:t>
      </w:r>
      <w:r w:rsidR="00C4340F" w:rsidRPr="009C7CDD">
        <w:rPr>
          <w:rFonts w:cs="Times New Roman"/>
        </w:rPr>
        <w:t>E-rate</w:t>
      </w:r>
      <w:r w:rsidR="00AC6A65" w:rsidRPr="009C7CDD">
        <w:rPr>
          <w:rFonts w:cs="Times New Roman"/>
        </w:rPr>
        <w:t xml:space="preserve"> processes fast, simple, and efficient”).   </w:t>
      </w:r>
    </w:p>
  </w:footnote>
  <w:footnote w:id="20">
    <w:p w14:paraId="37E18177" w14:textId="39792D4F"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AC6A65" w:rsidRPr="009C7CDD">
        <w:rPr>
          <w:rFonts w:cs="Times New Roman"/>
          <w:i/>
        </w:rPr>
        <w:t xml:space="preserve">See </w:t>
      </w:r>
      <w:r w:rsidR="007864CB" w:rsidRPr="009C7CDD">
        <w:rPr>
          <w:rFonts w:cs="Times New Roman"/>
          <w:i/>
        </w:rPr>
        <w:t>id.</w:t>
      </w:r>
      <w:r w:rsidR="00AC6A65" w:rsidRPr="009C7CDD">
        <w:rPr>
          <w:rFonts w:cs="Times New Roman"/>
        </w:rPr>
        <w:t xml:space="preserve"> at 8885, para. 34, 8886, para. 39.  </w:t>
      </w:r>
    </w:p>
  </w:footnote>
  <w:footnote w:id="21">
    <w:p w14:paraId="61307AAF"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AC6A65" w:rsidRPr="009C7CDD">
        <w:rPr>
          <w:rFonts w:cs="Times New Roman"/>
          <w:i/>
        </w:rPr>
        <w:t xml:space="preserve">See </w:t>
      </w:r>
      <w:r w:rsidR="00AC6A65" w:rsidRPr="009C7CDD">
        <w:rPr>
          <w:rFonts w:cs="Times New Roman"/>
        </w:rPr>
        <w:t>CoSN Survey at 5</w:t>
      </w:r>
      <w:r w:rsidRPr="009C7CDD">
        <w:rPr>
          <w:rFonts w:cs="Times New Roman"/>
        </w:rPr>
        <w:t xml:space="preserve">.  </w:t>
      </w:r>
    </w:p>
  </w:footnote>
  <w:footnote w:id="22">
    <w:p w14:paraId="1BDF7E38" w14:textId="78CBFBC0"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672377" w:rsidRPr="009C7CDD">
        <w:rPr>
          <w:rFonts w:cs="Times New Roman"/>
          <w:i/>
        </w:rPr>
        <w:t xml:space="preserve">See </w:t>
      </w:r>
      <w:r w:rsidR="007864CB" w:rsidRPr="009C7CDD">
        <w:rPr>
          <w:rFonts w:cs="Times New Roman"/>
          <w:i/>
        </w:rPr>
        <w:t xml:space="preserve">id. </w:t>
      </w:r>
      <w:r w:rsidR="00672377" w:rsidRPr="009C7CDD">
        <w:rPr>
          <w:rFonts w:cs="Times New Roman"/>
        </w:rPr>
        <w:t xml:space="preserve">at 11; </w:t>
      </w:r>
      <w:r w:rsidR="00672377" w:rsidRPr="009C7CDD">
        <w:rPr>
          <w:rFonts w:cs="Times New Roman"/>
          <w:i/>
        </w:rPr>
        <w:t>see also</w:t>
      </w:r>
      <w:r w:rsidR="00672377" w:rsidRPr="009C7CDD">
        <w:rPr>
          <w:rFonts w:cs="Times New Roman"/>
        </w:rPr>
        <w:t xml:space="preserve"> </w:t>
      </w:r>
      <w:r w:rsidR="00C4340F" w:rsidRPr="009C7CDD">
        <w:rPr>
          <w:rFonts w:cs="Times New Roman"/>
          <w:i/>
        </w:rPr>
        <w:t>E-rate</w:t>
      </w:r>
      <w:r w:rsidR="00672377" w:rsidRPr="009C7CDD">
        <w:rPr>
          <w:rFonts w:cs="Times New Roman"/>
          <w:i/>
        </w:rPr>
        <w:t xml:space="preserve"> Modernization Order</w:t>
      </w:r>
      <w:r w:rsidR="007A5F4E" w:rsidRPr="009C7CDD">
        <w:rPr>
          <w:rFonts w:cs="Times New Roman"/>
        </w:rPr>
        <w:t>,</w:t>
      </w:r>
      <w:r w:rsidR="00672377" w:rsidRPr="009C7CDD">
        <w:rPr>
          <w:rFonts w:cs="Times New Roman"/>
          <w:i/>
        </w:rPr>
        <w:t xml:space="preserve"> </w:t>
      </w:r>
      <w:r w:rsidR="00672377" w:rsidRPr="009C7CDD">
        <w:rPr>
          <w:rFonts w:cs="Times New Roman"/>
        </w:rPr>
        <w:t>29 FCC Rcd at 8885, para. 34</w:t>
      </w:r>
      <w:r w:rsidR="00EA0037" w:rsidRPr="009C7CDD">
        <w:rPr>
          <w:rFonts w:cs="Times New Roman"/>
        </w:rPr>
        <w:t>.</w:t>
      </w:r>
    </w:p>
  </w:footnote>
  <w:footnote w:id="23">
    <w:p w14:paraId="67F9DA5F"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672377" w:rsidRPr="009C7CDD">
        <w:rPr>
          <w:rFonts w:cs="Times New Roman"/>
          <w:i/>
        </w:rPr>
        <w:t>See</w:t>
      </w:r>
      <w:r w:rsidR="00672377" w:rsidRPr="009C7CDD">
        <w:rPr>
          <w:rFonts w:cs="Times New Roman"/>
        </w:rPr>
        <w:t xml:space="preserve"> ESH FNPRM Comments at 1.</w:t>
      </w:r>
    </w:p>
  </w:footnote>
  <w:footnote w:id="24">
    <w:p w14:paraId="773B58E8"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FF23A0" w:rsidRPr="009C7CDD">
        <w:rPr>
          <w:rFonts w:cs="Times New Roman"/>
          <w:i/>
        </w:rPr>
        <w:t xml:space="preserve">See </w:t>
      </w:r>
      <w:r w:rsidR="00FF23A0" w:rsidRPr="009C7CDD">
        <w:rPr>
          <w:rFonts w:cs="Times New Roman"/>
        </w:rPr>
        <w:t>Fiber Connectivity Maps</w:t>
      </w:r>
      <w:r w:rsidRPr="009C7CDD">
        <w:rPr>
          <w:rFonts w:cs="Times New Roman"/>
        </w:rPr>
        <w:t xml:space="preserve">.  These estimates include all public schools, including smaller schools where non-fiber technologies may provide a viable option for connectivity.    </w:t>
      </w:r>
    </w:p>
  </w:footnote>
  <w:footnote w:id="25">
    <w:p w14:paraId="3ACEB9C9" w14:textId="4485DC9A"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FF23A0" w:rsidRPr="009C7CDD">
        <w:rPr>
          <w:rFonts w:cs="Times New Roman"/>
          <w:i/>
        </w:rPr>
        <w:t xml:space="preserve">See </w:t>
      </w:r>
      <w:r w:rsidRPr="009C7CDD">
        <w:rPr>
          <w:rFonts w:cs="Times New Roman"/>
        </w:rPr>
        <w:t xml:space="preserve">ESH FNPRM Comments at 3-4 </w:t>
      </w:r>
      <w:r w:rsidR="00FF23A0" w:rsidRPr="009C7CDD">
        <w:rPr>
          <w:rFonts w:cs="Times New Roman"/>
        </w:rPr>
        <w:t>(claiming that f</w:t>
      </w:r>
      <w:r w:rsidRPr="009C7CDD">
        <w:rPr>
          <w:rFonts w:cs="Times New Roman"/>
        </w:rPr>
        <w:t>or 98% of schools and libraries that the goals will be met with a fiber connection</w:t>
      </w:r>
      <w:r w:rsidR="00250A1B" w:rsidRPr="009C7CDD">
        <w:rPr>
          <w:rFonts w:cs="Times New Roman"/>
        </w:rPr>
        <w:t>)</w:t>
      </w:r>
      <w:r w:rsidRPr="009C7CDD">
        <w:rPr>
          <w:rFonts w:cs="Times New Roman"/>
        </w:rPr>
        <w:t xml:space="preserve">.  Discussion in this document about fiber should not </w:t>
      </w:r>
      <w:r w:rsidR="00250A1B" w:rsidRPr="009C7CDD">
        <w:rPr>
          <w:rFonts w:cs="Times New Roman"/>
        </w:rPr>
        <w:t xml:space="preserve">be read to suggest </w:t>
      </w:r>
      <w:r w:rsidRPr="009C7CDD">
        <w:rPr>
          <w:rFonts w:cs="Times New Roman"/>
        </w:rPr>
        <w:t>that all schools will necessarily need fiber connections to meet the goals.</w:t>
      </w:r>
    </w:p>
  </w:footnote>
  <w:footnote w:id="26">
    <w:p w14:paraId="27BA3774" w14:textId="40141A52"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FF23A0" w:rsidRPr="009C7CDD">
        <w:rPr>
          <w:rFonts w:cs="Times New Roman"/>
          <w:i/>
        </w:rPr>
        <w:t xml:space="preserve">See </w:t>
      </w:r>
      <w:r w:rsidR="00E55F53" w:rsidRPr="009C7CDD">
        <w:rPr>
          <w:rFonts w:cs="Times New Roman"/>
          <w:i/>
        </w:rPr>
        <w:t xml:space="preserve">Staff Report, </w:t>
      </w:r>
      <w:r w:rsidR="00E55F53" w:rsidRPr="009C7CDD">
        <w:rPr>
          <w:rFonts w:cs="Times New Roman"/>
        </w:rPr>
        <w:t>29 FCC Rcd. at 9656-57, para. 19, 21.</w:t>
      </w:r>
      <w:r w:rsidR="00E55F53" w:rsidRPr="009C7CDD">
        <w:rPr>
          <w:rFonts w:cs="Times New Roman"/>
          <w:i/>
        </w:rPr>
        <w:t xml:space="preserve">  See also </w:t>
      </w:r>
      <w:r w:rsidR="00FF23A0" w:rsidRPr="009C7CDD">
        <w:rPr>
          <w:rFonts w:cs="Times New Roman"/>
        </w:rPr>
        <w:t>SHLB Coalition Model at 8</w:t>
      </w:r>
      <w:r w:rsidR="002A367C" w:rsidRPr="009C7CDD">
        <w:rPr>
          <w:rFonts w:cs="Times New Roman"/>
        </w:rPr>
        <w:t>-9</w:t>
      </w:r>
      <w:r w:rsidR="0076667C" w:rsidRPr="009C7CDD">
        <w:rPr>
          <w:rFonts w:cs="Times New Roman"/>
        </w:rPr>
        <w:t xml:space="preserve"> (estimating around 40% of schools and 68% of libraries lack fiber)</w:t>
      </w:r>
      <w:r w:rsidR="002A367C" w:rsidRPr="009C7CDD">
        <w:rPr>
          <w:rFonts w:cs="Times New Roman"/>
        </w:rPr>
        <w:t>; ESH/COSN Connectivity Model at “Fiber Construction” Tab.</w:t>
      </w:r>
    </w:p>
  </w:footnote>
  <w:footnote w:id="27">
    <w:p w14:paraId="2DEE120B" w14:textId="0C26AB63"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FF23A0" w:rsidRPr="009C7CDD">
        <w:rPr>
          <w:rFonts w:cs="Times New Roman"/>
          <w:i/>
        </w:rPr>
        <w:t xml:space="preserve">See </w:t>
      </w:r>
      <w:r w:rsidR="00FF23A0" w:rsidRPr="009C7CDD">
        <w:rPr>
          <w:rFonts w:cs="Times New Roman"/>
        </w:rPr>
        <w:t>ESH/CoSN Connectivity Model</w:t>
      </w:r>
      <w:r w:rsidR="008D3661" w:rsidRPr="009C7CDD">
        <w:rPr>
          <w:rFonts w:cs="Times New Roman"/>
        </w:rPr>
        <w:t xml:space="preserve"> at “Fiber Construction” Tab.</w:t>
      </w:r>
    </w:p>
  </w:footnote>
  <w:footnote w:id="28">
    <w:p w14:paraId="2136EC9E" w14:textId="692304E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FF23A0" w:rsidRPr="009C7CDD">
        <w:rPr>
          <w:rFonts w:cs="Times New Roman"/>
          <w:i/>
        </w:rPr>
        <w:t>See</w:t>
      </w:r>
      <w:r w:rsidR="007864CB" w:rsidRPr="009C7CDD">
        <w:rPr>
          <w:rFonts w:cs="Times New Roman"/>
          <w:i/>
        </w:rPr>
        <w:t xml:space="preserve"> id.</w:t>
      </w:r>
    </w:p>
  </w:footnote>
  <w:footnote w:id="29">
    <w:p w14:paraId="11B2F28B" w14:textId="6B7B4C84" w:rsidR="00551D4F" w:rsidRPr="009C7CDD" w:rsidRDefault="00AC639F"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FF23A0" w:rsidRPr="009C7CDD">
        <w:rPr>
          <w:rFonts w:cs="Times New Roman"/>
          <w:i/>
        </w:rPr>
        <w:t xml:space="preserve">See </w:t>
      </w:r>
      <w:r w:rsidR="00FF23A0" w:rsidRPr="009C7CDD">
        <w:rPr>
          <w:rFonts w:cs="Times New Roman"/>
        </w:rPr>
        <w:t xml:space="preserve">SHLB Coalition Model at </w:t>
      </w:r>
      <w:r w:rsidR="00E262FD" w:rsidRPr="009C7CDD">
        <w:rPr>
          <w:rFonts w:cs="Times New Roman"/>
        </w:rPr>
        <w:t>9</w:t>
      </w:r>
      <w:r w:rsidR="00FF23A0" w:rsidRPr="009C7CDD">
        <w:rPr>
          <w:rFonts w:cs="Times New Roman"/>
        </w:rPr>
        <w:t>.</w:t>
      </w:r>
    </w:p>
  </w:footnote>
  <w:footnote w:id="30">
    <w:p w14:paraId="190F6DB4" w14:textId="77777777" w:rsidR="00BF1D0E" w:rsidRPr="009C7CDD" w:rsidRDefault="00BF1D0E" w:rsidP="009C7CDD">
      <w:pPr>
        <w:pStyle w:val="FootnoteText"/>
        <w:spacing w:after="120"/>
        <w:rPr>
          <w:rFonts w:cs="Times New Roman"/>
          <w:i/>
        </w:rPr>
      </w:pPr>
      <w:r w:rsidRPr="009C7CDD">
        <w:rPr>
          <w:rStyle w:val="FootnoteReference"/>
          <w:rFonts w:cs="Times New Roman"/>
        </w:rPr>
        <w:footnoteRef/>
      </w:r>
      <w:r w:rsidRPr="009C7CDD">
        <w:rPr>
          <w:rFonts w:cs="Times New Roman"/>
        </w:rPr>
        <w:t xml:space="preserve"> </w:t>
      </w:r>
      <w:r w:rsidR="00FF23A0" w:rsidRPr="009C7CDD">
        <w:rPr>
          <w:rFonts w:cs="Times New Roman"/>
          <w:i/>
        </w:rPr>
        <w:t xml:space="preserve">See </w:t>
      </w:r>
      <w:r w:rsidR="00FF23A0" w:rsidRPr="009C7CDD">
        <w:rPr>
          <w:rFonts w:cs="Times New Roman"/>
        </w:rPr>
        <w:t>CoSN Survey</w:t>
      </w:r>
      <w:r w:rsidR="00FF23A0" w:rsidRPr="009C7CDD">
        <w:rPr>
          <w:rFonts w:cs="Times New Roman"/>
          <w:i/>
        </w:rPr>
        <w:t xml:space="preserve"> </w:t>
      </w:r>
      <w:r w:rsidR="00FF23A0" w:rsidRPr="009C7CDD">
        <w:rPr>
          <w:rFonts w:cs="Times New Roman"/>
        </w:rPr>
        <w:t xml:space="preserve">at </w:t>
      </w:r>
      <w:r w:rsidR="003E4A82" w:rsidRPr="009C7CDD">
        <w:rPr>
          <w:rFonts w:cs="Times New Roman"/>
        </w:rPr>
        <w:t>4</w:t>
      </w:r>
      <w:r w:rsidR="00FF23A0" w:rsidRPr="009C7CDD">
        <w:rPr>
          <w:rFonts w:cs="Times New Roman"/>
        </w:rPr>
        <w:t>.</w:t>
      </w:r>
    </w:p>
  </w:footnote>
  <w:footnote w:id="31">
    <w:p w14:paraId="7FF0567F" w14:textId="4C806C3B" w:rsidR="005A182C" w:rsidRPr="009C7CDD" w:rsidRDefault="005A182C"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7864CB" w:rsidRPr="009C7CDD">
        <w:rPr>
          <w:rFonts w:cs="Times New Roman"/>
          <w:i/>
        </w:rPr>
        <w:t>Id.</w:t>
      </w:r>
      <w:r w:rsidR="007864CB" w:rsidRPr="009C7CDD">
        <w:rPr>
          <w:rFonts w:cs="Times New Roman"/>
        </w:rPr>
        <w:t xml:space="preserve"> </w:t>
      </w:r>
      <w:r w:rsidRPr="009C7CDD">
        <w:rPr>
          <w:rFonts w:cs="Times New Roman"/>
        </w:rPr>
        <w:t>at 10 (Internet Access:  $5-50/Mbps/</w:t>
      </w:r>
      <w:r w:rsidR="009861FB" w:rsidRPr="009C7CDD">
        <w:rPr>
          <w:rFonts w:cs="Times New Roman"/>
        </w:rPr>
        <w:t>m</w:t>
      </w:r>
      <w:r w:rsidRPr="009C7CDD">
        <w:rPr>
          <w:rFonts w:cs="Times New Roman"/>
        </w:rPr>
        <w:t>onth: 40%; $50-100/Mbps/</w:t>
      </w:r>
      <w:r w:rsidR="009861FB" w:rsidRPr="009C7CDD">
        <w:rPr>
          <w:rFonts w:cs="Times New Roman"/>
        </w:rPr>
        <w:t>m</w:t>
      </w:r>
      <w:r w:rsidRPr="009C7CDD">
        <w:rPr>
          <w:rFonts w:cs="Times New Roman"/>
        </w:rPr>
        <w:t>onth: 14%; $100-250/Mbps/</w:t>
      </w:r>
      <w:r w:rsidR="009861FB" w:rsidRPr="009C7CDD">
        <w:rPr>
          <w:rFonts w:cs="Times New Roman"/>
        </w:rPr>
        <w:t>m</w:t>
      </w:r>
      <w:r w:rsidRPr="009C7CDD">
        <w:rPr>
          <w:rFonts w:cs="Times New Roman"/>
        </w:rPr>
        <w:t>onth:</w:t>
      </w:r>
      <w:r w:rsidR="00DF6723" w:rsidRPr="009C7CDD">
        <w:rPr>
          <w:rFonts w:cs="Times New Roman"/>
        </w:rPr>
        <w:t xml:space="preserve"> </w:t>
      </w:r>
      <w:r w:rsidRPr="009C7CDD">
        <w:rPr>
          <w:rFonts w:cs="Times New Roman"/>
        </w:rPr>
        <w:t>9%; $250 or more/Mbps/</w:t>
      </w:r>
      <w:r w:rsidR="009861FB" w:rsidRPr="009C7CDD">
        <w:rPr>
          <w:rFonts w:cs="Times New Roman"/>
        </w:rPr>
        <w:t>m</w:t>
      </w:r>
      <w:r w:rsidRPr="009C7CDD">
        <w:rPr>
          <w:rFonts w:cs="Times New Roman"/>
        </w:rPr>
        <w:t>onth: 9%).</w:t>
      </w:r>
    </w:p>
  </w:footnote>
  <w:footnote w:id="32">
    <w:p w14:paraId="42334A9C" w14:textId="20D1F0F4" w:rsidR="005A182C" w:rsidRPr="009C7CDD" w:rsidRDefault="005A182C"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Pr="009C7CDD">
        <w:rPr>
          <w:rFonts w:cs="Times New Roman"/>
          <w:i/>
        </w:rPr>
        <w:t>See</w:t>
      </w:r>
      <w:r w:rsidR="007864CB" w:rsidRPr="009C7CDD">
        <w:rPr>
          <w:rFonts w:cs="Times New Roman"/>
          <w:i/>
        </w:rPr>
        <w:t xml:space="preserve"> id.</w:t>
      </w:r>
    </w:p>
  </w:footnote>
  <w:footnote w:id="33">
    <w:p w14:paraId="44C221E8" w14:textId="5058473F"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FF23A0" w:rsidRPr="009C7CDD">
        <w:rPr>
          <w:rFonts w:cs="Times New Roman"/>
          <w:i/>
        </w:rPr>
        <w:t>See</w:t>
      </w:r>
      <w:r w:rsidR="002354D7" w:rsidRPr="009C7CDD">
        <w:rPr>
          <w:rFonts w:cs="Times New Roman"/>
          <w:i/>
        </w:rPr>
        <w:t xml:space="preserve"> id.</w:t>
      </w:r>
      <w:r w:rsidR="00FF23A0" w:rsidRPr="009C7CDD">
        <w:rPr>
          <w:rFonts w:cs="Times New Roman"/>
          <w:i/>
        </w:rPr>
        <w:t xml:space="preserve"> </w:t>
      </w:r>
    </w:p>
  </w:footnote>
  <w:footnote w:id="34">
    <w:p w14:paraId="669B95F3" w14:textId="7F034F31" w:rsidR="005A182C" w:rsidRPr="009C7CDD" w:rsidRDefault="005A182C"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Pr="009C7CDD">
        <w:rPr>
          <w:rFonts w:cs="Times New Roman"/>
          <w:i/>
        </w:rPr>
        <w:t>See</w:t>
      </w:r>
      <w:r w:rsidR="002354D7" w:rsidRPr="009C7CDD">
        <w:rPr>
          <w:rFonts w:cs="Times New Roman"/>
          <w:i/>
        </w:rPr>
        <w:t xml:space="preserve"> id.</w:t>
      </w:r>
      <w:r w:rsidRPr="009C7CDD">
        <w:rPr>
          <w:rFonts w:cs="Times New Roman"/>
        </w:rPr>
        <w:t xml:space="preserve"> (WAN Connection:  $5-50/Mbps/Month: 31%; $50-100/Mbps/Month: 9%; $100-250/Mbps/Month: 6%; $250 or more/Mbps/Month: 7%).</w:t>
      </w:r>
    </w:p>
  </w:footnote>
  <w:footnote w:id="35">
    <w:p w14:paraId="79D46EDB" w14:textId="55F9DE8C" w:rsidR="00CC077F" w:rsidRPr="009C7CDD" w:rsidRDefault="00CC077F"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FF23A0" w:rsidRPr="009C7CDD">
        <w:rPr>
          <w:rFonts w:cs="Times New Roman"/>
          <w:i/>
        </w:rPr>
        <w:t>See</w:t>
      </w:r>
      <w:r w:rsidR="002354D7" w:rsidRPr="009C7CDD">
        <w:rPr>
          <w:rFonts w:cs="Times New Roman"/>
          <w:i/>
        </w:rPr>
        <w:t xml:space="preserve"> id. </w:t>
      </w:r>
      <w:r w:rsidR="002354D7" w:rsidRPr="009C7CDD">
        <w:rPr>
          <w:rFonts w:cs="Times New Roman"/>
        </w:rPr>
        <w:t xml:space="preserve">at </w:t>
      </w:r>
      <w:r w:rsidR="00FE72B1" w:rsidRPr="009C7CDD">
        <w:rPr>
          <w:rFonts w:cs="Times New Roman"/>
        </w:rPr>
        <w:t>15.</w:t>
      </w:r>
    </w:p>
  </w:footnote>
  <w:footnote w:id="36">
    <w:p w14:paraId="65ADB0C2" w14:textId="0360A19E"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FF23A0" w:rsidRPr="009C7CDD">
        <w:rPr>
          <w:rFonts w:cs="Times New Roman"/>
          <w:i/>
        </w:rPr>
        <w:t>See</w:t>
      </w:r>
      <w:r w:rsidR="002354D7" w:rsidRPr="009C7CDD">
        <w:rPr>
          <w:rFonts w:cs="Times New Roman"/>
          <w:i/>
        </w:rPr>
        <w:t xml:space="preserve"> id. </w:t>
      </w:r>
      <w:r w:rsidR="002354D7" w:rsidRPr="009C7CDD">
        <w:rPr>
          <w:rFonts w:cs="Times New Roman"/>
        </w:rPr>
        <w:t xml:space="preserve">at </w:t>
      </w:r>
      <w:r w:rsidRPr="009C7CDD">
        <w:rPr>
          <w:rFonts w:cs="Times New Roman"/>
        </w:rPr>
        <w:t>6.</w:t>
      </w:r>
    </w:p>
  </w:footnote>
  <w:footnote w:id="37">
    <w:p w14:paraId="12CD5F8C" w14:textId="2D24D555" w:rsidR="00FF23A0" w:rsidRPr="009C7CDD" w:rsidRDefault="00107C18"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FF23A0" w:rsidRPr="009C7CDD">
        <w:rPr>
          <w:rFonts w:cs="Times New Roman"/>
          <w:i/>
        </w:rPr>
        <w:t xml:space="preserve">See </w:t>
      </w:r>
      <w:r w:rsidR="00551D4F" w:rsidRPr="009C7CDD">
        <w:rPr>
          <w:rFonts w:cs="Times New Roman"/>
        </w:rPr>
        <w:t xml:space="preserve">ESH FNPRM Comments </w:t>
      </w:r>
      <w:r w:rsidRPr="009C7CDD">
        <w:rPr>
          <w:rFonts w:cs="Times New Roman"/>
        </w:rPr>
        <w:t>at 14.</w:t>
      </w:r>
    </w:p>
  </w:footnote>
  <w:footnote w:id="38">
    <w:p w14:paraId="6BD74C28" w14:textId="77777777" w:rsidR="00CC077F" w:rsidRPr="009C7CDD" w:rsidRDefault="00CC077F" w:rsidP="009C7CDD">
      <w:pPr>
        <w:pStyle w:val="FootnoteText"/>
        <w:spacing w:after="120"/>
        <w:rPr>
          <w:rFonts w:cs="Times New Roman"/>
          <w:i/>
          <w:highlight w:val="yellow"/>
        </w:rPr>
      </w:pPr>
      <w:r w:rsidRPr="009C7CDD">
        <w:rPr>
          <w:rStyle w:val="FootnoteReference"/>
          <w:rFonts w:cs="Times New Roman"/>
        </w:rPr>
        <w:footnoteRef/>
      </w:r>
      <w:r w:rsidR="00551D4F" w:rsidRPr="009C7CDD">
        <w:rPr>
          <w:rFonts w:cs="Times New Roman"/>
        </w:rPr>
        <w:t xml:space="preserve"> </w:t>
      </w:r>
      <w:r w:rsidR="00FF23A0" w:rsidRPr="009C7CDD">
        <w:rPr>
          <w:rFonts w:cs="Times New Roman"/>
          <w:i/>
        </w:rPr>
        <w:t>See</w:t>
      </w:r>
      <w:r w:rsidR="00FF23A0" w:rsidRPr="009C7CDD">
        <w:rPr>
          <w:rFonts w:cs="Times New Roman"/>
        </w:rPr>
        <w:t xml:space="preserve"> </w:t>
      </w:r>
      <w:r w:rsidR="00551D4F" w:rsidRPr="009C7CDD">
        <w:rPr>
          <w:rFonts w:cs="Times New Roman"/>
        </w:rPr>
        <w:t>LEAD/AEE Equity Study</w:t>
      </w:r>
      <w:r w:rsidR="00FF23A0" w:rsidRPr="009C7CDD">
        <w:rPr>
          <w:rFonts w:cs="Times New Roman"/>
          <w:i/>
        </w:rPr>
        <w:t xml:space="preserve"> </w:t>
      </w:r>
      <w:r w:rsidR="00FF23A0" w:rsidRPr="009C7CDD">
        <w:rPr>
          <w:rFonts w:cs="Times New Roman"/>
        </w:rPr>
        <w:t>at</w:t>
      </w:r>
      <w:r w:rsidR="00551D4F" w:rsidRPr="009C7CDD">
        <w:rPr>
          <w:rFonts w:cs="Times New Roman"/>
        </w:rPr>
        <w:t xml:space="preserve"> </w:t>
      </w:r>
      <w:r w:rsidR="00FE72B1" w:rsidRPr="009C7CDD">
        <w:rPr>
          <w:rFonts w:cs="Times New Roman"/>
        </w:rPr>
        <w:t>2.</w:t>
      </w:r>
    </w:p>
  </w:footnote>
  <w:footnote w:id="39">
    <w:p w14:paraId="3D91939E" w14:textId="6CE0D9EF"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FF23A0" w:rsidRPr="009C7CDD">
        <w:rPr>
          <w:rFonts w:cs="Times New Roman"/>
          <w:i/>
        </w:rPr>
        <w:t>See</w:t>
      </w:r>
      <w:r w:rsidR="002354D7" w:rsidRPr="009C7CDD">
        <w:rPr>
          <w:rFonts w:cs="Times New Roman"/>
          <w:i/>
        </w:rPr>
        <w:t xml:space="preserve"> id. </w:t>
      </w:r>
      <w:r w:rsidR="00FF23A0" w:rsidRPr="009C7CDD">
        <w:rPr>
          <w:rFonts w:cs="Times New Roman"/>
        </w:rPr>
        <w:t>at 7</w:t>
      </w:r>
      <w:r w:rsidR="00551D4F" w:rsidRPr="009C7CDD">
        <w:rPr>
          <w:rFonts w:cs="Times New Roman"/>
        </w:rPr>
        <w:t>, Table 2</w:t>
      </w:r>
      <w:r w:rsidR="00FF23A0" w:rsidRPr="009C7CDD">
        <w:rPr>
          <w:rFonts w:cs="Times New Roman"/>
        </w:rPr>
        <w:t>.</w:t>
      </w:r>
    </w:p>
  </w:footnote>
  <w:footnote w:id="40">
    <w:p w14:paraId="14D8DC42" w14:textId="1A6A7C17" w:rsidR="00CC077F" w:rsidRPr="009C7CDD" w:rsidRDefault="00CC077F"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FF23A0" w:rsidRPr="009C7CDD">
        <w:rPr>
          <w:rFonts w:cs="Times New Roman"/>
          <w:i/>
        </w:rPr>
        <w:t>See</w:t>
      </w:r>
      <w:r w:rsidR="002354D7" w:rsidRPr="009C7CDD">
        <w:rPr>
          <w:rFonts w:cs="Times New Roman"/>
          <w:i/>
        </w:rPr>
        <w:t xml:space="preserve"> id. </w:t>
      </w:r>
      <w:r w:rsidR="00FE72B1" w:rsidRPr="009C7CDD">
        <w:rPr>
          <w:rFonts w:cs="Times New Roman"/>
        </w:rPr>
        <w:t>at 4.</w:t>
      </w:r>
    </w:p>
  </w:footnote>
  <w:footnote w:id="41">
    <w:p w14:paraId="5E868ADE" w14:textId="7DF122BF" w:rsidR="00BF1D0E" w:rsidRPr="009C7CDD" w:rsidRDefault="00BF1D0E" w:rsidP="009C7CDD">
      <w:pPr>
        <w:pStyle w:val="FootnoteText"/>
        <w:spacing w:after="120"/>
        <w:rPr>
          <w:rFonts w:cs="Times New Roman"/>
          <w:highlight w:val="yellow"/>
        </w:rPr>
      </w:pPr>
      <w:r w:rsidRPr="009C7CDD">
        <w:rPr>
          <w:rStyle w:val="FootnoteReference"/>
          <w:rFonts w:cs="Times New Roman"/>
        </w:rPr>
        <w:footnoteRef/>
      </w:r>
      <w:r w:rsidRPr="009C7CDD">
        <w:rPr>
          <w:rFonts w:cs="Times New Roman"/>
        </w:rPr>
        <w:t xml:space="preserve"> </w:t>
      </w:r>
      <w:r w:rsidR="00FF23A0" w:rsidRPr="009C7CDD">
        <w:rPr>
          <w:rFonts w:cs="Times New Roman"/>
          <w:i/>
        </w:rPr>
        <w:t>See</w:t>
      </w:r>
      <w:r w:rsidR="002354D7" w:rsidRPr="009C7CDD">
        <w:rPr>
          <w:rFonts w:cs="Times New Roman"/>
          <w:i/>
        </w:rPr>
        <w:t xml:space="preserve"> id. </w:t>
      </w:r>
      <w:r w:rsidR="00FF23A0" w:rsidRPr="009C7CDD">
        <w:rPr>
          <w:rFonts w:cs="Times New Roman"/>
        </w:rPr>
        <w:t xml:space="preserve"> at</w:t>
      </w:r>
      <w:r w:rsidR="00DF6723" w:rsidRPr="009C7CDD">
        <w:rPr>
          <w:rFonts w:cs="Times New Roman"/>
        </w:rPr>
        <w:t xml:space="preserve"> </w:t>
      </w:r>
      <w:r w:rsidR="00FF23A0" w:rsidRPr="009C7CDD">
        <w:rPr>
          <w:rFonts w:cs="Times New Roman"/>
        </w:rPr>
        <w:t>10</w:t>
      </w:r>
      <w:r w:rsidRPr="009C7CDD">
        <w:rPr>
          <w:rFonts w:cs="Times New Roman"/>
        </w:rPr>
        <w:t>, Table 4.</w:t>
      </w:r>
    </w:p>
  </w:footnote>
  <w:footnote w:id="42">
    <w:p w14:paraId="6A8A5E02"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FF23A0" w:rsidRPr="009C7CDD">
        <w:rPr>
          <w:rFonts w:cs="Times New Roman"/>
          <w:i/>
        </w:rPr>
        <w:t>See</w:t>
      </w:r>
      <w:r w:rsidR="00FF23A0" w:rsidRPr="009C7CDD">
        <w:rPr>
          <w:rFonts w:cs="Times New Roman"/>
        </w:rPr>
        <w:t xml:space="preserve"> </w:t>
      </w:r>
      <w:r w:rsidR="00551D4F" w:rsidRPr="009C7CDD">
        <w:rPr>
          <w:rFonts w:cs="Times New Roman"/>
        </w:rPr>
        <w:t>CoSN Survey</w:t>
      </w:r>
      <w:r w:rsidRPr="009C7CDD">
        <w:rPr>
          <w:rFonts w:cs="Times New Roman"/>
        </w:rPr>
        <w:t xml:space="preserve"> at 12</w:t>
      </w:r>
      <w:r w:rsidR="00FF23A0" w:rsidRPr="009C7CDD">
        <w:rPr>
          <w:rFonts w:cs="Times New Roman"/>
        </w:rPr>
        <w:t>.</w:t>
      </w:r>
    </w:p>
  </w:footnote>
  <w:footnote w:id="43">
    <w:p w14:paraId="59455A20" w14:textId="77777777" w:rsidR="00DD3431" w:rsidRPr="009C7CDD" w:rsidRDefault="00DD3431"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ESH/CoSN Connectivity Model at 22.</w:t>
      </w:r>
    </w:p>
  </w:footnote>
  <w:footnote w:id="44">
    <w:p w14:paraId="549F70F0" w14:textId="77777777" w:rsidR="00DD3431" w:rsidRPr="009C7CDD" w:rsidRDefault="00DD3431"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7201CB" w:rsidRPr="009C7CDD">
        <w:rPr>
          <w:rFonts w:cs="Times New Roman"/>
          <w:i/>
        </w:rPr>
        <w:t xml:space="preserve">See supra </w:t>
      </w:r>
      <w:r w:rsidR="007201CB" w:rsidRPr="009C7CDD">
        <w:rPr>
          <w:rFonts w:cs="Times New Roman"/>
        </w:rPr>
        <w:t>note 16.</w:t>
      </w:r>
    </w:p>
  </w:footnote>
  <w:footnote w:id="45">
    <w:p w14:paraId="03BC95EF" w14:textId="77777777" w:rsidR="00DD3431" w:rsidRPr="009C7CDD" w:rsidRDefault="00DD3431"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7201CB" w:rsidRPr="009C7CDD">
        <w:rPr>
          <w:rFonts w:cs="Times New Roman"/>
          <w:i/>
        </w:rPr>
        <w:t xml:space="preserve">See </w:t>
      </w:r>
      <w:r w:rsidR="007201CB" w:rsidRPr="009C7CDD">
        <w:rPr>
          <w:rFonts w:cs="Times New Roman"/>
        </w:rPr>
        <w:t>North Carolina K12 Internet Usage Growth, Attach</w:t>
      </w:r>
      <w:r w:rsidR="009861FB" w:rsidRPr="009C7CDD">
        <w:rPr>
          <w:rFonts w:cs="Times New Roman"/>
        </w:rPr>
        <w:t>.</w:t>
      </w:r>
      <w:r w:rsidR="007201CB" w:rsidRPr="009C7CDD">
        <w:rPr>
          <w:rFonts w:cs="Times New Roman"/>
        </w:rPr>
        <w:t xml:space="preserve"> 1 at 1-2.</w:t>
      </w:r>
    </w:p>
  </w:footnote>
  <w:footnote w:id="46">
    <w:p w14:paraId="74D0B721" w14:textId="77777777" w:rsidR="00DD3431" w:rsidRPr="009C7CDD" w:rsidRDefault="00DD3431"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7201CB" w:rsidRPr="009C7CDD">
        <w:rPr>
          <w:rFonts w:cs="Times New Roman"/>
          <w:i/>
        </w:rPr>
        <w:t>Id</w:t>
      </w:r>
      <w:r w:rsidR="007201CB" w:rsidRPr="009C7CDD">
        <w:rPr>
          <w:rFonts w:cs="Times New Roman"/>
        </w:rPr>
        <w:t xml:space="preserve">. </w:t>
      </w:r>
    </w:p>
  </w:footnote>
  <w:footnote w:id="47">
    <w:p w14:paraId="060E6DDE" w14:textId="26CEF40C" w:rsidR="00DD3431" w:rsidRPr="009C7CDD" w:rsidRDefault="00DD3431"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7201CB" w:rsidRPr="009C7CDD">
        <w:rPr>
          <w:rFonts w:cs="Times New Roman"/>
          <w:i/>
        </w:rPr>
        <w:t>Id.</w:t>
      </w:r>
    </w:p>
  </w:footnote>
  <w:footnote w:id="48">
    <w:p w14:paraId="7299A14E" w14:textId="6C75312C" w:rsidR="00BF1D0E" w:rsidRPr="009C7CDD" w:rsidRDefault="00BF1D0E" w:rsidP="009C7CDD">
      <w:pPr>
        <w:pStyle w:val="FootnoteText"/>
        <w:spacing w:after="120"/>
        <w:rPr>
          <w:rFonts w:cs="Times New Roman"/>
        </w:rPr>
      </w:pPr>
      <w:r w:rsidRPr="009C7CDD">
        <w:rPr>
          <w:rStyle w:val="FootnoteReference"/>
          <w:rFonts w:cs="Times New Roman"/>
        </w:rPr>
        <w:footnoteRef/>
      </w:r>
      <w:r w:rsidR="009861FB" w:rsidRPr="009C7CDD">
        <w:rPr>
          <w:rFonts w:cs="Times New Roman"/>
          <w:i/>
        </w:rPr>
        <w:t xml:space="preserve"> </w:t>
      </w:r>
      <w:r w:rsidR="00DD3431" w:rsidRPr="009C7CDD">
        <w:rPr>
          <w:rFonts w:cs="Times New Roman"/>
          <w:i/>
        </w:rPr>
        <w:t>Id</w:t>
      </w:r>
      <w:r w:rsidR="00FF23A0" w:rsidRPr="009C7CDD">
        <w:rPr>
          <w:rFonts w:cs="Times New Roman"/>
        </w:rPr>
        <w:t xml:space="preserve">. </w:t>
      </w:r>
      <w:r w:rsidR="009861FB" w:rsidRPr="009C7CDD">
        <w:rPr>
          <w:rFonts w:cs="Times New Roman"/>
        </w:rPr>
        <w:t xml:space="preserve"> </w:t>
      </w:r>
      <w:r w:rsidRPr="009C7CDD">
        <w:rPr>
          <w:rFonts w:cs="Times New Roman"/>
        </w:rPr>
        <w:t>Similarly,</w:t>
      </w:r>
      <w:r w:rsidR="00FF23A0" w:rsidRPr="009C7CDD">
        <w:rPr>
          <w:rFonts w:cs="Times New Roman"/>
        </w:rPr>
        <w:t xml:space="preserve"> see</w:t>
      </w:r>
      <w:r w:rsidRPr="009C7CDD">
        <w:rPr>
          <w:rFonts w:cs="Times New Roman"/>
        </w:rPr>
        <w:t xml:space="preserve"> ESH/CoSN Connectivity Model, “2018 Bandwidth Needs” Tab</w:t>
      </w:r>
      <w:r w:rsidR="009861FB" w:rsidRPr="009C7CDD">
        <w:rPr>
          <w:rFonts w:cs="Times New Roman"/>
        </w:rPr>
        <w:t>, which</w:t>
      </w:r>
      <w:r w:rsidRPr="009C7CDD">
        <w:rPr>
          <w:rFonts w:cs="Times New Roman"/>
        </w:rPr>
        <w:t xml:space="preserve"> uses a 50% bandwidth growth rate for schools.</w:t>
      </w:r>
    </w:p>
  </w:footnote>
  <w:footnote w:id="49">
    <w:p w14:paraId="0ACE2E5E" w14:textId="77777777" w:rsidR="00DD3431" w:rsidRPr="009C7CDD" w:rsidRDefault="00DD3431" w:rsidP="009C7CDD">
      <w:pPr>
        <w:pStyle w:val="FootnoteText"/>
        <w:spacing w:after="120"/>
        <w:rPr>
          <w:rFonts w:cs="Times New Roman"/>
          <w:i/>
        </w:rPr>
      </w:pPr>
      <w:r w:rsidRPr="009C7CDD">
        <w:rPr>
          <w:rStyle w:val="FootnoteReference"/>
          <w:rFonts w:cs="Times New Roman"/>
        </w:rPr>
        <w:footnoteRef/>
      </w:r>
      <w:r w:rsidRPr="009C7CDD">
        <w:rPr>
          <w:rFonts w:cs="Times New Roman"/>
        </w:rPr>
        <w:t xml:space="preserve"> </w:t>
      </w:r>
      <w:r w:rsidR="006D4B01" w:rsidRPr="009C7CDD">
        <w:rPr>
          <w:rFonts w:cs="Times New Roman"/>
          <w:i/>
        </w:rPr>
        <w:t>Id.</w:t>
      </w:r>
    </w:p>
  </w:footnote>
  <w:footnote w:id="50">
    <w:p w14:paraId="22D57789" w14:textId="77777777" w:rsidR="00D05EB7" w:rsidRPr="009C7CDD" w:rsidRDefault="00D05EB7"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7201CB" w:rsidRPr="009C7CDD">
        <w:rPr>
          <w:rFonts w:cs="Times New Roman"/>
        </w:rPr>
        <w:t>North Carolina K12 Internet Usage Growth, Attach</w:t>
      </w:r>
      <w:r w:rsidR="009861FB" w:rsidRPr="009C7CDD">
        <w:rPr>
          <w:rFonts w:cs="Times New Roman"/>
        </w:rPr>
        <w:t>.</w:t>
      </w:r>
      <w:r w:rsidR="007201CB" w:rsidRPr="009C7CDD">
        <w:rPr>
          <w:rFonts w:cs="Times New Roman"/>
        </w:rPr>
        <w:t xml:space="preserve"> 1 at 1-2</w:t>
      </w:r>
      <w:r w:rsidRPr="009C7CDD">
        <w:rPr>
          <w:rFonts w:cs="Times New Roman"/>
        </w:rPr>
        <w:t>.  Note that North Carolina systematically increased connection sizes for schools as necessary to accommodate increased bandwidth usage.</w:t>
      </w:r>
    </w:p>
  </w:footnote>
  <w:footnote w:id="51">
    <w:p w14:paraId="72577CC3" w14:textId="77777777" w:rsidR="00EC5791" w:rsidRPr="009C7CDD" w:rsidRDefault="00EC5791"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Pr="009C7CDD">
        <w:rPr>
          <w:rFonts w:cs="Times New Roman"/>
          <w:i/>
        </w:rPr>
        <w:t xml:space="preserve">See </w:t>
      </w:r>
      <w:r w:rsidRPr="009C7CDD">
        <w:rPr>
          <w:rFonts w:cs="Times New Roman"/>
        </w:rPr>
        <w:t>Washington K-12 Bandwidth Utilization History.</w:t>
      </w:r>
    </w:p>
  </w:footnote>
  <w:footnote w:id="52">
    <w:p w14:paraId="215A354F" w14:textId="10E24E70"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CA2655" w:rsidRPr="009C7CDD">
        <w:rPr>
          <w:rFonts w:cs="Times New Roman"/>
          <w:i/>
        </w:rPr>
        <w:t xml:space="preserve">See </w:t>
      </w:r>
      <w:r w:rsidRPr="009C7CDD">
        <w:rPr>
          <w:rFonts w:cs="Times New Roman"/>
        </w:rPr>
        <w:t>ESH FNPRM Comments at 9-10 (stating that a price decline of 10</w:t>
      </w:r>
      <w:r w:rsidR="009861FB" w:rsidRPr="009C7CDD">
        <w:rPr>
          <w:rFonts w:cs="Times New Roman"/>
        </w:rPr>
        <w:t>%</w:t>
      </w:r>
      <w:r w:rsidRPr="009C7CDD">
        <w:rPr>
          <w:rFonts w:cs="Times New Roman"/>
        </w:rPr>
        <w:t>cannot offset a demand increase of 50</w:t>
      </w:r>
      <w:r w:rsidR="009861FB" w:rsidRPr="009C7CDD">
        <w:rPr>
          <w:rFonts w:cs="Times New Roman"/>
        </w:rPr>
        <w:t>%</w:t>
      </w:r>
      <w:r w:rsidRPr="009C7CDD">
        <w:rPr>
          <w:rFonts w:cs="Times New Roman"/>
        </w:rPr>
        <w:t>).</w:t>
      </w:r>
    </w:p>
  </w:footnote>
  <w:footnote w:id="53">
    <w:p w14:paraId="1CBBE3E7" w14:textId="54E7E2DF"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CA2655" w:rsidRPr="009C7CDD">
        <w:rPr>
          <w:rFonts w:cs="Times New Roman"/>
          <w:i/>
        </w:rPr>
        <w:t xml:space="preserve">See </w:t>
      </w:r>
      <w:r w:rsidRPr="009C7CDD">
        <w:rPr>
          <w:rFonts w:cs="Times New Roman"/>
        </w:rPr>
        <w:t>ESH/CoSN Connectivity Model</w:t>
      </w:r>
      <w:r w:rsidR="007864CB" w:rsidRPr="009C7CDD">
        <w:rPr>
          <w:rFonts w:cs="Times New Roman"/>
        </w:rPr>
        <w:t xml:space="preserve"> </w:t>
      </w:r>
      <w:r w:rsidRPr="009C7CDD">
        <w:rPr>
          <w:rFonts w:cs="Times New Roman"/>
        </w:rPr>
        <w:t xml:space="preserve"> at “Summary” Tab.  In Scenario 3 (the middle-cost scenario) for 2015, dividing the Internet Access cost of $894 million by the $3.734 billion yields 24%.  Doing the same for 2018 yields 40%.</w:t>
      </w:r>
    </w:p>
  </w:footnote>
  <w:footnote w:id="54">
    <w:p w14:paraId="6F22E457" w14:textId="339A709D" w:rsidR="00CD7920" w:rsidRPr="009C7CDD" w:rsidRDefault="00CD7920" w:rsidP="009C7CDD">
      <w:pPr>
        <w:pStyle w:val="FootnoteText"/>
        <w:spacing w:after="120"/>
        <w:rPr>
          <w:rFonts w:cs="Times New Roman"/>
        </w:rPr>
      </w:pPr>
      <w:r w:rsidRPr="009C7CDD">
        <w:rPr>
          <w:rStyle w:val="FootnoteReference"/>
          <w:rFonts w:cs="Times New Roman"/>
        </w:rPr>
        <w:footnoteRef/>
      </w:r>
      <w:r w:rsidR="009C7CDD">
        <w:rPr>
          <w:rFonts w:cs="Times New Roman"/>
        </w:rPr>
        <w:t xml:space="preserve"> </w:t>
      </w:r>
      <w:r w:rsidR="00CA2655" w:rsidRPr="009C7CDD">
        <w:rPr>
          <w:rFonts w:cs="Times New Roman"/>
          <w:i/>
        </w:rPr>
        <w:t xml:space="preserve">See </w:t>
      </w:r>
      <w:r w:rsidRPr="009C7CDD">
        <w:rPr>
          <w:rFonts w:cs="Times New Roman"/>
        </w:rPr>
        <w:t>ESH/CoSN Connectivity Model at “Fiber Construction” Tab.</w:t>
      </w:r>
    </w:p>
  </w:footnote>
  <w:footnote w:id="55">
    <w:p w14:paraId="289ECC20" w14:textId="77777777" w:rsidR="00CD7920" w:rsidRPr="009C7CDD" w:rsidRDefault="00CD7920"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SHLB Coalition Model at 4.</w:t>
      </w:r>
    </w:p>
  </w:footnote>
  <w:footnote w:id="56">
    <w:p w14:paraId="6F09BE77" w14:textId="77777777" w:rsidR="00CD7920" w:rsidRPr="009C7CDD" w:rsidRDefault="00CD7920"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ALA FNPRM Comments at 9.</w:t>
      </w:r>
    </w:p>
  </w:footnote>
  <w:footnote w:id="57">
    <w:p w14:paraId="63DCC913" w14:textId="54ADCF78" w:rsidR="00BF1D0E" w:rsidRPr="009C7CDD" w:rsidRDefault="00BF1D0E" w:rsidP="009C7CDD">
      <w:pPr>
        <w:pStyle w:val="FootnoteText"/>
        <w:spacing w:after="120"/>
        <w:rPr>
          <w:rFonts w:cs="Times New Roman"/>
          <w:highlight w:val="yellow"/>
        </w:rPr>
      </w:pPr>
      <w:r w:rsidRPr="009C7CDD">
        <w:rPr>
          <w:rStyle w:val="FootnoteReference"/>
          <w:rFonts w:cs="Times New Roman"/>
        </w:rPr>
        <w:footnoteRef/>
      </w:r>
      <w:r w:rsidRPr="009C7CDD">
        <w:rPr>
          <w:rFonts w:cs="Times New Roman"/>
        </w:rPr>
        <w:t xml:space="preserve"> </w:t>
      </w:r>
      <w:r w:rsidR="00AB30E7" w:rsidRPr="009C7CDD">
        <w:rPr>
          <w:rFonts w:cs="Times New Roman"/>
          <w:i/>
        </w:rPr>
        <w:t>See E-rate Modernization Order</w:t>
      </w:r>
      <w:r w:rsidR="00AB30E7" w:rsidRPr="009C7CDD">
        <w:rPr>
          <w:rFonts w:cs="Times New Roman"/>
        </w:rPr>
        <w:t>, 29 FCC Rcd at 8916, para. 118; 8922-34, paras. 135-54.</w:t>
      </w:r>
    </w:p>
  </w:footnote>
  <w:footnote w:id="58">
    <w:p w14:paraId="281AC2D5"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F8206E" w:rsidRPr="009C7CDD">
        <w:rPr>
          <w:rFonts w:cs="Times New Roman"/>
          <w:i/>
        </w:rPr>
        <w:t xml:space="preserve">See </w:t>
      </w:r>
      <w:r w:rsidR="00551D4F" w:rsidRPr="009C7CDD">
        <w:rPr>
          <w:rFonts w:cs="Times New Roman"/>
        </w:rPr>
        <w:t>ESH/CoSN Connectivity Model; SHLB Coalition Model</w:t>
      </w:r>
      <w:r w:rsidR="00F8206E" w:rsidRPr="009C7CDD">
        <w:rPr>
          <w:rFonts w:cs="Times New Roman"/>
        </w:rPr>
        <w:t>.</w:t>
      </w:r>
    </w:p>
  </w:footnote>
  <w:footnote w:id="59">
    <w:p w14:paraId="25B1328F"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CAPEX is capital expenditures (e.g., money used to build fiber connections or hardware) and OPEX is operating expenses (primarily, the monthly recurring charge for the circuit).</w:t>
      </w:r>
    </w:p>
  </w:footnote>
  <w:footnote w:id="60">
    <w:p w14:paraId="3FF7A052" w14:textId="47816446" w:rsidR="00FF52D7" w:rsidRPr="009C7CDD" w:rsidRDefault="00FF52D7" w:rsidP="009C7CDD">
      <w:pPr>
        <w:pStyle w:val="FootnoteText"/>
        <w:spacing w:after="120"/>
        <w:rPr>
          <w:rFonts w:cs="Times New Roman"/>
          <w:highlight w:val="yellow"/>
        </w:rPr>
      </w:pPr>
      <w:r w:rsidRPr="009C7CDD">
        <w:rPr>
          <w:rStyle w:val="FootnoteReference"/>
          <w:rFonts w:cs="Times New Roman"/>
        </w:rPr>
        <w:footnoteRef/>
      </w:r>
      <w:r w:rsidRPr="009C7CDD">
        <w:rPr>
          <w:rFonts w:cs="Times New Roman"/>
        </w:rPr>
        <w:t xml:space="preserve"> </w:t>
      </w:r>
      <w:r w:rsidR="00F8206E" w:rsidRPr="009C7CDD">
        <w:rPr>
          <w:rFonts w:cs="Times New Roman"/>
        </w:rPr>
        <w:t xml:space="preserve">ESH/CoSN only included schools with at least 100 students since the model intends to estimate the cost of meeting the goals through fiber connections.  ESH/CoSN assume the smallest schools can meet the goals without necessarily needing a fiber connection.  </w:t>
      </w:r>
      <w:r w:rsidR="00F8206E" w:rsidRPr="009C7CDD">
        <w:rPr>
          <w:rFonts w:cs="Times New Roman"/>
          <w:i/>
        </w:rPr>
        <w:t xml:space="preserve">See </w:t>
      </w:r>
      <w:r w:rsidR="00F8206E" w:rsidRPr="009C7CDD">
        <w:rPr>
          <w:rFonts w:cs="Times New Roman"/>
        </w:rPr>
        <w:t>ESH/CoSN Connectivity Model at 3, n.5.</w:t>
      </w:r>
      <w:r w:rsidR="00306C76" w:rsidRPr="009C7CDD">
        <w:rPr>
          <w:rFonts w:cs="Times New Roman"/>
        </w:rPr>
        <w:t xml:space="preserve"> </w:t>
      </w:r>
      <w:r w:rsidR="00F8206E" w:rsidRPr="009C7CDD">
        <w:rPr>
          <w:rFonts w:cs="Times New Roman"/>
        </w:rPr>
        <w:t xml:space="preserve">ESH/CoSN also submitted a more limited analysis estimating OPEX costs for private schools and libraries.   </w:t>
      </w:r>
      <w:r w:rsidR="00F8206E" w:rsidRPr="009C7CDD">
        <w:rPr>
          <w:rFonts w:cs="Times New Roman"/>
          <w:i/>
        </w:rPr>
        <w:t xml:space="preserve">See </w:t>
      </w:r>
      <w:r w:rsidR="00F8206E" w:rsidRPr="009C7CDD">
        <w:rPr>
          <w:rFonts w:cs="Times New Roman"/>
        </w:rPr>
        <w:t>Letter from Evan Marwell, CEO, EducationSuperHighway, to Marlene H. Dortch, Secretary, FCC, WC Docket No. 13-184, at Attach. (filed Nov. 5, 2014) (ESH Nov. 5</w:t>
      </w:r>
      <w:r w:rsidR="00F8206E" w:rsidRPr="009C7CDD">
        <w:rPr>
          <w:rFonts w:cs="Times New Roman"/>
          <w:vertAlign w:val="superscript"/>
        </w:rPr>
        <w:t>th</w:t>
      </w:r>
      <w:r w:rsidR="00F8206E" w:rsidRPr="009C7CDD">
        <w:rPr>
          <w:rFonts w:cs="Times New Roman"/>
        </w:rPr>
        <w:t xml:space="preserve"> </w:t>
      </w:r>
      <w:r w:rsidR="00F8206E" w:rsidRPr="009C7CDD">
        <w:rPr>
          <w:rFonts w:cs="Times New Roman"/>
          <w:i/>
        </w:rPr>
        <w:t xml:space="preserve">Ex Parte </w:t>
      </w:r>
      <w:r w:rsidR="00F8206E" w:rsidRPr="009C7CDD">
        <w:rPr>
          <w:rFonts w:cs="Times New Roman"/>
        </w:rPr>
        <w:t>Letter).</w:t>
      </w:r>
    </w:p>
  </w:footnote>
  <w:footnote w:id="61">
    <w:p w14:paraId="19CE456E"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Note the baseline ESH/CoSN model only includes natural price declines and does not include possible price declines that may be realized due to pricing efficiencies. </w:t>
      </w:r>
    </w:p>
  </w:footnote>
  <w:footnote w:id="62">
    <w:p w14:paraId="194A460F"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ESH/CoSN submitted an Excel workbook with their model that used an average 90% discount factor for non-recurring fiber construction costs.</w:t>
      </w:r>
      <w:r w:rsidR="008723FF" w:rsidRPr="009C7CDD">
        <w:rPr>
          <w:rFonts w:cs="Times New Roman"/>
        </w:rPr>
        <w:t xml:space="preserve"> </w:t>
      </w:r>
      <w:r w:rsidR="008723FF" w:rsidRPr="009C7CDD">
        <w:rPr>
          <w:rFonts w:cs="Times New Roman"/>
          <w:i/>
        </w:rPr>
        <w:t>See</w:t>
      </w:r>
      <w:r w:rsidR="008723FF" w:rsidRPr="009C7CDD">
        <w:rPr>
          <w:rFonts w:cs="Times New Roman"/>
        </w:rPr>
        <w:t xml:space="preserve"> ESH/CoSN Connectivity Model.</w:t>
      </w:r>
      <w:r w:rsidRPr="009C7CDD">
        <w:rPr>
          <w:rFonts w:cs="Times New Roman"/>
        </w:rPr>
        <w:t xml:space="preserve">  Throughout this report, we refer to model outputs resul</w:t>
      </w:r>
      <w:r w:rsidR="001936BC" w:rsidRPr="009C7CDD">
        <w:rPr>
          <w:rFonts w:cs="Times New Roman"/>
        </w:rPr>
        <w:t>ting for the use of an average 69</w:t>
      </w:r>
      <w:r w:rsidRPr="009C7CDD">
        <w:rPr>
          <w:rFonts w:cs="Times New Roman"/>
        </w:rPr>
        <w:t xml:space="preserve">% discount factor for all types of purchases, including fiber construction. </w:t>
      </w:r>
    </w:p>
  </w:footnote>
  <w:footnote w:id="63">
    <w:p w14:paraId="516E70A9" w14:textId="77777777" w:rsidR="007201CB" w:rsidRPr="009C7CDD" w:rsidRDefault="007201CB" w:rsidP="009C7CDD">
      <w:pPr>
        <w:pStyle w:val="FootnoteText"/>
        <w:spacing w:after="120"/>
        <w:rPr>
          <w:rFonts w:cs="Times New Roman"/>
          <w:i/>
        </w:rPr>
      </w:pPr>
      <w:r w:rsidRPr="009C7CDD">
        <w:rPr>
          <w:rStyle w:val="FootnoteReference"/>
          <w:rFonts w:cs="Times New Roman"/>
        </w:rPr>
        <w:footnoteRef/>
      </w:r>
      <w:r w:rsidRPr="009C7CDD">
        <w:rPr>
          <w:rFonts w:cs="Times New Roman"/>
        </w:rPr>
        <w:t xml:space="preserve"> </w:t>
      </w:r>
      <w:r w:rsidR="00001043" w:rsidRPr="009C7CDD">
        <w:rPr>
          <w:rFonts w:cs="Times New Roman"/>
        </w:rPr>
        <w:t>SHLB Model at 1</w:t>
      </w:r>
      <w:r w:rsidR="00001043" w:rsidRPr="009C7CDD">
        <w:rPr>
          <w:rFonts w:cs="Times New Roman"/>
          <w:i/>
        </w:rPr>
        <w:t xml:space="preserve">. </w:t>
      </w:r>
    </w:p>
  </w:footnote>
  <w:footnote w:id="64">
    <w:p w14:paraId="14E4DA9D" w14:textId="77777777" w:rsidR="007201CB" w:rsidRPr="009C7CDD" w:rsidRDefault="007201CB"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001043" w:rsidRPr="009C7CDD">
        <w:rPr>
          <w:rFonts w:cs="Times New Roman"/>
          <w:i/>
        </w:rPr>
        <w:t>Id</w:t>
      </w:r>
      <w:r w:rsidR="00001043" w:rsidRPr="009C7CDD">
        <w:rPr>
          <w:rFonts w:cs="Times New Roman"/>
        </w:rPr>
        <w:t>. at 31, 32, 34.</w:t>
      </w:r>
    </w:p>
  </w:footnote>
  <w:footnote w:id="65">
    <w:p w14:paraId="2AA37CFF"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1936BC" w:rsidRPr="009C7CDD">
        <w:rPr>
          <w:rFonts w:cs="Times New Roman"/>
          <w:i/>
        </w:rPr>
        <w:t xml:space="preserve">See </w:t>
      </w:r>
      <w:r w:rsidRPr="009C7CDD">
        <w:rPr>
          <w:rFonts w:cs="Times New Roman"/>
        </w:rPr>
        <w:t>ESH</w:t>
      </w:r>
      <w:r w:rsidR="00551D4F" w:rsidRPr="009C7CDD">
        <w:rPr>
          <w:rFonts w:cs="Times New Roman"/>
        </w:rPr>
        <w:t xml:space="preserve"> FNPRM comments</w:t>
      </w:r>
      <w:r w:rsidRPr="009C7CDD">
        <w:rPr>
          <w:rFonts w:cs="Times New Roman"/>
        </w:rPr>
        <w:t xml:space="preserve"> at 12</w:t>
      </w:r>
      <w:r w:rsidR="007201CB" w:rsidRPr="009C7CDD">
        <w:rPr>
          <w:rFonts w:cs="Times New Roman"/>
        </w:rPr>
        <w:t>.</w:t>
      </w:r>
    </w:p>
  </w:footnote>
  <w:footnote w:id="66">
    <w:p w14:paraId="5CFF12CF"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00E00D09" w:rsidRPr="009C7CDD">
        <w:rPr>
          <w:rFonts w:cs="Times New Roman"/>
        </w:rPr>
        <w:t xml:space="preserve"> SHLB provides a high </w:t>
      </w:r>
      <w:r w:rsidRPr="009C7CDD">
        <w:rPr>
          <w:rFonts w:cs="Times New Roman"/>
        </w:rPr>
        <w:t>and low estimate for CAPEX costs to close the gap for schools.  SHLB provides a single estimate of CAPEX costs for libraries.</w:t>
      </w:r>
      <w:r w:rsidR="001936BC" w:rsidRPr="009C7CDD">
        <w:rPr>
          <w:rFonts w:cs="Times New Roman"/>
        </w:rPr>
        <w:t xml:space="preserve">  </w:t>
      </w:r>
      <w:r w:rsidR="001936BC" w:rsidRPr="009C7CDD">
        <w:rPr>
          <w:rFonts w:cs="Times New Roman"/>
          <w:i/>
        </w:rPr>
        <w:t>See</w:t>
      </w:r>
      <w:r w:rsidR="001936BC" w:rsidRPr="009C7CDD">
        <w:rPr>
          <w:rFonts w:cs="Times New Roman"/>
        </w:rPr>
        <w:t xml:space="preserve"> SHLB Coalition Model at 31-32, 34.</w:t>
      </w:r>
      <w:r w:rsidRPr="009C7CDD">
        <w:rPr>
          <w:rFonts w:cs="Times New Roman"/>
        </w:rPr>
        <w:t xml:space="preserve"> </w:t>
      </w:r>
    </w:p>
  </w:footnote>
  <w:footnote w:id="67">
    <w:p w14:paraId="408176AD" w14:textId="77777777" w:rsidR="00001043" w:rsidRPr="009C7CDD" w:rsidRDefault="00001043"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665FA1" w:rsidRPr="009C7CDD">
        <w:rPr>
          <w:rFonts w:cs="Times New Roman"/>
        </w:rPr>
        <w:t xml:space="preserve">ESH/CoSN Connectivity Model at 7, </w:t>
      </w:r>
      <w:r w:rsidR="00435D55" w:rsidRPr="009C7CDD">
        <w:rPr>
          <w:rFonts w:cs="Times New Roman"/>
        </w:rPr>
        <w:t>“Model Summary” Tab</w:t>
      </w:r>
      <w:r w:rsidR="00665FA1" w:rsidRPr="009C7CDD">
        <w:rPr>
          <w:rFonts w:cs="Times New Roman"/>
        </w:rPr>
        <w:t xml:space="preserve"> (“All locales” non-recurring cost for fiber construction: $4,050,571,704).</w:t>
      </w:r>
    </w:p>
  </w:footnote>
  <w:footnote w:id="68">
    <w:p w14:paraId="41B29EC4"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By “pure” OPEX we mean to exclude CAPEX that is paid for through recurring monthly charges.  ESH/CoSN identify this type of OPEX in the “Model Summary” tab as “Allowance for</w:t>
      </w:r>
      <w:r w:rsidR="001936BC" w:rsidRPr="009C7CDD">
        <w:rPr>
          <w:rFonts w:cs="Times New Roman"/>
        </w:rPr>
        <w:t xml:space="preserve"> new builds paid through OPEX.”  </w:t>
      </w:r>
      <w:r w:rsidR="001936BC" w:rsidRPr="009C7CDD">
        <w:rPr>
          <w:rFonts w:cs="Times New Roman"/>
          <w:i/>
        </w:rPr>
        <w:t>See</w:t>
      </w:r>
      <w:r w:rsidR="001936BC" w:rsidRPr="009C7CDD">
        <w:rPr>
          <w:rFonts w:cs="Times New Roman"/>
        </w:rPr>
        <w:t xml:space="preserve"> ESH/CoSN Connectivity Model.</w:t>
      </w:r>
      <w:r w:rsidRPr="009C7CDD">
        <w:rPr>
          <w:rFonts w:cs="Times New Roman"/>
        </w:rPr>
        <w:t xml:space="preserve"> </w:t>
      </w:r>
      <w:r w:rsidR="007864CB" w:rsidRPr="009C7CDD">
        <w:rPr>
          <w:rFonts w:cs="Times New Roman"/>
        </w:rPr>
        <w:t xml:space="preserve"> </w:t>
      </w:r>
      <w:r w:rsidRPr="009C7CDD">
        <w:rPr>
          <w:rFonts w:cs="Times New Roman"/>
        </w:rPr>
        <w:t xml:space="preserve">These CAPEX costs in this paper for comparison purposes with other CAPEX models are included in the ESH CAPEX totals. </w:t>
      </w:r>
    </w:p>
  </w:footnote>
  <w:footnote w:id="69">
    <w:p w14:paraId="7C81AFD3" w14:textId="49F0A606" w:rsidR="00665FA1" w:rsidRPr="009C7CDD" w:rsidRDefault="00665FA1"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3614C7" w:rsidRPr="009C7CDD">
        <w:rPr>
          <w:rFonts w:cs="Times New Roman"/>
          <w:i/>
        </w:rPr>
        <w:t xml:space="preserve">See </w:t>
      </w:r>
      <w:r w:rsidR="003614C7" w:rsidRPr="009C7CDD">
        <w:rPr>
          <w:rFonts w:cs="Times New Roman"/>
        </w:rPr>
        <w:t xml:space="preserve">ESH/CoSN Connectivity Model at </w:t>
      </w:r>
      <w:r w:rsidR="00386E99" w:rsidRPr="009C7CDD">
        <w:rPr>
          <w:rFonts w:cs="Times New Roman"/>
        </w:rPr>
        <w:t>“Model Summary” Tab</w:t>
      </w:r>
      <w:r w:rsidR="003614C7" w:rsidRPr="009C7CDD">
        <w:rPr>
          <w:rFonts w:cs="Times New Roman"/>
        </w:rPr>
        <w:t xml:space="preserve"> (</w:t>
      </w:r>
      <w:r w:rsidR="00386E99" w:rsidRPr="009C7CDD">
        <w:rPr>
          <w:rFonts w:cs="Times New Roman"/>
        </w:rPr>
        <w:t>Calculated by applying a 69% discount factor to the sum for each scenario in 2018 of the total cost estimates for Internet access, District WAN, and copper-based service</w:t>
      </w:r>
      <w:r w:rsidR="003614C7" w:rsidRPr="009C7CDD">
        <w:rPr>
          <w:rFonts w:cs="Times New Roman"/>
        </w:rPr>
        <w:t>)</w:t>
      </w:r>
      <w:r w:rsidR="00306C76" w:rsidRPr="009C7CDD">
        <w:rPr>
          <w:rFonts w:cs="Times New Roman"/>
        </w:rPr>
        <w:t>.</w:t>
      </w:r>
    </w:p>
  </w:footnote>
  <w:footnote w:id="70">
    <w:p w14:paraId="16431DB4" w14:textId="77777777" w:rsidR="003614C7" w:rsidRPr="009C7CDD" w:rsidRDefault="003614C7"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1E6F04" w:rsidRPr="009C7CDD">
        <w:rPr>
          <w:rFonts w:cs="Times New Roman"/>
        </w:rPr>
        <w:t>ESH Nov. 5</w:t>
      </w:r>
      <w:r w:rsidR="001E6F04" w:rsidRPr="009C7CDD">
        <w:rPr>
          <w:rFonts w:cs="Times New Roman"/>
          <w:vertAlign w:val="superscript"/>
        </w:rPr>
        <w:t>th</w:t>
      </w:r>
      <w:r w:rsidR="001E6F04" w:rsidRPr="009C7CDD">
        <w:rPr>
          <w:rFonts w:cs="Times New Roman"/>
        </w:rPr>
        <w:t xml:space="preserve"> </w:t>
      </w:r>
      <w:r w:rsidR="001E6F04" w:rsidRPr="009C7CDD">
        <w:rPr>
          <w:rFonts w:cs="Times New Roman"/>
          <w:i/>
        </w:rPr>
        <w:t xml:space="preserve">Ex Parte </w:t>
      </w:r>
      <w:r w:rsidR="001E6F04" w:rsidRPr="009C7CDD">
        <w:rPr>
          <w:rFonts w:cs="Times New Roman"/>
        </w:rPr>
        <w:t>Letter, Attach</w:t>
      </w:r>
      <w:r w:rsidR="007864CB" w:rsidRPr="009C7CDD">
        <w:rPr>
          <w:rFonts w:cs="Times New Roman"/>
        </w:rPr>
        <w:t>.</w:t>
      </w:r>
      <w:r w:rsidR="001E6F04" w:rsidRPr="009C7CDD">
        <w:rPr>
          <w:rFonts w:cs="Times New Roman"/>
        </w:rPr>
        <w:t xml:space="preserve"> 1.</w:t>
      </w:r>
    </w:p>
  </w:footnote>
  <w:footnote w:id="71">
    <w:p w14:paraId="27D7332C" w14:textId="77777777" w:rsidR="003614C7" w:rsidRPr="009C7CDD" w:rsidRDefault="003614C7" w:rsidP="009C7CDD">
      <w:pPr>
        <w:pStyle w:val="FootnoteText"/>
        <w:spacing w:after="120"/>
        <w:rPr>
          <w:rFonts w:cs="Times New Roman"/>
          <w:i/>
        </w:rPr>
      </w:pPr>
      <w:r w:rsidRPr="009C7CDD">
        <w:rPr>
          <w:rStyle w:val="FootnoteReference"/>
          <w:rFonts w:cs="Times New Roman"/>
        </w:rPr>
        <w:footnoteRef/>
      </w:r>
      <w:r w:rsidRPr="009C7CDD">
        <w:rPr>
          <w:rFonts w:cs="Times New Roman"/>
        </w:rPr>
        <w:t xml:space="preserve"> </w:t>
      </w:r>
      <w:r w:rsidR="001E6F04" w:rsidRPr="009C7CDD">
        <w:rPr>
          <w:rFonts w:cs="Times New Roman"/>
          <w:i/>
        </w:rPr>
        <w:t>Id.</w:t>
      </w:r>
    </w:p>
  </w:footnote>
  <w:footnote w:id="72">
    <w:p w14:paraId="05D2DBFB" w14:textId="77777777" w:rsidR="003614C7" w:rsidRPr="009C7CDD" w:rsidRDefault="003614C7" w:rsidP="009C7CDD">
      <w:pPr>
        <w:pStyle w:val="FootnoteText"/>
        <w:spacing w:after="120"/>
        <w:rPr>
          <w:rFonts w:cs="Times New Roman"/>
          <w:i/>
        </w:rPr>
      </w:pPr>
      <w:r w:rsidRPr="009C7CDD">
        <w:rPr>
          <w:rStyle w:val="FootnoteReference"/>
          <w:rFonts w:cs="Times New Roman"/>
        </w:rPr>
        <w:footnoteRef/>
      </w:r>
      <w:r w:rsidRPr="009C7CDD">
        <w:rPr>
          <w:rFonts w:cs="Times New Roman"/>
        </w:rPr>
        <w:t xml:space="preserve"> </w:t>
      </w:r>
      <w:r w:rsidR="001E6F04" w:rsidRPr="009C7CDD">
        <w:rPr>
          <w:rFonts w:cs="Times New Roman"/>
          <w:i/>
        </w:rPr>
        <w:t>Id.</w:t>
      </w:r>
    </w:p>
  </w:footnote>
  <w:footnote w:id="73">
    <w:p w14:paraId="054DDA1E" w14:textId="77777777" w:rsidR="001E6F04" w:rsidRPr="009C7CDD" w:rsidRDefault="001E6F04"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ESH/CoSN Connectivity Model at 13, “Service Pricing” Tab.</w:t>
      </w:r>
    </w:p>
  </w:footnote>
  <w:footnote w:id="74">
    <w:p w14:paraId="16B571A4"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According to the ESH/CoSN Connectivity Model, at “Service Pricing” Tab, the monthly price for a gigabit circuit in 2014 will be $6,661, which is 0.9*$7,401 (the price of a gigabit circuit in 2013).   In 2018, the same circuit will be less expensive because of four more years of 10% price declines (i.e., $4,370=$6,661*0.9*0.9*0.9*0.9).</w:t>
      </w:r>
    </w:p>
  </w:footnote>
  <w:footnote w:id="75">
    <w:p w14:paraId="49D551A8" w14:textId="77777777" w:rsidR="00435D55" w:rsidRPr="009C7CDD" w:rsidRDefault="00435D55"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ESH/CoSN Connectivity Model at 7, “Model Summary” Tab.</w:t>
      </w:r>
    </w:p>
  </w:footnote>
  <w:footnote w:id="76">
    <w:p w14:paraId="17AA72E6" w14:textId="77777777" w:rsidR="00435D55" w:rsidRPr="009C7CDD" w:rsidRDefault="00435D55" w:rsidP="009C7CDD">
      <w:pPr>
        <w:pStyle w:val="FootnoteText"/>
        <w:spacing w:after="120"/>
        <w:rPr>
          <w:rFonts w:cs="Times New Roman"/>
          <w:i/>
        </w:rPr>
      </w:pPr>
      <w:r w:rsidRPr="009C7CDD">
        <w:rPr>
          <w:rStyle w:val="FootnoteReference"/>
          <w:rFonts w:cs="Times New Roman"/>
        </w:rPr>
        <w:footnoteRef/>
      </w:r>
      <w:r w:rsidRPr="009C7CDD">
        <w:rPr>
          <w:rFonts w:cs="Times New Roman"/>
        </w:rPr>
        <w:t xml:space="preserve"> </w:t>
      </w:r>
      <w:r w:rsidRPr="009C7CDD">
        <w:rPr>
          <w:rFonts w:cs="Times New Roman"/>
          <w:i/>
        </w:rPr>
        <w:t>Id.</w:t>
      </w:r>
    </w:p>
  </w:footnote>
  <w:footnote w:id="77">
    <w:p w14:paraId="0106A55E"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Pr="009C7CDD">
        <w:rPr>
          <w:rFonts w:cs="Times New Roman"/>
          <w:i/>
          <w:iCs/>
        </w:rPr>
        <w:t>See, e.g.</w:t>
      </w:r>
      <w:r w:rsidRPr="009C7CDD">
        <w:rPr>
          <w:rFonts w:cs="Times New Roman"/>
        </w:rPr>
        <w:t>, Conterra PN Reply Comments at 2-3 (it takes at least two years to build broadband infrastructure under greenfield circumstances); COMPTEL NPRM Reply Comments at 5 (the FCC must emphasize to applicants the importance of providing potential bidders adequate lead tim</w:t>
      </w:r>
      <w:r w:rsidR="00551D4F" w:rsidRPr="009C7CDD">
        <w:rPr>
          <w:rFonts w:cs="Times New Roman"/>
        </w:rPr>
        <w:t>e for build projects</w:t>
      </w:r>
      <w:r w:rsidRPr="009C7CDD">
        <w:rPr>
          <w:rFonts w:cs="Times New Roman"/>
        </w:rPr>
        <w:t xml:space="preserve"> because service providers may decline to participate in the process because they cannot meet the time deadlines).</w:t>
      </w:r>
    </w:p>
  </w:footnote>
  <w:footnote w:id="78">
    <w:p w14:paraId="7702C962"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1936BC" w:rsidRPr="009C7CDD">
        <w:rPr>
          <w:rFonts w:cs="Times New Roman"/>
          <w:i/>
        </w:rPr>
        <w:t xml:space="preserve">See </w:t>
      </w:r>
      <w:r w:rsidRPr="009C7CDD">
        <w:rPr>
          <w:rFonts w:cs="Times New Roman"/>
        </w:rPr>
        <w:t>ESH/CoSN Connectivity Model at 6.</w:t>
      </w:r>
    </w:p>
  </w:footnote>
  <w:footnote w:id="79">
    <w:p w14:paraId="40F4A452"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1936BC" w:rsidRPr="009C7CDD">
        <w:rPr>
          <w:rFonts w:cs="Times New Roman"/>
          <w:i/>
        </w:rPr>
        <w:t xml:space="preserve">See </w:t>
      </w:r>
      <w:r w:rsidRPr="009C7CDD">
        <w:rPr>
          <w:rFonts w:cs="Times New Roman"/>
        </w:rPr>
        <w:t xml:space="preserve">ESH </w:t>
      </w:r>
      <w:r w:rsidR="00C4340F" w:rsidRPr="009C7CDD">
        <w:rPr>
          <w:rFonts w:cs="Times New Roman"/>
        </w:rPr>
        <w:t>E-rate</w:t>
      </w:r>
      <w:r w:rsidRPr="009C7CDD">
        <w:rPr>
          <w:rFonts w:cs="Times New Roman"/>
        </w:rPr>
        <w:t xml:space="preserve"> Policy </w:t>
      </w:r>
      <w:r w:rsidR="001936BC" w:rsidRPr="009C7CDD">
        <w:rPr>
          <w:rFonts w:cs="Times New Roman"/>
        </w:rPr>
        <w:t>Options Analysis</w:t>
      </w:r>
      <w:r w:rsidRPr="009C7CDD">
        <w:rPr>
          <w:rFonts w:cs="Times New Roman"/>
        </w:rPr>
        <w:t xml:space="preserve"> at Appendix A.</w:t>
      </w:r>
    </w:p>
  </w:footnote>
  <w:footnote w:id="80">
    <w:p w14:paraId="0450BC94"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1936BC" w:rsidRPr="009C7CDD">
        <w:rPr>
          <w:rFonts w:cs="Times New Roman"/>
          <w:i/>
        </w:rPr>
        <w:t>See id</w:t>
      </w:r>
      <w:r w:rsidRPr="009C7CDD">
        <w:rPr>
          <w:rFonts w:cs="Times New Roman"/>
        </w:rPr>
        <w:t>.</w:t>
      </w:r>
    </w:p>
  </w:footnote>
  <w:footnote w:id="81">
    <w:p w14:paraId="285F24A0"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1936BC" w:rsidRPr="009C7CDD">
        <w:rPr>
          <w:rFonts w:cs="Times New Roman"/>
          <w:i/>
        </w:rPr>
        <w:t>See id.</w:t>
      </w:r>
      <w:r w:rsidRPr="009C7CDD">
        <w:rPr>
          <w:rFonts w:cs="Times New Roman"/>
        </w:rPr>
        <w:t xml:space="preserve"> at 1.</w:t>
      </w:r>
    </w:p>
  </w:footnote>
  <w:footnote w:id="82">
    <w:p w14:paraId="650CE411" w14:textId="06F2E1E6"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Pr="009C7CDD">
        <w:rPr>
          <w:rFonts w:cs="Times New Roman"/>
          <w:i/>
        </w:rPr>
        <w:t>See generally</w:t>
      </w:r>
      <w:r w:rsidRPr="009C7CDD">
        <w:rPr>
          <w:rFonts w:cs="Times New Roman"/>
        </w:rPr>
        <w:t xml:space="preserve"> </w:t>
      </w:r>
      <w:r w:rsidR="001936BC" w:rsidRPr="009C7CDD">
        <w:rPr>
          <w:rFonts w:cs="Times New Roman"/>
        </w:rPr>
        <w:t xml:space="preserve">Federal Communications Commission, Contribution Factor &amp; Quarterly Filings, </w:t>
      </w:r>
      <w:hyperlink r:id="rId5" w:history="1">
        <w:r w:rsidR="001936BC" w:rsidRPr="009C7CDD">
          <w:rPr>
            <w:rStyle w:val="Hyperlink"/>
            <w:rFonts w:cs="Times New Roman"/>
          </w:rPr>
          <w:t>http://www.fcc.gov/encyclopedia/contribution-factor-quarterly-filings-universal-service-fund-usf-management-support</w:t>
        </w:r>
      </w:hyperlink>
      <w:r w:rsidR="001936BC" w:rsidRPr="009C7CDD">
        <w:rPr>
          <w:rFonts w:cs="Times New Roman"/>
        </w:rPr>
        <w:t xml:space="preserve"> (last visited Nov. 13, 2014).</w:t>
      </w:r>
    </w:p>
  </w:footnote>
  <w:footnote w:id="83">
    <w:p w14:paraId="3A964721"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Pr="009C7CDD">
        <w:rPr>
          <w:rFonts w:cs="Times New Roman"/>
          <w:i/>
        </w:rPr>
        <w:t>See</w:t>
      </w:r>
      <w:r w:rsidRPr="009C7CDD">
        <w:rPr>
          <w:rFonts w:cs="Times New Roman"/>
        </w:rPr>
        <w:t xml:space="preserve"> </w:t>
      </w:r>
      <w:r w:rsidRPr="009C7CDD">
        <w:rPr>
          <w:rFonts w:cs="Times New Roman"/>
          <w:i/>
        </w:rPr>
        <w:t>Proposed Fourth Quarter 2014 Universal Service Contribution Factor</w:t>
      </w:r>
      <w:r w:rsidRPr="009C7CDD">
        <w:rPr>
          <w:rFonts w:cs="Times New Roman"/>
        </w:rPr>
        <w:t>, CC Docket No. 96-45, Public Notice DA14-1315 (rel. Sept. 11, 2014).</w:t>
      </w:r>
    </w:p>
  </w:footnote>
  <w:footnote w:id="84">
    <w:p w14:paraId="3233867E" w14:textId="5052A52A"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The annual </w:t>
      </w:r>
      <w:r w:rsidRPr="009C7CDD">
        <w:rPr>
          <w:rFonts w:cs="Times New Roman"/>
          <w:i/>
        </w:rPr>
        <w:t xml:space="preserve">Universal Service Monitoring Report </w:t>
      </w:r>
      <w:r w:rsidRPr="009C7CDD">
        <w:rPr>
          <w:rFonts w:cs="Times New Roman"/>
        </w:rPr>
        <w:t xml:space="preserve">estimates the monthly per-line and per-household USF contribution passed through to residential customers.  </w:t>
      </w:r>
      <w:r w:rsidRPr="009C7CDD">
        <w:rPr>
          <w:rFonts w:cs="Times New Roman"/>
          <w:i/>
        </w:rPr>
        <w:t xml:space="preserve">See </w:t>
      </w:r>
      <w:r w:rsidRPr="009C7CDD">
        <w:rPr>
          <w:rFonts w:cs="Times New Roman"/>
        </w:rPr>
        <w:t xml:space="preserve">Industry Analysis and Technology Division, Wireline Competition Bureau, </w:t>
      </w:r>
      <w:r w:rsidRPr="009C7CDD">
        <w:rPr>
          <w:rFonts w:cs="Times New Roman"/>
          <w:i/>
        </w:rPr>
        <w:t>2013 Universal Service Monitoring Report</w:t>
      </w:r>
      <w:r w:rsidRPr="009C7CDD">
        <w:rPr>
          <w:rFonts w:cs="Times New Roman"/>
        </w:rPr>
        <w:t xml:space="preserve">, Table 1.10 (2013), </w:t>
      </w:r>
      <w:hyperlink r:id="rId6" w:history="1">
        <w:r w:rsidRPr="009C7CDD">
          <w:rPr>
            <w:rStyle w:val="Hyperlink"/>
            <w:rFonts w:cs="Times New Roman"/>
          </w:rPr>
          <w:t>http://transition.fcc.gov/Bureaus/Common_Carrier/Reports/FCC-State_Link/Monitor/2013_Monitoring_Report.pdf</w:t>
        </w:r>
      </w:hyperlink>
      <w:r w:rsidRPr="009C7CDD">
        <w:rPr>
          <w:rFonts w:cs="Times New Roman"/>
        </w:rPr>
        <w:t xml:space="preserve">. </w:t>
      </w:r>
    </w:p>
  </w:footnote>
  <w:footnote w:id="85">
    <w:p w14:paraId="7DBB70E1" w14:textId="77777777" w:rsidR="00BF1D0E" w:rsidRPr="009C7CDD" w:rsidRDefault="00BF1D0E"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Estimates in the </w:t>
      </w:r>
      <w:r w:rsidRPr="009C7CDD">
        <w:rPr>
          <w:rFonts w:cs="Times New Roman"/>
          <w:i/>
        </w:rPr>
        <w:t>2013 Universal Service Monitoring Report</w:t>
      </w:r>
      <w:r w:rsidRPr="009C7CDD">
        <w:rPr>
          <w:rFonts w:cs="Times New Roman"/>
        </w:rPr>
        <w:t xml:space="preserve"> are based on the current universal service contribution methodology, which assesses contributions based on end-user revenues.  The Commission recently referred to the Federal-State Joint Board on Universal Service the record developed in response to the Commission’s 2012 Further Notice of Proposed Rulemaking seeking comment on modifications to the universal service contribution methodology.  The matter is currently under consideration before the Joint Board.  </w:t>
      </w:r>
      <w:r w:rsidRPr="009C7CDD">
        <w:rPr>
          <w:rFonts w:cs="Times New Roman"/>
          <w:i/>
        </w:rPr>
        <w:t xml:space="preserve">See Federal State Joint Board on Universal Service et al, </w:t>
      </w:r>
      <w:r w:rsidRPr="009C7CDD">
        <w:rPr>
          <w:rFonts w:cs="Times New Roman"/>
        </w:rPr>
        <w:t>WC Docket No. 96-45 et al, Order, FCC 14-116 (rel. Aug. 7, 2014).</w:t>
      </w:r>
    </w:p>
  </w:footnote>
  <w:footnote w:id="86">
    <w:p w14:paraId="1AE6512A" w14:textId="77777777" w:rsidR="00F96488" w:rsidRPr="009C7CDD" w:rsidRDefault="00F96488" w:rsidP="009C7CDD">
      <w:pPr>
        <w:pStyle w:val="FootnoteText"/>
        <w:spacing w:after="120"/>
        <w:rPr>
          <w:rFonts w:cs="Times New Roman"/>
        </w:rPr>
      </w:pPr>
      <w:r w:rsidRPr="009C7CDD">
        <w:rPr>
          <w:rStyle w:val="FootnoteReference"/>
          <w:rFonts w:cs="Times New Roman"/>
        </w:rPr>
        <w:footnoteRef/>
      </w:r>
      <w:r w:rsidRPr="009C7CDD">
        <w:rPr>
          <w:rFonts w:cs="Times New Roman"/>
        </w:rPr>
        <w:t xml:space="preserve"> </w:t>
      </w:r>
      <w:r w:rsidR="001936BC" w:rsidRPr="009C7CDD">
        <w:rPr>
          <w:rFonts w:cs="Times New Roman"/>
        </w:rPr>
        <w:t>This is b</w:t>
      </w:r>
      <w:r w:rsidRPr="009C7CDD">
        <w:rPr>
          <w:rFonts w:cs="Times New Roman"/>
        </w:rPr>
        <w:t>ased on contribution estimates as of the fourth quarter of 2013.</w:t>
      </w:r>
      <w:r w:rsidR="00070DD9" w:rsidRPr="009C7CDD">
        <w:rPr>
          <w:rFonts w:cs="Times New Roman"/>
        </w:rPr>
        <w:t xml:space="preserve">  Low and high e</w:t>
      </w:r>
      <w:r w:rsidR="00070DD9" w:rsidRPr="009C7CDD">
        <w:rPr>
          <w:rFonts w:cs="Times New Roman"/>
          <w:color w:val="000000" w:themeColor="text1"/>
        </w:rPr>
        <w:t>stimates vary based on projected ratios of consumer and business contribution levels in future years.</w:t>
      </w:r>
      <w:r w:rsidRPr="009C7CDD">
        <w:rPr>
          <w:rFonts w:cs="Times New Roman"/>
        </w:rPr>
        <w:t xml:space="preserve">  </w:t>
      </w:r>
      <w:r w:rsidRPr="009C7CDD">
        <w:rPr>
          <w:rFonts w:cs="Times New Roman"/>
          <w:i/>
        </w:rPr>
        <w:t>See 2013 Universal Service Monitoring Report</w:t>
      </w:r>
      <w:r w:rsidRPr="009C7CDD">
        <w:rPr>
          <w:rFonts w:cs="Times New Roman"/>
        </w:rPr>
        <w:t>, Table 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3B25F" w14:textId="77777777" w:rsidR="00A47BCD" w:rsidRDefault="00A47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ACD4" w14:textId="77777777" w:rsidR="00A47BCD" w:rsidRDefault="00A47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4C475" w14:textId="77777777" w:rsidR="00A47BCD" w:rsidRDefault="00A47B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4663"/>
    <w:multiLevelType w:val="hybridMultilevel"/>
    <w:tmpl w:val="D57C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73472"/>
    <w:multiLevelType w:val="hybridMultilevel"/>
    <w:tmpl w:val="98929864"/>
    <w:lvl w:ilvl="0" w:tplc="6428D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51E61AE0"/>
    <w:multiLevelType w:val="hybridMultilevel"/>
    <w:tmpl w:val="47AA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E7AD1"/>
    <w:multiLevelType w:val="hybridMultilevel"/>
    <w:tmpl w:val="F8DA5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182925"/>
    <w:multiLevelType w:val="singleLevel"/>
    <w:tmpl w:val="D180CED0"/>
    <w:lvl w:ilvl="0">
      <w:start w:val="1"/>
      <w:numFmt w:val="decimal"/>
      <w:pStyle w:val="ParaNum"/>
      <w:lvlText w:val="%1."/>
      <w:lvlJc w:val="left"/>
      <w:pPr>
        <w:tabs>
          <w:tab w:val="num" w:pos="1800"/>
        </w:tabs>
        <w:ind w:left="720" w:firstLine="720"/>
      </w:pPr>
    </w:lvl>
  </w:abstractNum>
  <w:abstractNum w:abstractNumId="6">
    <w:nsid w:val="74BD37C3"/>
    <w:multiLevelType w:val="hybridMultilevel"/>
    <w:tmpl w:val="DDD00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38"/>
    <w:rsid w:val="00001043"/>
    <w:rsid w:val="000400C9"/>
    <w:rsid w:val="000409A4"/>
    <w:rsid w:val="0005165B"/>
    <w:rsid w:val="00063EFE"/>
    <w:rsid w:val="00070DD9"/>
    <w:rsid w:val="00076BE1"/>
    <w:rsid w:val="000771D6"/>
    <w:rsid w:val="00090276"/>
    <w:rsid w:val="00092B66"/>
    <w:rsid w:val="000A50EE"/>
    <w:rsid w:val="000B22EB"/>
    <w:rsid w:val="000B6D21"/>
    <w:rsid w:val="000B7CE6"/>
    <w:rsid w:val="000C2D02"/>
    <w:rsid w:val="000D1957"/>
    <w:rsid w:val="000D1FDD"/>
    <w:rsid w:val="000D27A6"/>
    <w:rsid w:val="000E07C5"/>
    <w:rsid w:val="000E0CFB"/>
    <w:rsid w:val="000E728F"/>
    <w:rsid w:val="000E7B67"/>
    <w:rsid w:val="000F1F2E"/>
    <w:rsid w:val="000F75E9"/>
    <w:rsid w:val="001071CB"/>
    <w:rsid w:val="00107C18"/>
    <w:rsid w:val="00110541"/>
    <w:rsid w:val="00114C11"/>
    <w:rsid w:val="0011555C"/>
    <w:rsid w:val="00130F7F"/>
    <w:rsid w:val="00146676"/>
    <w:rsid w:val="0015607B"/>
    <w:rsid w:val="00160AD2"/>
    <w:rsid w:val="00171E8A"/>
    <w:rsid w:val="00182CEE"/>
    <w:rsid w:val="001936BC"/>
    <w:rsid w:val="001B000B"/>
    <w:rsid w:val="001B19A4"/>
    <w:rsid w:val="001B401D"/>
    <w:rsid w:val="001C0FB1"/>
    <w:rsid w:val="001C0FB5"/>
    <w:rsid w:val="001C1D2D"/>
    <w:rsid w:val="001D3331"/>
    <w:rsid w:val="001D3F29"/>
    <w:rsid w:val="001D7CF5"/>
    <w:rsid w:val="001E29EB"/>
    <w:rsid w:val="001E2AAE"/>
    <w:rsid w:val="001E6121"/>
    <w:rsid w:val="001E6F04"/>
    <w:rsid w:val="001F4FC9"/>
    <w:rsid w:val="001F5804"/>
    <w:rsid w:val="00211B7D"/>
    <w:rsid w:val="00216FAB"/>
    <w:rsid w:val="002354D7"/>
    <w:rsid w:val="00244BD5"/>
    <w:rsid w:val="0024637A"/>
    <w:rsid w:val="00250A1B"/>
    <w:rsid w:val="00251871"/>
    <w:rsid w:val="002546C4"/>
    <w:rsid w:val="00254E5D"/>
    <w:rsid w:val="00255170"/>
    <w:rsid w:val="00255B17"/>
    <w:rsid w:val="00255BCA"/>
    <w:rsid w:val="00255EF5"/>
    <w:rsid w:val="00257C29"/>
    <w:rsid w:val="0026119E"/>
    <w:rsid w:val="00271EEA"/>
    <w:rsid w:val="0027214B"/>
    <w:rsid w:val="002A367C"/>
    <w:rsid w:val="002A4E7F"/>
    <w:rsid w:val="002D0E64"/>
    <w:rsid w:val="002E1D4F"/>
    <w:rsid w:val="002E23B2"/>
    <w:rsid w:val="002E6273"/>
    <w:rsid w:val="00300AAE"/>
    <w:rsid w:val="00300EB6"/>
    <w:rsid w:val="003014E4"/>
    <w:rsid w:val="00303CCC"/>
    <w:rsid w:val="00306C76"/>
    <w:rsid w:val="003106BC"/>
    <w:rsid w:val="00322549"/>
    <w:rsid w:val="00323F02"/>
    <w:rsid w:val="00332C41"/>
    <w:rsid w:val="003369AD"/>
    <w:rsid w:val="003374EA"/>
    <w:rsid w:val="0034374A"/>
    <w:rsid w:val="0034642C"/>
    <w:rsid w:val="0034755C"/>
    <w:rsid w:val="00353B43"/>
    <w:rsid w:val="0035579A"/>
    <w:rsid w:val="003614C7"/>
    <w:rsid w:val="0036397E"/>
    <w:rsid w:val="00366BD5"/>
    <w:rsid w:val="00370268"/>
    <w:rsid w:val="00371A62"/>
    <w:rsid w:val="00375A29"/>
    <w:rsid w:val="00377136"/>
    <w:rsid w:val="003828E7"/>
    <w:rsid w:val="00386E99"/>
    <w:rsid w:val="0039597D"/>
    <w:rsid w:val="0039738E"/>
    <w:rsid w:val="003A5754"/>
    <w:rsid w:val="003C646F"/>
    <w:rsid w:val="003E4A82"/>
    <w:rsid w:val="003F21A7"/>
    <w:rsid w:val="003F2D38"/>
    <w:rsid w:val="003F6557"/>
    <w:rsid w:val="00400267"/>
    <w:rsid w:val="0043482E"/>
    <w:rsid w:val="00435D55"/>
    <w:rsid w:val="00446660"/>
    <w:rsid w:val="00453CEF"/>
    <w:rsid w:val="00454281"/>
    <w:rsid w:val="004552B7"/>
    <w:rsid w:val="00460A75"/>
    <w:rsid w:val="0046125F"/>
    <w:rsid w:val="00484649"/>
    <w:rsid w:val="00484C3B"/>
    <w:rsid w:val="00497680"/>
    <w:rsid w:val="004B698F"/>
    <w:rsid w:val="004C7297"/>
    <w:rsid w:val="004D07B2"/>
    <w:rsid w:val="004D58F2"/>
    <w:rsid w:val="004F6B3E"/>
    <w:rsid w:val="00507FBB"/>
    <w:rsid w:val="0051583C"/>
    <w:rsid w:val="00521802"/>
    <w:rsid w:val="00530941"/>
    <w:rsid w:val="00551D4F"/>
    <w:rsid w:val="00556E8C"/>
    <w:rsid w:val="00561159"/>
    <w:rsid w:val="00563EF2"/>
    <w:rsid w:val="00572301"/>
    <w:rsid w:val="00577B9A"/>
    <w:rsid w:val="00581A3E"/>
    <w:rsid w:val="00583798"/>
    <w:rsid w:val="005A0DCF"/>
    <w:rsid w:val="005A182C"/>
    <w:rsid w:val="005B58FF"/>
    <w:rsid w:val="005C4943"/>
    <w:rsid w:val="005C6631"/>
    <w:rsid w:val="005D36C8"/>
    <w:rsid w:val="005D7BB5"/>
    <w:rsid w:val="005E153B"/>
    <w:rsid w:val="005E18D0"/>
    <w:rsid w:val="005F3218"/>
    <w:rsid w:val="006026F2"/>
    <w:rsid w:val="0060559E"/>
    <w:rsid w:val="00616928"/>
    <w:rsid w:val="00630ED7"/>
    <w:rsid w:val="00641E16"/>
    <w:rsid w:val="00644016"/>
    <w:rsid w:val="00646AE3"/>
    <w:rsid w:val="00647AD0"/>
    <w:rsid w:val="00664E25"/>
    <w:rsid w:val="00665FA1"/>
    <w:rsid w:val="00672377"/>
    <w:rsid w:val="006767B1"/>
    <w:rsid w:val="00683544"/>
    <w:rsid w:val="006B0BA3"/>
    <w:rsid w:val="006B150A"/>
    <w:rsid w:val="006B433B"/>
    <w:rsid w:val="006C0059"/>
    <w:rsid w:val="006C5858"/>
    <w:rsid w:val="006C6251"/>
    <w:rsid w:val="006D4B01"/>
    <w:rsid w:val="006D5CE0"/>
    <w:rsid w:val="006E3E26"/>
    <w:rsid w:val="006E74B1"/>
    <w:rsid w:val="006F0F7B"/>
    <w:rsid w:val="006F7C19"/>
    <w:rsid w:val="007028F2"/>
    <w:rsid w:val="007104B2"/>
    <w:rsid w:val="007201CB"/>
    <w:rsid w:val="00720F6E"/>
    <w:rsid w:val="00731767"/>
    <w:rsid w:val="007346B4"/>
    <w:rsid w:val="00736483"/>
    <w:rsid w:val="00752B25"/>
    <w:rsid w:val="0075566D"/>
    <w:rsid w:val="00760C8A"/>
    <w:rsid w:val="007648E3"/>
    <w:rsid w:val="0076667C"/>
    <w:rsid w:val="00772B45"/>
    <w:rsid w:val="007864CB"/>
    <w:rsid w:val="00793C07"/>
    <w:rsid w:val="00797B58"/>
    <w:rsid w:val="007A2030"/>
    <w:rsid w:val="007A2F0F"/>
    <w:rsid w:val="007A5F4E"/>
    <w:rsid w:val="007B6F0D"/>
    <w:rsid w:val="007C7BD5"/>
    <w:rsid w:val="007D2D92"/>
    <w:rsid w:val="007D5DFD"/>
    <w:rsid w:val="007E6E8E"/>
    <w:rsid w:val="007F08D8"/>
    <w:rsid w:val="007F19E0"/>
    <w:rsid w:val="007F2DDA"/>
    <w:rsid w:val="007F5FF2"/>
    <w:rsid w:val="008071EE"/>
    <w:rsid w:val="00813484"/>
    <w:rsid w:val="00820FF4"/>
    <w:rsid w:val="008316D9"/>
    <w:rsid w:val="00835AE4"/>
    <w:rsid w:val="00836A33"/>
    <w:rsid w:val="00852A84"/>
    <w:rsid w:val="008534DC"/>
    <w:rsid w:val="00866442"/>
    <w:rsid w:val="008723FF"/>
    <w:rsid w:val="00874DE9"/>
    <w:rsid w:val="00875F1E"/>
    <w:rsid w:val="00890212"/>
    <w:rsid w:val="00893244"/>
    <w:rsid w:val="008B063F"/>
    <w:rsid w:val="008C16E2"/>
    <w:rsid w:val="008D3661"/>
    <w:rsid w:val="008D52F6"/>
    <w:rsid w:val="008E61AC"/>
    <w:rsid w:val="0090272A"/>
    <w:rsid w:val="00912E60"/>
    <w:rsid w:val="00916F58"/>
    <w:rsid w:val="00920223"/>
    <w:rsid w:val="00951385"/>
    <w:rsid w:val="00955B2A"/>
    <w:rsid w:val="00962B2F"/>
    <w:rsid w:val="0096411A"/>
    <w:rsid w:val="00975E09"/>
    <w:rsid w:val="00982EB6"/>
    <w:rsid w:val="009858C1"/>
    <w:rsid w:val="009861FB"/>
    <w:rsid w:val="00990FB3"/>
    <w:rsid w:val="009A01C7"/>
    <w:rsid w:val="009A06F4"/>
    <w:rsid w:val="009A1E64"/>
    <w:rsid w:val="009B1C66"/>
    <w:rsid w:val="009C1082"/>
    <w:rsid w:val="009C2846"/>
    <w:rsid w:val="009C5922"/>
    <w:rsid w:val="009C7CDD"/>
    <w:rsid w:val="009E1116"/>
    <w:rsid w:val="009E2DD3"/>
    <w:rsid w:val="009F5C7F"/>
    <w:rsid w:val="009F680D"/>
    <w:rsid w:val="009F7329"/>
    <w:rsid w:val="009F7510"/>
    <w:rsid w:val="00A16AC6"/>
    <w:rsid w:val="00A17DE7"/>
    <w:rsid w:val="00A3494A"/>
    <w:rsid w:val="00A36E7C"/>
    <w:rsid w:val="00A41940"/>
    <w:rsid w:val="00A4540D"/>
    <w:rsid w:val="00A47BCD"/>
    <w:rsid w:val="00A53411"/>
    <w:rsid w:val="00A60031"/>
    <w:rsid w:val="00A611EA"/>
    <w:rsid w:val="00A71D76"/>
    <w:rsid w:val="00A7705C"/>
    <w:rsid w:val="00A806A2"/>
    <w:rsid w:val="00A827F6"/>
    <w:rsid w:val="00A85872"/>
    <w:rsid w:val="00A86DFE"/>
    <w:rsid w:val="00AA0D40"/>
    <w:rsid w:val="00AA4653"/>
    <w:rsid w:val="00AB30E7"/>
    <w:rsid w:val="00AB4957"/>
    <w:rsid w:val="00AB736A"/>
    <w:rsid w:val="00AC479F"/>
    <w:rsid w:val="00AC639F"/>
    <w:rsid w:val="00AC6A65"/>
    <w:rsid w:val="00AD01AD"/>
    <w:rsid w:val="00AD5E33"/>
    <w:rsid w:val="00AE347B"/>
    <w:rsid w:val="00AF0B87"/>
    <w:rsid w:val="00AF367A"/>
    <w:rsid w:val="00AF5720"/>
    <w:rsid w:val="00B028A0"/>
    <w:rsid w:val="00B1593A"/>
    <w:rsid w:val="00B20E43"/>
    <w:rsid w:val="00B25763"/>
    <w:rsid w:val="00B36D45"/>
    <w:rsid w:val="00B73DF5"/>
    <w:rsid w:val="00B80D5A"/>
    <w:rsid w:val="00BA641B"/>
    <w:rsid w:val="00BA7746"/>
    <w:rsid w:val="00BB53A9"/>
    <w:rsid w:val="00BD6DCF"/>
    <w:rsid w:val="00BE20FA"/>
    <w:rsid w:val="00BE2FB6"/>
    <w:rsid w:val="00BE7AE2"/>
    <w:rsid w:val="00BF1149"/>
    <w:rsid w:val="00BF1640"/>
    <w:rsid w:val="00BF1D0E"/>
    <w:rsid w:val="00C0480F"/>
    <w:rsid w:val="00C13AAC"/>
    <w:rsid w:val="00C15C81"/>
    <w:rsid w:val="00C21F3B"/>
    <w:rsid w:val="00C23521"/>
    <w:rsid w:val="00C24D94"/>
    <w:rsid w:val="00C31F7A"/>
    <w:rsid w:val="00C36103"/>
    <w:rsid w:val="00C4340F"/>
    <w:rsid w:val="00C453C8"/>
    <w:rsid w:val="00C56851"/>
    <w:rsid w:val="00C678C0"/>
    <w:rsid w:val="00C71D3C"/>
    <w:rsid w:val="00C867BD"/>
    <w:rsid w:val="00C90A32"/>
    <w:rsid w:val="00C9383B"/>
    <w:rsid w:val="00C979F5"/>
    <w:rsid w:val="00CA2655"/>
    <w:rsid w:val="00CA5CAA"/>
    <w:rsid w:val="00CB3B6F"/>
    <w:rsid w:val="00CB4289"/>
    <w:rsid w:val="00CB4DE9"/>
    <w:rsid w:val="00CB5DD4"/>
    <w:rsid w:val="00CB6551"/>
    <w:rsid w:val="00CC053F"/>
    <w:rsid w:val="00CC077F"/>
    <w:rsid w:val="00CC12EB"/>
    <w:rsid w:val="00CC1B43"/>
    <w:rsid w:val="00CC22B1"/>
    <w:rsid w:val="00CC5477"/>
    <w:rsid w:val="00CC6A1F"/>
    <w:rsid w:val="00CD021C"/>
    <w:rsid w:val="00CD6706"/>
    <w:rsid w:val="00CD6E13"/>
    <w:rsid w:val="00CD7920"/>
    <w:rsid w:val="00CE5B97"/>
    <w:rsid w:val="00CE6658"/>
    <w:rsid w:val="00CF6D38"/>
    <w:rsid w:val="00D00395"/>
    <w:rsid w:val="00D05EB7"/>
    <w:rsid w:val="00D16003"/>
    <w:rsid w:val="00D215C7"/>
    <w:rsid w:val="00D23973"/>
    <w:rsid w:val="00D25B0C"/>
    <w:rsid w:val="00D317A1"/>
    <w:rsid w:val="00D4721B"/>
    <w:rsid w:val="00D51497"/>
    <w:rsid w:val="00D52196"/>
    <w:rsid w:val="00D546EE"/>
    <w:rsid w:val="00D634BC"/>
    <w:rsid w:val="00D82DF3"/>
    <w:rsid w:val="00D84527"/>
    <w:rsid w:val="00D9662B"/>
    <w:rsid w:val="00D97C81"/>
    <w:rsid w:val="00DA34AF"/>
    <w:rsid w:val="00DB4648"/>
    <w:rsid w:val="00DD0F55"/>
    <w:rsid w:val="00DD1014"/>
    <w:rsid w:val="00DD3431"/>
    <w:rsid w:val="00DE3A0D"/>
    <w:rsid w:val="00DE6352"/>
    <w:rsid w:val="00DE6C51"/>
    <w:rsid w:val="00DF6723"/>
    <w:rsid w:val="00E00D09"/>
    <w:rsid w:val="00E01B3A"/>
    <w:rsid w:val="00E02EB1"/>
    <w:rsid w:val="00E16572"/>
    <w:rsid w:val="00E262FD"/>
    <w:rsid w:val="00E308F1"/>
    <w:rsid w:val="00E311D5"/>
    <w:rsid w:val="00E374C8"/>
    <w:rsid w:val="00E40C55"/>
    <w:rsid w:val="00E42869"/>
    <w:rsid w:val="00E5052C"/>
    <w:rsid w:val="00E55F53"/>
    <w:rsid w:val="00E566F3"/>
    <w:rsid w:val="00E56862"/>
    <w:rsid w:val="00E64639"/>
    <w:rsid w:val="00E76729"/>
    <w:rsid w:val="00E77A9E"/>
    <w:rsid w:val="00E80401"/>
    <w:rsid w:val="00E829B9"/>
    <w:rsid w:val="00E843FF"/>
    <w:rsid w:val="00E90C01"/>
    <w:rsid w:val="00EA0037"/>
    <w:rsid w:val="00EA2708"/>
    <w:rsid w:val="00EA75AF"/>
    <w:rsid w:val="00EB4B3D"/>
    <w:rsid w:val="00EB6D03"/>
    <w:rsid w:val="00EB76CF"/>
    <w:rsid w:val="00EB7A3C"/>
    <w:rsid w:val="00EC41A7"/>
    <w:rsid w:val="00EC5791"/>
    <w:rsid w:val="00ED2234"/>
    <w:rsid w:val="00EE00FE"/>
    <w:rsid w:val="00EF6E8E"/>
    <w:rsid w:val="00F000FC"/>
    <w:rsid w:val="00F04DEA"/>
    <w:rsid w:val="00F054F0"/>
    <w:rsid w:val="00F07A4C"/>
    <w:rsid w:val="00F10686"/>
    <w:rsid w:val="00F2011B"/>
    <w:rsid w:val="00F34969"/>
    <w:rsid w:val="00F401B7"/>
    <w:rsid w:val="00F4314C"/>
    <w:rsid w:val="00F43B78"/>
    <w:rsid w:val="00F47AD5"/>
    <w:rsid w:val="00F60AEC"/>
    <w:rsid w:val="00F665BB"/>
    <w:rsid w:val="00F71128"/>
    <w:rsid w:val="00F76156"/>
    <w:rsid w:val="00F8206E"/>
    <w:rsid w:val="00F82A8F"/>
    <w:rsid w:val="00F87CAC"/>
    <w:rsid w:val="00F96488"/>
    <w:rsid w:val="00FA11E1"/>
    <w:rsid w:val="00FA412F"/>
    <w:rsid w:val="00FA4722"/>
    <w:rsid w:val="00FC0831"/>
    <w:rsid w:val="00FC2315"/>
    <w:rsid w:val="00FC58B4"/>
    <w:rsid w:val="00FC622F"/>
    <w:rsid w:val="00FC742D"/>
    <w:rsid w:val="00FC7B1B"/>
    <w:rsid w:val="00FD0483"/>
    <w:rsid w:val="00FE72B1"/>
    <w:rsid w:val="00FF13DA"/>
    <w:rsid w:val="00FF23A0"/>
    <w:rsid w:val="00FF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1B"/>
    <w:rPr>
      <w:rFonts w:ascii="Times New Roman" w:hAnsi="Times New Roman"/>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BA641B"/>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autoRedefine/>
    <w:qFormat/>
    <w:rsid w:val="00C453C8"/>
    <w:pPr>
      <w:keepNext/>
      <w:numPr>
        <w:ilvl w:val="1"/>
        <w:numId w:val="6"/>
      </w:numPr>
      <w:spacing w:after="120"/>
      <w:outlineLvl w:val="1"/>
    </w:pPr>
    <w:rPr>
      <w:b/>
    </w:rPr>
  </w:style>
  <w:style w:type="paragraph" w:styleId="Heading3">
    <w:name w:val="heading 3"/>
    <w:basedOn w:val="Normal"/>
    <w:next w:val="ParaNum"/>
    <w:link w:val="Heading3Char"/>
    <w:qFormat/>
    <w:rsid w:val="008C16E2"/>
    <w:pPr>
      <w:keepNext/>
      <w:numPr>
        <w:ilvl w:val="2"/>
        <w:numId w:val="6"/>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
    <w:qFormat/>
    <w:rsid w:val="00BA641B"/>
    <w:pPr>
      <w:keepNext/>
      <w:numPr>
        <w:ilvl w:val="3"/>
        <w:numId w:val="6"/>
      </w:numPr>
      <w:tabs>
        <w:tab w:val="left" w:pos="2880"/>
      </w:tabs>
      <w:spacing w:after="120"/>
      <w:outlineLvl w:val="3"/>
    </w:pPr>
    <w:rPr>
      <w:rFonts w:asciiTheme="minorHAnsi" w:hAnsiTheme="minorHAnsi"/>
      <w:b/>
    </w:rPr>
  </w:style>
  <w:style w:type="paragraph" w:styleId="Heading5">
    <w:name w:val="heading 5"/>
    <w:basedOn w:val="Normal"/>
    <w:next w:val="ParaNum"/>
    <w:link w:val="Heading5Char"/>
    <w:qFormat/>
    <w:rsid w:val="00BA641B"/>
    <w:pPr>
      <w:keepNext/>
      <w:numPr>
        <w:ilvl w:val="4"/>
        <w:numId w:val="6"/>
      </w:numPr>
      <w:tabs>
        <w:tab w:val="left" w:pos="3600"/>
      </w:tabs>
      <w:suppressAutoHyphens/>
      <w:spacing w:after="120"/>
      <w:outlineLvl w:val="4"/>
    </w:pPr>
    <w:rPr>
      <w:rFonts w:asciiTheme="minorHAnsi" w:hAnsiTheme="minorHAnsi"/>
      <w:b/>
    </w:rPr>
  </w:style>
  <w:style w:type="paragraph" w:styleId="Heading6">
    <w:name w:val="heading 6"/>
    <w:basedOn w:val="Normal"/>
    <w:next w:val="ParaNum"/>
    <w:link w:val="Heading6Char"/>
    <w:qFormat/>
    <w:rsid w:val="00BA641B"/>
    <w:pPr>
      <w:numPr>
        <w:ilvl w:val="5"/>
        <w:numId w:val="6"/>
      </w:numPr>
      <w:tabs>
        <w:tab w:val="left" w:pos="4320"/>
      </w:tabs>
      <w:spacing w:after="120"/>
      <w:outlineLvl w:val="5"/>
    </w:pPr>
    <w:rPr>
      <w:rFonts w:asciiTheme="minorHAnsi" w:hAnsiTheme="minorHAnsi"/>
      <w:b/>
    </w:rPr>
  </w:style>
  <w:style w:type="paragraph" w:styleId="Heading7">
    <w:name w:val="heading 7"/>
    <w:basedOn w:val="Normal"/>
    <w:next w:val="ParaNum"/>
    <w:link w:val="Heading7Char"/>
    <w:qFormat/>
    <w:rsid w:val="00BA641B"/>
    <w:pPr>
      <w:numPr>
        <w:ilvl w:val="6"/>
        <w:numId w:val="6"/>
      </w:numPr>
      <w:tabs>
        <w:tab w:val="left" w:pos="5040"/>
      </w:tabs>
      <w:spacing w:after="120"/>
      <w:ind w:left="5040" w:hanging="720"/>
      <w:outlineLvl w:val="6"/>
    </w:pPr>
    <w:rPr>
      <w:rFonts w:asciiTheme="minorHAnsi" w:hAnsiTheme="minorHAnsi"/>
      <w:b/>
    </w:rPr>
  </w:style>
  <w:style w:type="paragraph" w:styleId="Heading8">
    <w:name w:val="heading 8"/>
    <w:basedOn w:val="Normal"/>
    <w:next w:val="ParaNum"/>
    <w:link w:val="Heading8Char"/>
    <w:qFormat/>
    <w:rsid w:val="00BA641B"/>
    <w:pPr>
      <w:numPr>
        <w:ilvl w:val="7"/>
        <w:numId w:val="6"/>
      </w:numPr>
      <w:tabs>
        <w:tab w:val="clear" w:pos="5400"/>
        <w:tab w:val="left" w:pos="5760"/>
      </w:tabs>
      <w:spacing w:after="120"/>
      <w:ind w:left="5760" w:hanging="720"/>
      <w:outlineLvl w:val="7"/>
    </w:pPr>
    <w:rPr>
      <w:rFonts w:asciiTheme="minorHAnsi" w:hAnsiTheme="minorHAnsi"/>
      <w:b/>
    </w:rPr>
  </w:style>
  <w:style w:type="paragraph" w:styleId="Heading9">
    <w:name w:val="heading 9"/>
    <w:basedOn w:val="Normal"/>
    <w:next w:val="ParaNum"/>
    <w:link w:val="Heading9Char"/>
    <w:qFormat/>
    <w:rsid w:val="00BA641B"/>
    <w:pPr>
      <w:numPr>
        <w:ilvl w:val="8"/>
        <w:numId w:val="6"/>
      </w:numPr>
      <w:tabs>
        <w:tab w:val="clear" w:pos="6120"/>
        <w:tab w:val="left" w:pos="6480"/>
      </w:tabs>
      <w:spacing w:after="120"/>
      <w:ind w:left="6480" w:hanging="720"/>
      <w:outlineLvl w:val="8"/>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41"/>
    <w:pPr>
      <w:spacing w:after="120"/>
      <w:ind w:left="720"/>
    </w:pPr>
  </w:style>
  <w:style w:type="character" w:styleId="CommentReference">
    <w:name w:val="annotation reference"/>
    <w:basedOn w:val="DefaultParagraphFont"/>
    <w:uiPriority w:val="99"/>
    <w:semiHidden/>
    <w:unhideWhenUsed/>
    <w:rsid w:val="006E3E26"/>
    <w:rPr>
      <w:sz w:val="16"/>
      <w:szCs w:val="16"/>
    </w:rPr>
  </w:style>
  <w:style w:type="paragraph" w:styleId="CommentText">
    <w:name w:val="annotation text"/>
    <w:basedOn w:val="Normal"/>
    <w:link w:val="CommentTextChar"/>
    <w:uiPriority w:val="99"/>
    <w:semiHidden/>
    <w:unhideWhenUsed/>
    <w:rsid w:val="006E3E26"/>
    <w:pPr>
      <w:spacing w:line="240" w:lineRule="auto"/>
    </w:pPr>
    <w:rPr>
      <w:sz w:val="20"/>
      <w:szCs w:val="20"/>
    </w:rPr>
  </w:style>
  <w:style w:type="character" w:customStyle="1" w:styleId="CommentTextChar">
    <w:name w:val="Comment Text Char"/>
    <w:basedOn w:val="DefaultParagraphFont"/>
    <w:link w:val="CommentText"/>
    <w:uiPriority w:val="99"/>
    <w:semiHidden/>
    <w:rsid w:val="006E3E26"/>
    <w:rPr>
      <w:sz w:val="20"/>
      <w:szCs w:val="20"/>
    </w:rPr>
  </w:style>
  <w:style w:type="paragraph" w:styleId="CommentSubject">
    <w:name w:val="annotation subject"/>
    <w:basedOn w:val="CommentText"/>
    <w:next w:val="CommentText"/>
    <w:link w:val="CommentSubjectChar"/>
    <w:uiPriority w:val="99"/>
    <w:semiHidden/>
    <w:unhideWhenUsed/>
    <w:rsid w:val="006E3E26"/>
    <w:rPr>
      <w:b/>
      <w:bCs/>
    </w:rPr>
  </w:style>
  <w:style w:type="character" w:customStyle="1" w:styleId="CommentSubjectChar">
    <w:name w:val="Comment Subject Char"/>
    <w:basedOn w:val="CommentTextChar"/>
    <w:link w:val="CommentSubject"/>
    <w:uiPriority w:val="99"/>
    <w:semiHidden/>
    <w:rsid w:val="006E3E26"/>
    <w:rPr>
      <w:b/>
      <w:bCs/>
      <w:sz w:val="20"/>
      <w:szCs w:val="20"/>
    </w:rPr>
  </w:style>
  <w:style w:type="paragraph" w:styleId="BalloonText">
    <w:name w:val="Balloon Text"/>
    <w:basedOn w:val="Normal"/>
    <w:link w:val="BalloonTextChar"/>
    <w:uiPriority w:val="99"/>
    <w:semiHidden/>
    <w:unhideWhenUsed/>
    <w:rsid w:val="006E3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26"/>
    <w:rPr>
      <w:rFonts w:ascii="Tahoma" w:hAnsi="Tahoma" w:cs="Tahoma"/>
      <w:sz w:val="16"/>
      <w:szCs w:val="16"/>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uiPriority w:val="99"/>
    <w:unhideWhenUsed/>
    <w:rsid w:val="00577B9A"/>
    <w:pPr>
      <w:spacing w:after="0" w:line="240" w:lineRule="auto"/>
    </w:pPr>
    <w:rPr>
      <w:sz w:val="20"/>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uiPriority w:val="99"/>
    <w:rsid w:val="00577B9A"/>
    <w:rPr>
      <w:sz w:val="20"/>
      <w:szCs w:val="20"/>
    </w:rPr>
  </w:style>
  <w:style w:type="character" w:styleId="FootnoteReference">
    <w:name w:val="footnote reference"/>
    <w:aliases w:val="Style 12,(NECG) Footnote Reference,Style 13,Appel note de bas de p,Style 124,fr,o,Style 3,FR,Style 6,Style 17,Footnote Reference/,Style 7,Footnote Reference1"/>
    <w:basedOn w:val="DefaultParagraphFont"/>
    <w:uiPriority w:val="99"/>
    <w:unhideWhenUsed/>
    <w:rsid w:val="00577B9A"/>
    <w:rPr>
      <w:vertAlign w:val="superscript"/>
    </w:rPr>
  </w:style>
  <w:style w:type="table" w:styleId="TableGrid">
    <w:name w:val="Table Grid"/>
    <w:basedOn w:val="TableNormal"/>
    <w:uiPriority w:val="59"/>
    <w:rsid w:val="00797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4281"/>
    <w:rPr>
      <w:color w:val="0000FF" w:themeColor="hyperlink"/>
      <w:u w:val="single"/>
    </w:rPr>
  </w:style>
  <w:style w:type="paragraph" w:styleId="Header">
    <w:name w:val="header"/>
    <w:basedOn w:val="Normal"/>
    <w:link w:val="HeaderChar"/>
    <w:uiPriority w:val="99"/>
    <w:unhideWhenUsed/>
    <w:rsid w:val="00E16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572"/>
  </w:style>
  <w:style w:type="paragraph" w:styleId="Footer">
    <w:name w:val="footer"/>
    <w:basedOn w:val="Normal"/>
    <w:link w:val="FooterChar"/>
    <w:uiPriority w:val="99"/>
    <w:unhideWhenUsed/>
    <w:rsid w:val="00E16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572"/>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BA641B"/>
    <w:rPr>
      <w:rFonts w:ascii="Times New Roman Bold" w:hAnsi="Times New Roman Bold"/>
      <w:b/>
      <w:caps/>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C453C8"/>
    <w:rPr>
      <w:rFonts w:ascii="Times New Roman" w:hAnsi="Times New Roman"/>
      <w:b/>
    </w:rPr>
  </w:style>
  <w:style w:type="character" w:customStyle="1" w:styleId="Heading3Char">
    <w:name w:val="Heading 3 Char"/>
    <w:basedOn w:val="DefaultParagraphFont"/>
    <w:link w:val="Heading3"/>
    <w:rsid w:val="008C16E2"/>
    <w:rPr>
      <w:rFonts w:ascii="Times New Roman" w:hAnsi="Times New Roman"/>
      <w:b/>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basedOn w:val="DefaultParagraphFont"/>
    <w:link w:val="Heading4"/>
    <w:rsid w:val="00BA641B"/>
    <w:rPr>
      <w:b/>
    </w:rPr>
  </w:style>
  <w:style w:type="character" w:customStyle="1" w:styleId="Heading5Char">
    <w:name w:val="Heading 5 Char"/>
    <w:basedOn w:val="DefaultParagraphFont"/>
    <w:link w:val="Heading5"/>
    <w:rsid w:val="00BA641B"/>
    <w:rPr>
      <w:b/>
    </w:rPr>
  </w:style>
  <w:style w:type="character" w:customStyle="1" w:styleId="Heading6Char">
    <w:name w:val="Heading 6 Char"/>
    <w:basedOn w:val="DefaultParagraphFont"/>
    <w:link w:val="Heading6"/>
    <w:rsid w:val="00BA641B"/>
    <w:rPr>
      <w:b/>
    </w:rPr>
  </w:style>
  <w:style w:type="character" w:customStyle="1" w:styleId="Heading7Char">
    <w:name w:val="Heading 7 Char"/>
    <w:basedOn w:val="DefaultParagraphFont"/>
    <w:link w:val="Heading7"/>
    <w:rsid w:val="00BA641B"/>
    <w:rPr>
      <w:b/>
    </w:rPr>
  </w:style>
  <w:style w:type="character" w:customStyle="1" w:styleId="Heading8Char">
    <w:name w:val="Heading 8 Char"/>
    <w:basedOn w:val="DefaultParagraphFont"/>
    <w:link w:val="Heading8"/>
    <w:rsid w:val="00BA641B"/>
    <w:rPr>
      <w:b/>
    </w:rPr>
  </w:style>
  <w:style w:type="character" w:customStyle="1" w:styleId="Heading9Char">
    <w:name w:val="Heading 9 Char"/>
    <w:basedOn w:val="DefaultParagraphFont"/>
    <w:link w:val="Heading9"/>
    <w:rsid w:val="00BA641B"/>
    <w:rPr>
      <w:b/>
    </w:rPr>
  </w:style>
  <w:style w:type="paragraph" w:customStyle="1" w:styleId="ParaNum">
    <w:name w:val="ParaNum"/>
    <w:basedOn w:val="Normal"/>
    <w:link w:val="ParaNumChar2"/>
    <w:rsid w:val="00BA641B"/>
    <w:pPr>
      <w:numPr>
        <w:numId w:val="7"/>
      </w:numPr>
      <w:tabs>
        <w:tab w:val="clear" w:pos="1800"/>
        <w:tab w:val="num" w:pos="1080"/>
      </w:tabs>
      <w:spacing w:after="120"/>
      <w:ind w:left="0"/>
    </w:pPr>
  </w:style>
  <w:style w:type="character" w:customStyle="1" w:styleId="ParaNumChar2">
    <w:name w:val="ParaNum Char2"/>
    <w:link w:val="ParaNum"/>
    <w:locked/>
    <w:rsid w:val="00BA641B"/>
    <w:rPr>
      <w:rFonts w:ascii="Times New Roman" w:hAnsi="Times New Roman"/>
    </w:rPr>
  </w:style>
  <w:style w:type="paragraph" w:styleId="Revision">
    <w:name w:val="Revision"/>
    <w:hidden/>
    <w:uiPriority w:val="99"/>
    <w:semiHidden/>
    <w:rsid w:val="00300EB6"/>
    <w:pPr>
      <w:spacing w:after="0" w:line="240" w:lineRule="auto"/>
    </w:pPr>
    <w:rPr>
      <w:rFonts w:ascii="Times New Roman" w:hAnsi="Times New Roman"/>
    </w:rPr>
  </w:style>
  <w:style w:type="table" w:styleId="LightShading">
    <w:name w:val="Light Shading"/>
    <w:basedOn w:val="TableNormal"/>
    <w:uiPriority w:val="60"/>
    <w:rsid w:val="00FA47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A472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A47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FA47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A47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2">
    <w:name w:val="Medium List 2"/>
    <w:basedOn w:val="TableNormal"/>
    <w:uiPriority w:val="66"/>
    <w:rsid w:val="00FA47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6C0059"/>
    <w:pPr>
      <w:spacing w:before="100" w:beforeAutospacing="1" w:after="100" w:afterAutospacing="1" w:line="240" w:lineRule="auto"/>
    </w:pPr>
    <w:rPr>
      <w:rFonts w:eastAsiaTheme="minorEastAsia" w:cs="Times New Roman"/>
      <w:sz w:val="24"/>
      <w:szCs w:val="24"/>
    </w:rPr>
  </w:style>
  <w:style w:type="character" w:styleId="FollowedHyperlink">
    <w:name w:val="FollowedHyperlink"/>
    <w:basedOn w:val="DefaultParagraphFont"/>
    <w:uiPriority w:val="99"/>
    <w:semiHidden/>
    <w:unhideWhenUsed/>
    <w:rsid w:val="004552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1B"/>
    <w:rPr>
      <w:rFonts w:ascii="Times New Roman" w:hAnsi="Times New Roman"/>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BA641B"/>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autoRedefine/>
    <w:qFormat/>
    <w:rsid w:val="00C453C8"/>
    <w:pPr>
      <w:keepNext/>
      <w:numPr>
        <w:ilvl w:val="1"/>
        <w:numId w:val="6"/>
      </w:numPr>
      <w:spacing w:after="120"/>
      <w:outlineLvl w:val="1"/>
    </w:pPr>
    <w:rPr>
      <w:b/>
    </w:rPr>
  </w:style>
  <w:style w:type="paragraph" w:styleId="Heading3">
    <w:name w:val="heading 3"/>
    <w:basedOn w:val="Normal"/>
    <w:next w:val="ParaNum"/>
    <w:link w:val="Heading3Char"/>
    <w:qFormat/>
    <w:rsid w:val="008C16E2"/>
    <w:pPr>
      <w:keepNext/>
      <w:numPr>
        <w:ilvl w:val="2"/>
        <w:numId w:val="6"/>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
    <w:qFormat/>
    <w:rsid w:val="00BA641B"/>
    <w:pPr>
      <w:keepNext/>
      <w:numPr>
        <w:ilvl w:val="3"/>
        <w:numId w:val="6"/>
      </w:numPr>
      <w:tabs>
        <w:tab w:val="left" w:pos="2880"/>
      </w:tabs>
      <w:spacing w:after="120"/>
      <w:outlineLvl w:val="3"/>
    </w:pPr>
    <w:rPr>
      <w:rFonts w:asciiTheme="minorHAnsi" w:hAnsiTheme="minorHAnsi"/>
      <w:b/>
    </w:rPr>
  </w:style>
  <w:style w:type="paragraph" w:styleId="Heading5">
    <w:name w:val="heading 5"/>
    <w:basedOn w:val="Normal"/>
    <w:next w:val="ParaNum"/>
    <w:link w:val="Heading5Char"/>
    <w:qFormat/>
    <w:rsid w:val="00BA641B"/>
    <w:pPr>
      <w:keepNext/>
      <w:numPr>
        <w:ilvl w:val="4"/>
        <w:numId w:val="6"/>
      </w:numPr>
      <w:tabs>
        <w:tab w:val="left" w:pos="3600"/>
      </w:tabs>
      <w:suppressAutoHyphens/>
      <w:spacing w:after="120"/>
      <w:outlineLvl w:val="4"/>
    </w:pPr>
    <w:rPr>
      <w:rFonts w:asciiTheme="minorHAnsi" w:hAnsiTheme="minorHAnsi"/>
      <w:b/>
    </w:rPr>
  </w:style>
  <w:style w:type="paragraph" w:styleId="Heading6">
    <w:name w:val="heading 6"/>
    <w:basedOn w:val="Normal"/>
    <w:next w:val="ParaNum"/>
    <w:link w:val="Heading6Char"/>
    <w:qFormat/>
    <w:rsid w:val="00BA641B"/>
    <w:pPr>
      <w:numPr>
        <w:ilvl w:val="5"/>
        <w:numId w:val="6"/>
      </w:numPr>
      <w:tabs>
        <w:tab w:val="left" w:pos="4320"/>
      </w:tabs>
      <w:spacing w:after="120"/>
      <w:outlineLvl w:val="5"/>
    </w:pPr>
    <w:rPr>
      <w:rFonts w:asciiTheme="minorHAnsi" w:hAnsiTheme="minorHAnsi"/>
      <w:b/>
    </w:rPr>
  </w:style>
  <w:style w:type="paragraph" w:styleId="Heading7">
    <w:name w:val="heading 7"/>
    <w:basedOn w:val="Normal"/>
    <w:next w:val="ParaNum"/>
    <w:link w:val="Heading7Char"/>
    <w:qFormat/>
    <w:rsid w:val="00BA641B"/>
    <w:pPr>
      <w:numPr>
        <w:ilvl w:val="6"/>
        <w:numId w:val="6"/>
      </w:numPr>
      <w:tabs>
        <w:tab w:val="left" w:pos="5040"/>
      </w:tabs>
      <w:spacing w:after="120"/>
      <w:ind w:left="5040" w:hanging="720"/>
      <w:outlineLvl w:val="6"/>
    </w:pPr>
    <w:rPr>
      <w:rFonts w:asciiTheme="minorHAnsi" w:hAnsiTheme="minorHAnsi"/>
      <w:b/>
    </w:rPr>
  </w:style>
  <w:style w:type="paragraph" w:styleId="Heading8">
    <w:name w:val="heading 8"/>
    <w:basedOn w:val="Normal"/>
    <w:next w:val="ParaNum"/>
    <w:link w:val="Heading8Char"/>
    <w:qFormat/>
    <w:rsid w:val="00BA641B"/>
    <w:pPr>
      <w:numPr>
        <w:ilvl w:val="7"/>
        <w:numId w:val="6"/>
      </w:numPr>
      <w:tabs>
        <w:tab w:val="clear" w:pos="5400"/>
        <w:tab w:val="left" w:pos="5760"/>
      </w:tabs>
      <w:spacing w:after="120"/>
      <w:ind w:left="5760" w:hanging="720"/>
      <w:outlineLvl w:val="7"/>
    </w:pPr>
    <w:rPr>
      <w:rFonts w:asciiTheme="minorHAnsi" w:hAnsiTheme="minorHAnsi"/>
      <w:b/>
    </w:rPr>
  </w:style>
  <w:style w:type="paragraph" w:styleId="Heading9">
    <w:name w:val="heading 9"/>
    <w:basedOn w:val="Normal"/>
    <w:next w:val="ParaNum"/>
    <w:link w:val="Heading9Char"/>
    <w:qFormat/>
    <w:rsid w:val="00BA641B"/>
    <w:pPr>
      <w:numPr>
        <w:ilvl w:val="8"/>
        <w:numId w:val="6"/>
      </w:numPr>
      <w:tabs>
        <w:tab w:val="clear" w:pos="6120"/>
        <w:tab w:val="left" w:pos="6480"/>
      </w:tabs>
      <w:spacing w:after="120"/>
      <w:ind w:left="6480" w:hanging="720"/>
      <w:outlineLvl w:val="8"/>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41"/>
    <w:pPr>
      <w:spacing w:after="120"/>
      <w:ind w:left="720"/>
    </w:pPr>
  </w:style>
  <w:style w:type="character" w:styleId="CommentReference">
    <w:name w:val="annotation reference"/>
    <w:basedOn w:val="DefaultParagraphFont"/>
    <w:uiPriority w:val="99"/>
    <w:semiHidden/>
    <w:unhideWhenUsed/>
    <w:rsid w:val="006E3E26"/>
    <w:rPr>
      <w:sz w:val="16"/>
      <w:szCs w:val="16"/>
    </w:rPr>
  </w:style>
  <w:style w:type="paragraph" w:styleId="CommentText">
    <w:name w:val="annotation text"/>
    <w:basedOn w:val="Normal"/>
    <w:link w:val="CommentTextChar"/>
    <w:uiPriority w:val="99"/>
    <w:semiHidden/>
    <w:unhideWhenUsed/>
    <w:rsid w:val="006E3E26"/>
    <w:pPr>
      <w:spacing w:line="240" w:lineRule="auto"/>
    </w:pPr>
    <w:rPr>
      <w:sz w:val="20"/>
      <w:szCs w:val="20"/>
    </w:rPr>
  </w:style>
  <w:style w:type="character" w:customStyle="1" w:styleId="CommentTextChar">
    <w:name w:val="Comment Text Char"/>
    <w:basedOn w:val="DefaultParagraphFont"/>
    <w:link w:val="CommentText"/>
    <w:uiPriority w:val="99"/>
    <w:semiHidden/>
    <w:rsid w:val="006E3E26"/>
    <w:rPr>
      <w:sz w:val="20"/>
      <w:szCs w:val="20"/>
    </w:rPr>
  </w:style>
  <w:style w:type="paragraph" w:styleId="CommentSubject">
    <w:name w:val="annotation subject"/>
    <w:basedOn w:val="CommentText"/>
    <w:next w:val="CommentText"/>
    <w:link w:val="CommentSubjectChar"/>
    <w:uiPriority w:val="99"/>
    <w:semiHidden/>
    <w:unhideWhenUsed/>
    <w:rsid w:val="006E3E26"/>
    <w:rPr>
      <w:b/>
      <w:bCs/>
    </w:rPr>
  </w:style>
  <w:style w:type="character" w:customStyle="1" w:styleId="CommentSubjectChar">
    <w:name w:val="Comment Subject Char"/>
    <w:basedOn w:val="CommentTextChar"/>
    <w:link w:val="CommentSubject"/>
    <w:uiPriority w:val="99"/>
    <w:semiHidden/>
    <w:rsid w:val="006E3E26"/>
    <w:rPr>
      <w:b/>
      <w:bCs/>
      <w:sz w:val="20"/>
      <w:szCs w:val="20"/>
    </w:rPr>
  </w:style>
  <w:style w:type="paragraph" w:styleId="BalloonText">
    <w:name w:val="Balloon Text"/>
    <w:basedOn w:val="Normal"/>
    <w:link w:val="BalloonTextChar"/>
    <w:uiPriority w:val="99"/>
    <w:semiHidden/>
    <w:unhideWhenUsed/>
    <w:rsid w:val="006E3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26"/>
    <w:rPr>
      <w:rFonts w:ascii="Tahoma" w:hAnsi="Tahoma" w:cs="Tahoma"/>
      <w:sz w:val="16"/>
      <w:szCs w:val="16"/>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uiPriority w:val="99"/>
    <w:unhideWhenUsed/>
    <w:rsid w:val="00577B9A"/>
    <w:pPr>
      <w:spacing w:after="0" w:line="240" w:lineRule="auto"/>
    </w:pPr>
    <w:rPr>
      <w:sz w:val="20"/>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uiPriority w:val="99"/>
    <w:rsid w:val="00577B9A"/>
    <w:rPr>
      <w:sz w:val="20"/>
      <w:szCs w:val="20"/>
    </w:rPr>
  </w:style>
  <w:style w:type="character" w:styleId="FootnoteReference">
    <w:name w:val="footnote reference"/>
    <w:aliases w:val="Style 12,(NECG) Footnote Reference,Style 13,Appel note de bas de p,Style 124,fr,o,Style 3,FR,Style 6,Style 17,Footnote Reference/,Style 7,Footnote Reference1"/>
    <w:basedOn w:val="DefaultParagraphFont"/>
    <w:uiPriority w:val="99"/>
    <w:unhideWhenUsed/>
    <w:rsid w:val="00577B9A"/>
    <w:rPr>
      <w:vertAlign w:val="superscript"/>
    </w:rPr>
  </w:style>
  <w:style w:type="table" w:styleId="TableGrid">
    <w:name w:val="Table Grid"/>
    <w:basedOn w:val="TableNormal"/>
    <w:uiPriority w:val="59"/>
    <w:rsid w:val="00797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4281"/>
    <w:rPr>
      <w:color w:val="0000FF" w:themeColor="hyperlink"/>
      <w:u w:val="single"/>
    </w:rPr>
  </w:style>
  <w:style w:type="paragraph" w:styleId="Header">
    <w:name w:val="header"/>
    <w:basedOn w:val="Normal"/>
    <w:link w:val="HeaderChar"/>
    <w:uiPriority w:val="99"/>
    <w:unhideWhenUsed/>
    <w:rsid w:val="00E16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572"/>
  </w:style>
  <w:style w:type="paragraph" w:styleId="Footer">
    <w:name w:val="footer"/>
    <w:basedOn w:val="Normal"/>
    <w:link w:val="FooterChar"/>
    <w:uiPriority w:val="99"/>
    <w:unhideWhenUsed/>
    <w:rsid w:val="00E16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572"/>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BA641B"/>
    <w:rPr>
      <w:rFonts w:ascii="Times New Roman Bold" w:hAnsi="Times New Roman Bold"/>
      <w:b/>
      <w:caps/>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C453C8"/>
    <w:rPr>
      <w:rFonts w:ascii="Times New Roman" w:hAnsi="Times New Roman"/>
      <w:b/>
    </w:rPr>
  </w:style>
  <w:style w:type="character" w:customStyle="1" w:styleId="Heading3Char">
    <w:name w:val="Heading 3 Char"/>
    <w:basedOn w:val="DefaultParagraphFont"/>
    <w:link w:val="Heading3"/>
    <w:rsid w:val="008C16E2"/>
    <w:rPr>
      <w:rFonts w:ascii="Times New Roman" w:hAnsi="Times New Roman"/>
      <w:b/>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basedOn w:val="DefaultParagraphFont"/>
    <w:link w:val="Heading4"/>
    <w:rsid w:val="00BA641B"/>
    <w:rPr>
      <w:b/>
    </w:rPr>
  </w:style>
  <w:style w:type="character" w:customStyle="1" w:styleId="Heading5Char">
    <w:name w:val="Heading 5 Char"/>
    <w:basedOn w:val="DefaultParagraphFont"/>
    <w:link w:val="Heading5"/>
    <w:rsid w:val="00BA641B"/>
    <w:rPr>
      <w:b/>
    </w:rPr>
  </w:style>
  <w:style w:type="character" w:customStyle="1" w:styleId="Heading6Char">
    <w:name w:val="Heading 6 Char"/>
    <w:basedOn w:val="DefaultParagraphFont"/>
    <w:link w:val="Heading6"/>
    <w:rsid w:val="00BA641B"/>
    <w:rPr>
      <w:b/>
    </w:rPr>
  </w:style>
  <w:style w:type="character" w:customStyle="1" w:styleId="Heading7Char">
    <w:name w:val="Heading 7 Char"/>
    <w:basedOn w:val="DefaultParagraphFont"/>
    <w:link w:val="Heading7"/>
    <w:rsid w:val="00BA641B"/>
    <w:rPr>
      <w:b/>
    </w:rPr>
  </w:style>
  <w:style w:type="character" w:customStyle="1" w:styleId="Heading8Char">
    <w:name w:val="Heading 8 Char"/>
    <w:basedOn w:val="DefaultParagraphFont"/>
    <w:link w:val="Heading8"/>
    <w:rsid w:val="00BA641B"/>
    <w:rPr>
      <w:b/>
    </w:rPr>
  </w:style>
  <w:style w:type="character" w:customStyle="1" w:styleId="Heading9Char">
    <w:name w:val="Heading 9 Char"/>
    <w:basedOn w:val="DefaultParagraphFont"/>
    <w:link w:val="Heading9"/>
    <w:rsid w:val="00BA641B"/>
    <w:rPr>
      <w:b/>
    </w:rPr>
  </w:style>
  <w:style w:type="paragraph" w:customStyle="1" w:styleId="ParaNum">
    <w:name w:val="ParaNum"/>
    <w:basedOn w:val="Normal"/>
    <w:link w:val="ParaNumChar2"/>
    <w:rsid w:val="00BA641B"/>
    <w:pPr>
      <w:numPr>
        <w:numId w:val="7"/>
      </w:numPr>
      <w:tabs>
        <w:tab w:val="clear" w:pos="1800"/>
        <w:tab w:val="num" w:pos="1080"/>
      </w:tabs>
      <w:spacing w:after="120"/>
      <w:ind w:left="0"/>
    </w:pPr>
  </w:style>
  <w:style w:type="character" w:customStyle="1" w:styleId="ParaNumChar2">
    <w:name w:val="ParaNum Char2"/>
    <w:link w:val="ParaNum"/>
    <w:locked/>
    <w:rsid w:val="00BA641B"/>
    <w:rPr>
      <w:rFonts w:ascii="Times New Roman" w:hAnsi="Times New Roman"/>
    </w:rPr>
  </w:style>
  <w:style w:type="paragraph" w:styleId="Revision">
    <w:name w:val="Revision"/>
    <w:hidden/>
    <w:uiPriority w:val="99"/>
    <w:semiHidden/>
    <w:rsid w:val="00300EB6"/>
    <w:pPr>
      <w:spacing w:after="0" w:line="240" w:lineRule="auto"/>
    </w:pPr>
    <w:rPr>
      <w:rFonts w:ascii="Times New Roman" w:hAnsi="Times New Roman"/>
    </w:rPr>
  </w:style>
  <w:style w:type="table" w:styleId="LightShading">
    <w:name w:val="Light Shading"/>
    <w:basedOn w:val="TableNormal"/>
    <w:uiPriority w:val="60"/>
    <w:rsid w:val="00FA47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A472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A47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FA47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A47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2">
    <w:name w:val="Medium List 2"/>
    <w:basedOn w:val="TableNormal"/>
    <w:uiPriority w:val="66"/>
    <w:rsid w:val="00FA47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6C0059"/>
    <w:pPr>
      <w:spacing w:before="100" w:beforeAutospacing="1" w:after="100" w:afterAutospacing="1" w:line="240" w:lineRule="auto"/>
    </w:pPr>
    <w:rPr>
      <w:rFonts w:eastAsiaTheme="minorEastAsia" w:cs="Times New Roman"/>
      <w:sz w:val="24"/>
      <w:szCs w:val="24"/>
    </w:rPr>
  </w:style>
  <w:style w:type="character" w:styleId="FollowedHyperlink">
    <w:name w:val="FollowedHyperlink"/>
    <w:basedOn w:val="DefaultParagraphFont"/>
    <w:uiPriority w:val="99"/>
    <w:semiHidden/>
    <w:unhideWhenUsed/>
    <w:rsid w:val="004552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8851">
      <w:bodyDiv w:val="1"/>
      <w:marLeft w:val="0"/>
      <w:marRight w:val="0"/>
      <w:marTop w:val="0"/>
      <w:marBottom w:val="0"/>
      <w:divBdr>
        <w:top w:val="none" w:sz="0" w:space="0" w:color="auto"/>
        <w:left w:val="none" w:sz="0" w:space="0" w:color="auto"/>
        <w:bottom w:val="none" w:sz="0" w:space="0" w:color="auto"/>
        <w:right w:val="none" w:sz="0" w:space="0" w:color="auto"/>
      </w:divBdr>
    </w:div>
    <w:div w:id="1114594497">
      <w:bodyDiv w:val="1"/>
      <w:marLeft w:val="0"/>
      <w:marRight w:val="0"/>
      <w:marTop w:val="0"/>
      <w:marBottom w:val="0"/>
      <w:divBdr>
        <w:top w:val="none" w:sz="0" w:space="0" w:color="auto"/>
        <w:left w:val="none" w:sz="0" w:space="0" w:color="auto"/>
        <w:bottom w:val="none" w:sz="0" w:space="0" w:color="auto"/>
        <w:right w:val="none" w:sz="0" w:space="0" w:color="auto"/>
      </w:divBdr>
      <w:divsChild>
        <w:div w:id="7568475">
          <w:marLeft w:val="0"/>
          <w:marRight w:val="0"/>
          <w:marTop w:val="0"/>
          <w:marBottom w:val="0"/>
          <w:divBdr>
            <w:top w:val="none" w:sz="0" w:space="0" w:color="auto"/>
            <w:left w:val="none" w:sz="0" w:space="0" w:color="auto"/>
            <w:bottom w:val="none" w:sz="0" w:space="0" w:color="auto"/>
            <w:right w:val="none" w:sz="0" w:space="0" w:color="auto"/>
          </w:divBdr>
        </w:div>
        <w:div w:id="47803863">
          <w:marLeft w:val="0"/>
          <w:marRight w:val="0"/>
          <w:marTop w:val="0"/>
          <w:marBottom w:val="0"/>
          <w:divBdr>
            <w:top w:val="none" w:sz="0" w:space="0" w:color="auto"/>
            <w:left w:val="none" w:sz="0" w:space="0" w:color="auto"/>
            <w:bottom w:val="none" w:sz="0" w:space="0" w:color="auto"/>
            <w:right w:val="none" w:sz="0" w:space="0" w:color="auto"/>
          </w:divBdr>
        </w:div>
        <w:div w:id="50005887">
          <w:marLeft w:val="0"/>
          <w:marRight w:val="0"/>
          <w:marTop w:val="0"/>
          <w:marBottom w:val="0"/>
          <w:divBdr>
            <w:top w:val="none" w:sz="0" w:space="0" w:color="auto"/>
            <w:left w:val="none" w:sz="0" w:space="0" w:color="auto"/>
            <w:bottom w:val="none" w:sz="0" w:space="0" w:color="auto"/>
            <w:right w:val="none" w:sz="0" w:space="0" w:color="auto"/>
          </w:divBdr>
        </w:div>
        <w:div w:id="144905899">
          <w:marLeft w:val="0"/>
          <w:marRight w:val="0"/>
          <w:marTop w:val="0"/>
          <w:marBottom w:val="0"/>
          <w:divBdr>
            <w:top w:val="none" w:sz="0" w:space="0" w:color="auto"/>
            <w:left w:val="none" w:sz="0" w:space="0" w:color="auto"/>
            <w:bottom w:val="none" w:sz="0" w:space="0" w:color="auto"/>
            <w:right w:val="none" w:sz="0" w:space="0" w:color="auto"/>
          </w:divBdr>
        </w:div>
        <w:div w:id="202912496">
          <w:marLeft w:val="0"/>
          <w:marRight w:val="0"/>
          <w:marTop w:val="0"/>
          <w:marBottom w:val="0"/>
          <w:divBdr>
            <w:top w:val="none" w:sz="0" w:space="0" w:color="auto"/>
            <w:left w:val="none" w:sz="0" w:space="0" w:color="auto"/>
            <w:bottom w:val="none" w:sz="0" w:space="0" w:color="auto"/>
            <w:right w:val="none" w:sz="0" w:space="0" w:color="auto"/>
          </w:divBdr>
        </w:div>
        <w:div w:id="231934514">
          <w:marLeft w:val="0"/>
          <w:marRight w:val="0"/>
          <w:marTop w:val="0"/>
          <w:marBottom w:val="0"/>
          <w:divBdr>
            <w:top w:val="none" w:sz="0" w:space="0" w:color="auto"/>
            <w:left w:val="none" w:sz="0" w:space="0" w:color="auto"/>
            <w:bottom w:val="none" w:sz="0" w:space="0" w:color="auto"/>
            <w:right w:val="none" w:sz="0" w:space="0" w:color="auto"/>
          </w:divBdr>
        </w:div>
        <w:div w:id="453719946">
          <w:marLeft w:val="0"/>
          <w:marRight w:val="0"/>
          <w:marTop w:val="0"/>
          <w:marBottom w:val="0"/>
          <w:divBdr>
            <w:top w:val="none" w:sz="0" w:space="0" w:color="auto"/>
            <w:left w:val="none" w:sz="0" w:space="0" w:color="auto"/>
            <w:bottom w:val="none" w:sz="0" w:space="0" w:color="auto"/>
            <w:right w:val="none" w:sz="0" w:space="0" w:color="auto"/>
          </w:divBdr>
        </w:div>
        <w:div w:id="478494501">
          <w:marLeft w:val="0"/>
          <w:marRight w:val="0"/>
          <w:marTop w:val="0"/>
          <w:marBottom w:val="0"/>
          <w:divBdr>
            <w:top w:val="none" w:sz="0" w:space="0" w:color="auto"/>
            <w:left w:val="none" w:sz="0" w:space="0" w:color="auto"/>
            <w:bottom w:val="none" w:sz="0" w:space="0" w:color="auto"/>
            <w:right w:val="none" w:sz="0" w:space="0" w:color="auto"/>
          </w:divBdr>
        </w:div>
        <w:div w:id="485973125">
          <w:marLeft w:val="0"/>
          <w:marRight w:val="0"/>
          <w:marTop w:val="0"/>
          <w:marBottom w:val="0"/>
          <w:divBdr>
            <w:top w:val="none" w:sz="0" w:space="0" w:color="auto"/>
            <w:left w:val="none" w:sz="0" w:space="0" w:color="auto"/>
            <w:bottom w:val="none" w:sz="0" w:space="0" w:color="auto"/>
            <w:right w:val="none" w:sz="0" w:space="0" w:color="auto"/>
          </w:divBdr>
        </w:div>
        <w:div w:id="548541554">
          <w:marLeft w:val="0"/>
          <w:marRight w:val="0"/>
          <w:marTop w:val="0"/>
          <w:marBottom w:val="0"/>
          <w:divBdr>
            <w:top w:val="none" w:sz="0" w:space="0" w:color="auto"/>
            <w:left w:val="none" w:sz="0" w:space="0" w:color="auto"/>
            <w:bottom w:val="none" w:sz="0" w:space="0" w:color="auto"/>
            <w:right w:val="none" w:sz="0" w:space="0" w:color="auto"/>
          </w:divBdr>
        </w:div>
        <w:div w:id="601306304">
          <w:marLeft w:val="0"/>
          <w:marRight w:val="0"/>
          <w:marTop w:val="0"/>
          <w:marBottom w:val="0"/>
          <w:divBdr>
            <w:top w:val="none" w:sz="0" w:space="0" w:color="auto"/>
            <w:left w:val="none" w:sz="0" w:space="0" w:color="auto"/>
            <w:bottom w:val="none" w:sz="0" w:space="0" w:color="auto"/>
            <w:right w:val="none" w:sz="0" w:space="0" w:color="auto"/>
          </w:divBdr>
        </w:div>
        <w:div w:id="620765564">
          <w:marLeft w:val="0"/>
          <w:marRight w:val="0"/>
          <w:marTop w:val="0"/>
          <w:marBottom w:val="0"/>
          <w:divBdr>
            <w:top w:val="none" w:sz="0" w:space="0" w:color="auto"/>
            <w:left w:val="none" w:sz="0" w:space="0" w:color="auto"/>
            <w:bottom w:val="none" w:sz="0" w:space="0" w:color="auto"/>
            <w:right w:val="none" w:sz="0" w:space="0" w:color="auto"/>
          </w:divBdr>
        </w:div>
        <w:div w:id="680475564">
          <w:marLeft w:val="0"/>
          <w:marRight w:val="0"/>
          <w:marTop w:val="0"/>
          <w:marBottom w:val="0"/>
          <w:divBdr>
            <w:top w:val="none" w:sz="0" w:space="0" w:color="auto"/>
            <w:left w:val="none" w:sz="0" w:space="0" w:color="auto"/>
            <w:bottom w:val="none" w:sz="0" w:space="0" w:color="auto"/>
            <w:right w:val="none" w:sz="0" w:space="0" w:color="auto"/>
          </w:divBdr>
        </w:div>
        <w:div w:id="789250470">
          <w:marLeft w:val="0"/>
          <w:marRight w:val="0"/>
          <w:marTop w:val="0"/>
          <w:marBottom w:val="0"/>
          <w:divBdr>
            <w:top w:val="none" w:sz="0" w:space="0" w:color="auto"/>
            <w:left w:val="none" w:sz="0" w:space="0" w:color="auto"/>
            <w:bottom w:val="none" w:sz="0" w:space="0" w:color="auto"/>
            <w:right w:val="none" w:sz="0" w:space="0" w:color="auto"/>
          </w:divBdr>
        </w:div>
        <w:div w:id="794980888">
          <w:marLeft w:val="0"/>
          <w:marRight w:val="0"/>
          <w:marTop w:val="0"/>
          <w:marBottom w:val="0"/>
          <w:divBdr>
            <w:top w:val="none" w:sz="0" w:space="0" w:color="auto"/>
            <w:left w:val="none" w:sz="0" w:space="0" w:color="auto"/>
            <w:bottom w:val="none" w:sz="0" w:space="0" w:color="auto"/>
            <w:right w:val="none" w:sz="0" w:space="0" w:color="auto"/>
          </w:divBdr>
        </w:div>
        <w:div w:id="824857128">
          <w:marLeft w:val="0"/>
          <w:marRight w:val="0"/>
          <w:marTop w:val="0"/>
          <w:marBottom w:val="0"/>
          <w:divBdr>
            <w:top w:val="none" w:sz="0" w:space="0" w:color="auto"/>
            <w:left w:val="none" w:sz="0" w:space="0" w:color="auto"/>
            <w:bottom w:val="none" w:sz="0" w:space="0" w:color="auto"/>
            <w:right w:val="none" w:sz="0" w:space="0" w:color="auto"/>
          </w:divBdr>
        </w:div>
        <w:div w:id="859510587">
          <w:marLeft w:val="0"/>
          <w:marRight w:val="0"/>
          <w:marTop w:val="0"/>
          <w:marBottom w:val="0"/>
          <w:divBdr>
            <w:top w:val="none" w:sz="0" w:space="0" w:color="auto"/>
            <w:left w:val="none" w:sz="0" w:space="0" w:color="auto"/>
            <w:bottom w:val="none" w:sz="0" w:space="0" w:color="auto"/>
            <w:right w:val="none" w:sz="0" w:space="0" w:color="auto"/>
          </w:divBdr>
        </w:div>
        <w:div w:id="948926950">
          <w:marLeft w:val="0"/>
          <w:marRight w:val="0"/>
          <w:marTop w:val="0"/>
          <w:marBottom w:val="0"/>
          <w:divBdr>
            <w:top w:val="none" w:sz="0" w:space="0" w:color="auto"/>
            <w:left w:val="none" w:sz="0" w:space="0" w:color="auto"/>
            <w:bottom w:val="none" w:sz="0" w:space="0" w:color="auto"/>
            <w:right w:val="none" w:sz="0" w:space="0" w:color="auto"/>
          </w:divBdr>
        </w:div>
        <w:div w:id="1011301633">
          <w:marLeft w:val="0"/>
          <w:marRight w:val="0"/>
          <w:marTop w:val="0"/>
          <w:marBottom w:val="0"/>
          <w:divBdr>
            <w:top w:val="none" w:sz="0" w:space="0" w:color="auto"/>
            <w:left w:val="none" w:sz="0" w:space="0" w:color="auto"/>
            <w:bottom w:val="none" w:sz="0" w:space="0" w:color="auto"/>
            <w:right w:val="none" w:sz="0" w:space="0" w:color="auto"/>
          </w:divBdr>
        </w:div>
        <w:div w:id="1071925143">
          <w:marLeft w:val="0"/>
          <w:marRight w:val="0"/>
          <w:marTop w:val="0"/>
          <w:marBottom w:val="0"/>
          <w:divBdr>
            <w:top w:val="none" w:sz="0" w:space="0" w:color="auto"/>
            <w:left w:val="none" w:sz="0" w:space="0" w:color="auto"/>
            <w:bottom w:val="none" w:sz="0" w:space="0" w:color="auto"/>
            <w:right w:val="none" w:sz="0" w:space="0" w:color="auto"/>
          </w:divBdr>
        </w:div>
        <w:div w:id="1412654645">
          <w:marLeft w:val="0"/>
          <w:marRight w:val="0"/>
          <w:marTop w:val="0"/>
          <w:marBottom w:val="0"/>
          <w:divBdr>
            <w:top w:val="none" w:sz="0" w:space="0" w:color="auto"/>
            <w:left w:val="none" w:sz="0" w:space="0" w:color="auto"/>
            <w:bottom w:val="none" w:sz="0" w:space="0" w:color="auto"/>
            <w:right w:val="none" w:sz="0" w:space="0" w:color="auto"/>
          </w:divBdr>
        </w:div>
        <w:div w:id="1456874943">
          <w:marLeft w:val="0"/>
          <w:marRight w:val="0"/>
          <w:marTop w:val="0"/>
          <w:marBottom w:val="0"/>
          <w:divBdr>
            <w:top w:val="none" w:sz="0" w:space="0" w:color="auto"/>
            <w:left w:val="none" w:sz="0" w:space="0" w:color="auto"/>
            <w:bottom w:val="none" w:sz="0" w:space="0" w:color="auto"/>
            <w:right w:val="none" w:sz="0" w:space="0" w:color="auto"/>
          </w:divBdr>
        </w:div>
        <w:div w:id="1698700152">
          <w:marLeft w:val="0"/>
          <w:marRight w:val="0"/>
          <w:marTop w:val="0"/>
          <w:marBottom w:val="0"/>
          <w:divBdr>
            <w:top w:val="none" w:sz="0" w:space="0" w:color="auto"/>
            <w:left w:val="none" w:sz="0" w:space="0" w:color="auto"/>
            <w:bottom w:val="none" w:sz="0" w:space="0" w:color="auto"/>
            <w:right w:val="none" w:sz="0" w:space="0" w:color="auto"/>
          </w:divBdr>
        </w:div>
        <w:div w:id="1770659126">
          <w:marLeft w:val="0"/>
          <w:marRight w:val="0"/>
          <w:marTop w:val="0"/>
          <w:marBottom w:val="0"/>
          <w:divBdr>
            <w:top w:val="none" w:sz="0" w:space="0" w:color="auto"/>
            <w:left w:val="none" w:sz="0" w:space="0" w:color="auto"/>
            <w:bottom w:val="none" w:sz="0" w:space="0" w:color="auto"/>
            <w:right w:val="none" w:sz="0" w:space="0" w:color="auto"/>
          </w:divBdr>
        </w:div>
        <w:div w:id="1792628413">
          <w:marLeft w:val="0"/>
          <w:marRight w:val="0"/>
          <w:marTop w:val="0"/>
          <w:marBottom w:val="0"/>
          <w:divBdr>
            <w:top w:val="none" w:sz="0" w:space="0" w:color="auto"/>
            <w:left w:val="none" w:sz="0" w:space="0" w:color="auto"/>
            <w:bottom w:val="none" w:sz="0" w:space="0" w:color="auto"/>
            <w:right w:val="none" w:sz="0" w:space="0" w:color="auto"/>
          </w:divBdr>
        </w:div>
        <w:div w:id="1806392053">
          <w:marLeft w:val="0"/>
          <w:marRight w:val="0"/>
          <w:marTop w:val="0"/>
          <w:marBottom w:val="0"/>
          <w:divBdr>
            <w:top w:val="none" w:sz="0" w:space="0" w:color="auto"/>
            <w:left w:val="none" w:sz="0" w:space="0" w:color="auto"/>
            <w:bottom w:val="none" w:sz="0" w:space="0" w:color="auto"/>
            <w:right w:val="none" w:sz="0" w:space="0" w:color="auto"/>
          </w:divBdr>
        </w:div>
        <w:div w:id="1894191185">
          <w:marLeft w:val="0"/>
          <w:marRight w:val="0"/>
          <w:marTop w:val="0"/>
          <w:marBottom w:val="0"/>
          <w:divBdr>
            <w:top w:val="none" w:sz="0" w:space="0" w:color="auto"/>
            <w:left w:val="none" w:sz="0" w:space="0" w:color="auto"/>
            <w:bottom w:val="none" w:sz="0" w:space="0" w:color="auto"/>
            <w:right w:val="none" w:sz="0" w:space="0" w:color="auto"/>
          </w:divBdr>
        </w:div>
        <w:div w:id="1910459503">
          <w:marLeft w:val="0"/>
          <w:marRight w:val="0"/>
          <w:marTop w:val="0"/>
          <w:marBottom w:val="0"/>
          <w:divBdr>
            <w:top w:val="none" w:sz="0" w:space="0" w:color="auto"/>
            <w:left w:val="none" w:sz="0" w:space="0" w:color="auto"/>
            <w:bottom w:val="none" w:sz="0" w:space="0" w:color="auto"/>
            <w:right w:val="none" w:sz="0" w:space="0" w:color="auto"/>
          </w:divBdr>
        </w:div>
      </w:divsChild>
    </w:div>
    <w:div w:id="1308164469">
      <w:bodyDiv w:val="1"/>
      <w:marLeft w:val="0"/>
      <w:marRight w:val="0"/>
      <w:marTop w:val="0"/>
      <w:marBottom w:val="0"/>
      <w:divBdr>
        <w:top w:val="none" w:sz="0" w:space="0" w:color="auto"/>
        <w:left w:val="none" w:sz="0" w:space="0" w:color="auto"/>
        <w:bottom w:val="none" w:sz="0" w:space="0" w:color="auto"/>
        <w:right w:val="none" w:sz="0" w:space="0" w:color="auto"/>
      </w:divBdr>
    </w:div>
    <w:div w:id="1333141455">
      <w:bodyDiv w:val="1"/>
      <w:marLeft w:val="0"/>
      <w:marRight w:val="0"/>
      <w:marTop w:val="0"/>
      <w:marBottom w:val="0"/>
      <w:divBdr>
        <w:top w:val="none" w:sz="0" w:space="0" w:color="auto"/>
        <w:left w:val="none" w:sz="0" w:space="0" w:color="auto"/>
        <w:bottom w:val="none" w:sz="0" w:space="0" w:color="auto"/>
        <w:right w:val="none" w:sz="0" w:space="0" w:color="auto"/>
      </w:divBdr>
    </w:div>
    <w:div w:id="1558199464">
      <w:bodyDiv w:val="1"/>
      <w:marLeft w:val="0"/>
      <w:marRight w:val="0"/>
      <w:marTop w:val="0"/>
      <w:marBottom w:val="0"/>
      <w:divBdr>
        <w:top w:val="none" w:sz="0" w:space="0" w:color="auto"/>
        <w:left w:val="none" w:sz="0" w:space="0" w:color="auto"/>
        <w:bottom w:val="none" w:sz="0" w:space="0" w:color="auto"/>
        <w:right w:val="none" w:sz="0" w:space="0" w:color="auto"/>
      </w:divBdr>
      <w:divsChild>
        <w:div w:id="315888617">
          <w:marLeft w:val="0"/>
          <w:marRight w:val="0"/>
          <w:marTop w:val="0"/>
          <w:marBottom w:val="0"/>
          <w:divBdr>
            <w:top w:val="none" w:sz="0" w:space="0" w:color="auto"/>
            <w:left w:val="none" w:sz="0" w:space="0" w:color="auto"/>
            <w:bottom w:val="none" w:sz="0" w:space="0" w:color="auto"/>
            <w:right w:val="none" w:sz="0" w:space="0" w:color="auto"/>
          </w:divBdr>
        </w:div>
        <w:div w:id="1324042594">
          <w:marLeft w:val="0"/>
          <w:marRight w:val="0"/>
          <w:marTop w:val="0"/>
          <w:marBottom w:val="0"/>
          <w:divBdr>
            <w:top w:val="none" w:sz="0" w:space="0" w:color="auto"/>
            <w:left w:val="none" w:sz="0" w:space="0" w:color="auto"/>
            <w:bottom w:val="none" w:sz="0" w:space="0" w:color="auto"/>
            <w:right w:val="none" w:sz="0" w:space="0" w:color="auto"/>
          </w:divBdr>
        </w:div>
        <w:div w:id="1499880050">
          <w:marLeft w:val="0"/>
          <w:marRight w:val="0"/>
          <w:marTop w:val="0"/>
          <w:marBottom w:val="0"/>
          <w:divBdr>
            <w:top w:val="none" w:sz="0" w:space="0" w:color="auto"/>
            <w:left w:val="none" w:sz="0" w:space="0" w:color="auto"/>
            <w:bottom w:val="none" w:sz="0" w:space="0" w:color="auto"/>
            <w:right w:val="none" w:sz="0" w:space="0" w:color="auto"/>
          </w:divBdr>
        </w:div>
        <w:div w:id="1912350424">
          <w:marLeft w:val="0"/>
          <w:marRight w:val="0"/>
          <w:marTop w:val="0"/>
          <w:marBottom w:val="0"/>
          <w:divBdr>
            <w:top w:val="none" w:sz="0" w:space="0" w:color="auto"/>
            <w:left w:val="none" w:sz="0" w:space="0" w:color="auto"/>
            <w:bottom w:val="none" w:sz="0" w:space="0" w:color="auto"/>
            <w:right w:val="none" w:sz="0" w:space="0" w:color="auto"/>
          </w:divBdr>
        </w:div>
      </w:divsChild>
    </w:div>
    <w:div w:id="1819298522">
      <w:bodyDiv w:val="1"/>
      <w:marLeft w:val="0"/>
      <w:marRight w:val="0"/>
      <w:marTop w:val="0"/>
      <w:marBottom w:val="0"/>
      <w:divBdr>
        <w:top w:val="none" w:sz="0" w:space="0" w:color="auto"/>
        <w:left w:val="none" w:sz="0" w:space="0" w:color="auto"/>
        <w:bottom w:val="none" w:sz="0" w:space="0" w:color="auto"/>
        <w:right w:val="none" w:sz="0" w:space="0" w:color="auto"/>
      </w:divBdr>
    </w:div>
    <w:div w:id="21111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apps.fcc.gov/edocs_public/attachmatch/DOC-329357A1.pdf" TargetMode="External"/><Relationship Id="rId2" Type="http://schemas.openxmlformats.org/officeDocument/2006/relationships/hyperlink" Target="http://www.fcc.gov/encyclopedia/e-rate-modernization-data" TargetMode="External"/><Relationship Id="rId1" Type="http://schemas.openxmlformats.org/officeDocument/2006/relationships/hyperlink" Target="http://www.fcc.gov/maps/E-rate-fiber-map" TargetMode="External"/><Relationship Id="rId6" Type="http://schemas.openxmlformats.org/officeDocument/2006/relationships/hyperlink" Target="http://transition.fcc.gov/Bureaus/Common_Carrier/Reports/FCC-State_Link/Monitor/2013_Monitoring_Report.pdf" TargetMode="External"/><Relationship Id="rId5" Type="http://schemas.openxmlformats.org/officeDocument/2006/relationships/hyperlink" Target="http://www.fcc.gov/encyclopedia/contribution-factor-quarterly-filings-universal-service-fund-usf-management-support" TargetMode="External"/><Relationship Id="rId4" Type="http://schemas.openxmlformats.org/officeDocument/2006/relationships/hyperlink" Target="http://www.fcc.gov/encyclopedia/E-rate-modernizatio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3983</Words>
  <Characters>22031</Characters>
  <Application>Microsoft Office Word</Application>
  <DocSecurity>0</DocSecurity>
  <Lines>353</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2014-11-14T22:15:00Z</cp:lastPrinted>
  <dcterms:created xsi:type="dcterms:W3CDTF">2014-11-17T14:50:00Z</dcterms:created>
  <dcterms:modified xsi:type="dcterms:W3CDTF">2014-11-17T14:50:00Z</dcterms:modified>
  <cp:category> </cp:category>
  <cp:contentStatus> </cp:contentStatus>
</cp:coreProperties>
</file>