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93" w:rsidRDefault="00785893" w:rsidP="00D16960">
      <w:pPr>
        <w:spacing w:after="0" w:line="240" w:lineRule="auto"/>
        <w:rPr>
          <w:b/>
        </w:rPr>
      </w:pPr>
      <w:bookmarkStart w:id="0" w:name="_GoBack"/>
      <w:bookmarkEnd w:id="0"/>
      <w:r>
        <w:rPr>
          <w:b/>
        </w:rPr>
        <w:t>FACT SHEET: INCENTIVE AUCTION COMMENT PN</w:t>
      </w:r>
      <w:r w:rsidR="00B77DFD" w:rsidRPr="00D16960">
        <w:rPr>
          <w:b/>
        </w:rPr>
        <w:t xml:space="preserve"> </w:t>
      </w:r>
    </w:p>
    <w:p w:rsidR="00035EFC" w:rsidRDefault="00785893" w:rsidP="00D16960">
      <w:pPr>
        <w:pBdr>
          <w:bottom w:val="single" w:sz="6" w:space="1" w:color="auto"/>
        </w:pBdr>
        <w:spacing w:after="0" w:line="240" w:lineRule="auto"/>
        <w:rPr>
          <w:b/>
        </w:rPr>
      </w:pPr>
      <w:r>
        <w:rPr>
          <w:b/>
        </w:rPr>
        <w:t>December 1</w:t>
      </w:r>
      <w:r w:rsidR="00035EFC">
        <w:rPr>
          <w:b/>
        </w:rPr>
        <w:t>1</w:t>
      </w:r>
      <w:r>
        <w:rPr>
          <w:b/>
        </w:rPr>
        <w:t>, 2014</w:t>
      </w:r>
    </w:p>
    <w:p w:rsidR="00B77DFD" w:rsidRPr="00D16960" w:rsidRDefault="00B77DFD" w:rsidP="00D16960">
      <w:pPr>
        <w:spacing w:after="0" w:line="240" w:lineRule="auto"/>
        <w:rPr>
          <w:b/>
        </w:rPr>
      </w:pPr>
    </w:p>
    <w:p w:rsidR="000B7B8B" w:rsidRDefault="002909D4" w:rsidP="00D16960">
      <w:pPr>
        <w:spacing w:after="0" w:line="240" w:lineRule="auto"/>
      </w:pPr>
      <w:r w:rsidRPr="00785893">
        <w:t>The Comment PN seeks</w:t>
      </w:r>
      <w:r w:rsidR="00AB1E19">
        <w:t xml:space="preserve"> public</w:t>
      </w:r>
      <w:r w:rsidRPr="00785893">
        <w:t xml:space="preserve"> input on detailed proposals for how the incentive auction will be conducted and</w:t>
      </w:r>
      <w:r w:rsidR="000B7B8B" w:rsidRPr="00785893">
        <w:t xml:space="preserve"> provide</w:t>
      </w:r>
      <w:r w:rsidRPr="00785893">
        <w:t>s</w:t>
      </w:r>
      <w:r w:rsidR="000B7B8B" w:rsidRPr="00785893">
        <w:t xml:space="preserve"> a detailed roadmap of the incentive auction process.</w:t>
      </w:r>
      <w:r w:rsidRPr="00785893">
        <w:t xml:space="preserve"> </w:t>
      </w:r>
      <w:r w:rsidR="00B77DFD" w:rsidRPr="00785893">
        <w:t>It</w:t>
      </w:r>
      <w:r w:rsidR="000B7B8B" w:rsidRPr="00785893">
        <w:t xml:space="preserve"> fleshes out the decisions that the Commission made in the </w:t>
      </w:r>
      <w:r w:rsidR="000B7B8B" w:rsidRPr="00785893">
        <w:rPr>
          <w:i/>
        </w:rPr>
        <w:t>Incentive Auction Report and Order</w:t>
      </w:r>
      <w:r w:rsidR="000B7B8B" w:rsidRPr="00785893">
        <w:t xml:space="preserve"> a</w:t>
      </w:r>
      <w:r w:rsidR="00B77DFD" w:rsidRPr="00785893">
        <w:t>n</w:t>
      </w:r>
      <w:r w:rsidR="000B7B8B" w:rsidRPr="00785893">
        <w:t xml:space="preserve">d </w:t>
      </w:r>
      <w:r w:rsidR="000B7B8B" w:rsidRPr="00785893">
        <w:rPr>
          <w:i/>
        </w:rPr>
        <w:t>Mobile Spectrum Holdings Order</w:t>
      </w:r>
      <w:r w:rsidR="000B7B8B" w:rsidRPr="00785893">
        <w:t xml:space="preserve"> last May.</w:t>
      </w:r>
      <w:r w:rsidRPr="00785893">
        <w:t xml:space="preserve"> </w:t>
      </w:r>
      <w:r w:rsidR="000B7B8B" w:rsidRPr="00785893">
        <w:t xml:space="preserve">After considering comments responding to the proposals, the Commission will </w:t>
      </w:r>
      <w:r w:rsidR="00232112">
        <w:t xml:space="preserve">finalize </w:t>
      </w:r>
      <w:r w:rsidR="000B7B8B" w:rsidRPr="00785893">
        <w:t>auction design and procedural details in an Incentive Auction Procedures Public Notice</w:t>
      </w:r>
      <w:r w:rsidR="00B77DFD" w:rsidRPr="00785893">
        <w:t>.</w:t>
      </w:r>
    </w:p>
    <w:p w:rsidR="00785893" w:rsidRPr="00785893" w:rsidRDefault="00785893" w:rsidP="00D16960">
      <w:pPr>
        <w:spacing w:after="0" w:line="240" w:lineRule="auto"/>
      </w:pPr>
    </w:p>
    <w:p w:rsidR="000B7B8B" w:rsidRDefault="00B77DFD" w:rsidP="00D16960">
      <w:pPr>
        <w:spacing w:after="0" w:line="240" w:lineRule="auto"/>
      </w:pPr>
      <w:r w:rsidRPr="00785893">
        <w:t xml:space="preserve">In the </w:t>
      </w:r>
      <w:r w:rsidR="00F31A1E" w:rsidRPr="00785893">
        <w:t xml:space="preserve">Comment </w:t>
      </w:r>
      <w:r w:rsidRPr="00785893">
        <w:t>PN, the Commission seeks comment on</w:t>
      </w:r>
      <w:r w:rsidR="00785893">
        <w:t xml:space="preserve"> a number</w:t>
      </w:r>
      <w:r w:rsidR="00FE380C">
        <w:t xml:space="preserve"> of</w:t>
      </w:r>
      <w:r w:rsidRPr="00785893">
        <w:t xml:space="preserve"> </w:t>
      </w:r>
      <w:r w:rsidR="002909D4" w:rsidRPr="00785893">
        <w:t xml:space="preserve">specific </w:t>
      </w:r>
      <w:r w:rsidRPr="00785893">
        <w:t xml:space="preserve">detailed </w:t>
      </w:r>
      <w:r w:rsidR="002909D4" w:rsidRPr="00785893">
        <w:t>proposals and crucial auction design issues</w:t>
      </w:r>
      <w:r w:rsidR="00785893">
        <w:t>,</w:t>
      </w:r>
      <w:r w:rsidR="002909D4" w:rsidRPr="00785893">
        <w:t xml:space="preserve"> including</w:t>
      </w:r>
      <w:r w:rsidR="000B7B8B" w:rsidRPr="00785893">
        <w:t>:</w:t>
      </w:r>
    </w:p>
    <w:p w:rsidR="00785893" w:rsidRPr="00785893" w:rsidRDefault="00785893" w:rsidP="00D16960">
      <w:pPr>
        <w:spacing w:after="0" w:line="240" w:lineRule="auto"/>
      </w:pPr>
    </w:p>
    <w:p w:rsidR="000B7B8B" w:rsidRPr="00785893" w:rsidRDefault="000B7B8B">
      <w:pPr>
        <w:pStyle w:val="ListParagraph"/>
        <w:numPr>
          <w:ilvl w:val="0"/>
          <w:numId w:val="7"/>
        </w:numPr>
        <w:rPr>
          <w:rFonts w:asciiTheme="minorHAnsi" w:hAnsiTheme="minorHAnsi"/>
          <w:b/>
          <w:sz w:val="22"/>
          <w:szCs w:val="22"/>
        </w:rPr>
      </w:pPr>
      <w:r w:rsidRPr="00785893">
        <w:rPr>
          <w:rFonts w:asciiTheme="minorHAnsi" w:hAnsiTheme="minorHAnsi"/>
          <w:b/>
          <w:sz w:val="22"/>
          <w:szCs w:val="22"/>
        </w:rPr>
        <w:t>Methodology for establishing opening bids for the reverse auction</w:t>
      </w:r>
      <w:r w:rsidR="00785893">
        <w:rPr>
          <w:rFonts w:asciiTheme="minorHAnsi" w:hAnsiTheme="minorHAnsi"/>
          <w:b/>
          <w:sz w:val="22"/>
          <w:szCs w:val="22"/>
        </w:rPr>
        <w:t>:</w:t>
      </w:r>
    </w:p>
    <w:p w:rsidR="00331A3F" w:rsidRPr="00785893" w:rsidRDefault="00331A3F" w:rsidP="00331A3F">
      <w:pPr>
        <w:pStyle w:val="ListParagraph"/>
        <w:numPr>
          <w:ilvl w:val="1"/>
          <w:numId w:val="7"/>
        </w:numPr>
        <w:rPr>
          <w:rFonts w:asciiTheme="minorHAnsi" w:hAnsiTheme="minorHAnsi"/>
          <w:sz w:val="22"/>
          <w:szCs w:val="22"/>
        </w:rPr>
      </w:pPr>
      <w:r w:rsidRPr="00331A3F">
        <w:rPr>
          <w:rFonts w:asciiTheme="minorHAnsi" w:hAnsiTheme="minorHAnsi"/>
          <w:sz w:val="22"/>
          <w:szCs w:val="22"/>
        </w:rPr>
        <w:t>The opening prices a broadcaster would be offered in the reverse auction must be high enough to encourage robust participation, but not so high that the auction requires hundreds of rounds to close or prevent</w:t>
      </w:r>
      <w:r>
        <w:rPr>
          <w:rFonts w:asciiTheme="minorHAnsi" w:hAnsiTheme="minorHAnsi"/>
          <w:sz w:val="22"/>
          <w:szCs w:val="22"/>
        </w:rPr>
        <w:t>s</w:t>
      </w:r>
      <w:r w:rsidRPr="00331A3F">
        <w:rPr>
          <w:rFonts w:asciiTheme="minorHAnsi" w:hAnsiTheme="minorHAnsi"/>
          <w:sz w:val="22"/>
          <w:szCs w:val="22"/>
        </w:rPr>
        <w:t xml:space="preserve"> some of the auction proceeds to be used for Congress’ directive to promote the interests of taxpayers in getting a portion of the value of the spectrum sold at the forward auction</w:t>
      </w:r>
      <w:r>
        <w:rPr>
          <w:rFonts w:asciiTheme="minorHAnsi" w:hAnsiTheme="minorHAnsi"/>
          <w:sz w:val="22"/>
          <w:szCs w:val="22"/>
        </w:rPr>
        <w:t>.</w:t>
      </w:r>
    </w:p>
    <w:p w:rsidR="000B7B8B" w:rsidRPr="00785893" w:rsidRDefault="000B7B8B" w:rsidP="00D16960">
      <w:pPr>
        <w:pStyle w:val="ListParagraph"/>
        <w:numPr>
          <w:ilvl w:val="0"/>
          <w:numId w:val="1"/>
        </w:numPr>
        <w:autoSpaceDE w:val="0"/>
        <w:autoSpaceDN w:val="0"/>
        <w:adjustRightInd w:val="0"/>
        <w:rPr>
          <w:rFonts w:asciiTheme="minorHAnsi" w:hAnsiTheme="minorHAnsi"/>
          <w:sz w:val="22"/>
          <w:szCs w:val="22"/>
        </w:rPr>
      </w:pPr>
      <w:r w:rsidRPr="00785893">
        <w:rPr>
          <w:rFonts w:asciiTheme="minorHAnsi" w:hAnsiTheme="minorHAnsi"/>
          <w:sz w:val="22"/>
          <w:szCs w:val="22"/>
          <w:shd w:val="clear" w:color="auto" w:fill="FFFFFF"/>
        </w:rPr>
        <w:t xml:space="preserve">To balance these objectives, </w:t>
      </w:r>
      <w:r w:rsidRPr="00785893">
        <w:rPr>
          <w:rFonts w:asciiTheme="minorHAnsi" w:hAnsiTheme="minorHAnsi"/>
          <w:sz w:val="22"/>
          <w:szCs w:val="22"/>
        </w:rPr>
        <w:t xml:space="preserve">the </w:t>
      </w:r>
      <w:r w:rsidR="00F31A1E" w:rsidRPr="00785893">
        <w:rPr>
          <w:rFonts w:asciiTheme="minorHAnsi" w:hAnsiTheme="minorHAnsi"/>
          <w:sz w:val="22"/>
          <w:szCs w:val="22"/>
        </w:rPr>
        <w:t xml:space="preserve">Comment PN </w:t>
      </w:r>
      <w:r w:rsidRPr="00785893">
        <w:rPr>
          <w:rFonts w:asciiTheme="minorHAnsi" w:hAnsiTheme="minorHAnsi"/>
          <w:sz w:val="22"/>
          <w:szCs w:val="22"/>
        </w:rPr>
        <w:t xml:space="preserve">proposes that a station’s opening price will equally weight the station’s impact on the repacking process due </w:t>
      </w:r>
      <w:r w:rsidR="00600AE9" w:rsidRPr="00785893">
        <w:rPr>
          <w:rFonts w:asciiTheme="minorHAnsi" w:hAnsiTheme="minorHAnsi"/>
          <w:sz w:val="22"/>
          <w:szCs w:val="22"/>
        </w:rPr>
        <w:t xml:space="preserve">to </w:t>
      </w:r>
      <w:r w:rsidRPr="00785893">
        <w:rPr>
          <w:rFonts w:asciiTheme="minorHAnsi" w:hAnsiTheme="minorHAnsi"/>
          <w:sz w:val="22"/>
          <w:szCs w:val="22"/>
        </w:rPr>
        <w:t xml:space="preserve">the interference it produces and </w:t>
      </w:r>
      <w:r w:rsidR="00586B00" w:rsidRPr="00785893">
        <w:rPr>
          <w:rFonts w:asciiTheme="minorHAnsi" w:hAnsiTheme="minorHAnsi"/>
          <w:sz w:val="22"/>
          <w:szCs w:val="22"/>
        </w:rPr>
        <w:t>the amount of population it serves</w:t>
      </w:r>
      <w:r w:rsidRPr="00785893">
        <w:rPr>
          <w:rFonts w:asciiTheme="minorHAnsi" w:hAnsiTheme="minorHAnsi"/>
          <w:sz w:val="22"/>
          <w:szCs w:val="22"/>
        </w:rPr>
        <w:t>.</w:t>
      </w:r>
    </w:p>
    <w:p w:rsidR="00F54403" w:rsidRPr="00785893" w:rsidRDefault="00F54403" w:rsidP="00D16960">
      <w:pPr>
        <w:pStyle w:val="ListParagraph"/>
        <w:numPr>
          <w:ilvl w:val="0"/>
          <w:numId w:val="1"/>
        </w:numPr>
        <w:autoSpaceDE w:val="0"/>
        <w:autoSpaceDN w:val="0"/>
        <w:adjustRightInd w:val="0"/>
        <w:rPr>
          <w:rFonts w:asciiTheme="minorHAnsi" w:hAnsiTheme="minorHAnsi"/>
          <w:b/>
          <w:sz w:val="22"/>
          <w:szCs w:val="22"/>
        </w:rPr>
      </w:pPr>
      <w:r w:rsidRPr="00785893">
        <w:rPr>
          <w:rFonts w:asciiTheme="minorHAnsi" w:hAnsiTheme="minorHAnsi"/>
          <w:sz w:val="22"/>
          <w:szCs w:val="22"/>
        </w:rPr>
        <w:t xml:space="preserve">The </w:t>
      </w:r>
      <w:r w:rsidR="00F31A1E" w:rsidRPr="00785893">
        <w:rPr>
          <w:rFonts w:asciiTheme="minorHAnsi" w:hAnsiTheme="minorHAnsi"/>
          <w:sz w:val="22"/>
          <w:szCs w:val="22"/>
        </w:rPr>
        <w:t xml:space="preserve">Comment </w:t>
      </w:r>
      <w:r w:rsidRPr="00785893">
        <w:rPr>
          <w:rFonts w:asciiTheme="minorHAnsi" w:hAnsiTheme="minorHAnsi"/>
          <w:sz w:val="22"/>
          <w:szCs w:val="22"/>
        </w:rPr>
        <w:t xml:space="preserve">PN proposes </w:t>
      </w:r>
      <w:r w:rsidR="008D7AE0" w:rsidRPr="00785893">
        <w:rPr>
          <w:rFonts w:asciiTheme="minorHAnsi" w:hAnsiTheme="minorHAnsi"/>
          <w:sz w:val="22"/>
          <w:szCs w:val="22"/>
        </w:rPr>
        <w:t>that a UHF station’s opening</w:t>
      </w:r>
      <w:r w:rsidRPr="00785893">
        <w:rPr>
          <w:rFonts w:asciiTheme="minorHAnsi" w:hAnsiTheme="minorHAnsi"/>
          <w:sz w:val="22"/>
          <w:szCs w:val="22"/>
        </w:rPr>
        <w:t xml:space="preserve"> price for moving to a low VHF station </w:t>
      </w:r>
      <w:r w:rsidR="008D7AE0" w:rsidRPr="00785893">
        <w:rPr>
          <w:rFonts w:asciiTheme="minorHAnsi" w:hAnsiTheme="minorHAnsi"/>
          <w:sz w:val="22"/>
          <w:szCs w:val="22"/>
        </w:rPr>
        <w:t>should be</w:t>
      </w:r>
      <w:r w:rsidRPr="00785893">
        <w:rPr>
          <w:rFonts w:asciiTheme="minorHAnsi" w:hAnsiTheme="minorHAnsi"/>
          <w:sz w:val="22"/>
          <w:szCs w:val="22"/>
        </w:rPr>
        <w:t xml:space="preserve"> 67-80</w:t>
      </w:r>
      <w:r w:rsidR="00035EFC">
        <w:rPr>
          <w:rFonts w:asciiTheme="minorHAnsi" w:hAnsiTheme="minorHAnsi"/>
          <w:sz w:val="22"/>
          <w:szCs w:val="22"/>
        </w:rPr>
        <w:t xml:space="preserve"> percent</w:t>
      </w:r>
      <w:r w:rsidR="00035EFC" w:rsidRPr="00785893">
        <w:rPr>
          <w:rFonts w:asciiTheme="minorHAnsi" w:hAnsiTheme="minorHAnsi"/>
          <w:sz w:val="22"/>
          <w:szCs w:val="22"/>
        </w:rPr>
        <w:t xml:space="preserve"> </w:t>
      </w:r>
      <w:r w:rsidRPr="00785893">
        <w:rPr>
          <w:rFonts w:asciiTheme="minorHAnsi" w:hAnsiTheme="minorHAnsi"/>
          <w:sz w:val="22"/>
          <w:szCs w:val="22"/>
        </w:rPr>
        <w:t xml:space="preserve">of the </w:t>
      </w:r>
      <w:r w:rsidR="008D7AE0" w:rsidRPr="00785893">
        <w:rPr>
          <w:rFonts w:asciiTheme="minorHAnsi" w:hAnsiTheme="minorHAnsi"/>
          <w:sz w:val="22"/>
          <w:szCs w:val="22"/>
        </w:rPr>
        <w:t>opening price for fully relinquishing its license</w:t>
      </w:r>
      <w:r w:rsidR="00CA62C9" w:rsidRPr="00785893">
        <w:rPr>
          <w:rFonts w:asciiTheme="minorHAnsi" w:hAnsiTheme="minorHAnsi"/>
          <w:sz w:val="22"/>
          <w:szCs w:val="22"/>
        </w:rPr>
        <w:t xml:space="preserve">, and </w:t>
      </w:r>
      <w:r w:rsidRPr="00785893">
        <w:rPr>
          <w:rFonts w:asciiTheme="minorHAnsi" w:hAnsiTheme="minorHAnsi"/>
          <w:sz w:val="22"/>
          <w:szCs w:val="22"/>
        </w:rPr>
        <w:t xml:space="preserve">the </w:t>
      </w:r>
      <w:r w:rsidR="008D7AE0" w:rsidRPr="00785893">
        <w:rPr>
          <w:rFonts w:asciiTheme="minorHAnsi" w:hAnsiTheme="minorHAnsi"/>
          <w:sz w:val="22"/>
          <w:szCs w:val="22"/>
        </w:rPr>
        <w:t xml:space="preserve">opening </w:t>
      </w:r>
      <w:r w:rsidRPr="00785893">
        <w:rPr>
          <w:rFonts w:asciiTheme="minorHAnsi" w:hAnsiTheme="minorHAnsi"/>
          <w:sz w:val="22"/>
          <w:szCs w:val="22"/>
        </w:rPr>
        <w:t xml:space="preserve">price for moving to a high VHF station </w:t>
      </w:r>
      <w:r w:rsidR="008D7AE0" w:rsidRPr="00785893">
        <w:rPr>
          <w:rFonts w:asciiTheme="minorHAnsi" w:hAnsiTheme="minorHAnsi"/>
          <w:sz w:val="22"/>
          <w:szCs w:val="22"/>
        </w:rPr>
        <w:t>should be</w:t>
      </w:r>
      <w:r w:rsidRPr="00785893">
        <w:rPr>
          <w:rFonts w:asciiTheme="minorHAnsi" w:hAnsiTheme="minorHAnsi"/>
          <w:sz w:val="22"/>
          <w:szCs w:val="22"/>
        </w:rPr>
        <w:t xml:space="preserve"> 33-50</w:t>
      </w:r>
      <w:r w:rsidR="00035EFC">
        <w:rPr>
          <w:rFonts w:asciiTheme="minorHAnsi" w:hAnsiTheme="minorHAnsi"/>
          <w:sz w:val="22"/>
          <w:szCs w:val="22"/>
        </w:rPr>
        <w:t xml:space="preserve"> percent</w:t>
      </w:r>
      <w:r w:rsidR="00035EFC" w:rsidRPr="00785893">
        <w:rPr>
          <w:rFonts w:asciiTheme="minorHAnsi" w:hAnsiTheme="minorHAnsi"/>
          <w:sz w:val="22"/>
          <w:szCs w:val="22"/>
        </w:rPr>
        <w:t xml:space="preserve"> </w:t>
      </w:r>
      <w:r w:rsidRPr="00785893">
        <w:rPr>
          <w:rFonts w:asciiTheme="minorHAnsi" w:hAnsiTheme="minorHAnsi"/>
          <w:sz w:val="22"/>
          <w:szCs w:val="22"/>
        </w:rPr>
        <w:t xml:space="preserve">of the </w:t>
      </w:r>
      <w:r w:rsidR="008D7AE0" w:rsidRPr="00785893">
        <w:rPr>
          <w:rFonts w:asciiTheme="minorHAnsi" w:hAnsiTheme="minorHAnsi"/>
          <w:sz w:val="22"/>
          <w:szCs w:val="22"/>
        </w:rPr>
        <w:t>full relinquishment amount</w:t>
      </w:r>
      <w:r w:rsidR="00CA62C9" w:rsidRPr="00785893">
        <w:rPr>
          <w:rFonts w:asciiTheme="minorHAnsi" w:hAnsiTheme="minorHAnsi"/>
          <w:sz w:val="22"/>
          <w:szCs w:val="22"/>
        </w:rPr>
        <w:t>, and seeks comment on where in these ranges the discount should be set.</w:t>
      </w:r>
    </w:p>
    <w:p w:rsidR="000B7B8B" w:rsidRPr="00785893" w:rsidRDefault="000B7B8B" w:rsidP="00D16960">
      <w:pPr>
        <w:pStyle w:val="ListParagraph"/>
        <w:numPr>
          <w:ilvl w:val="0"/>
          <w:numId w:val="1"/>
        </w:numPr>
        <w:autoSpaceDE w:val="0"/>
        <w:autoSpaceDN w:val="0"/>
        <w:adjustRightInd w:val="0"/>
        <w:rPr>
          <w:rFonts w:asciiTheme="minorHAnsi" w:hAnsiTheme="minorHAnsi"/>
          <w:b/>
          <w:sz w:val="22"/>
          <w:szCs w:val="22"/>
        </w:rPr>
      </w:pPr>
      <w:r w:rsidRPr="00785893">
        <w:rPr>
          <w:rFonts w:asciiTheme="minorHAnsi" w:hAnsiTheme="minorHAnsi"/>
          <w:sz w:val="22"/>
          <w:szCs w:val="22"/>
        </w:rPr>
        <w:t xml:space="preserve">The </w:t>
      </w:r>
      <w:r w:rsidR="00F31A1E" w:rsidRPr="00785893">
        <w:rPr>
          <w:rFonts w:asciiTheme="minorHAnsi" w:hAnsiTheme="minorHAnsi"/>
          <w:sz w:val="22"/>
          <w:szCs w:val="22"/>
        </w:rPr>
        <w:t xml:space="preserve">Comment PN </w:t>
      </w:r>
      <w:r w:rsidRPr="00785893">
        <w:rPr>
          <w:rFonts w:asciiTheme="minorHAnsi" w:hAnsiTheme="minorHAnsi"/>
          <w:sz w:val="22"/>
          <w:szCs w:val="22"/>
        </w:rPr>
        <w:t>also proposes to use a dynamic reserve price (DRP) procedure</w:t>
      </w:r>
      <w:r w:rsidR="00A419C8" w:rsidRPr="00785893">
        <w:rPr>
          <w:rFonts w:asciiTheme="minorHAnsi" w:hAnsiTheme="minorHAnsi"/>
          <w:sz w:val="22"/>
          <w:szCs w:val="22"/>
        </w:rPr>
        <w:t xml:space="preserve">, which </w:t>
      </w:r>
      <w:r w:rsidR="00D25CE3" w:rsidRPr="00785893">
        <w:rPr>
          <w:rFonts w:asciiTheme="minorHAnsi" w:hAnsiTheme="minorHAnsi"/>
          <w:sz w:val="22"/>
          <w:szCs w:val="22"/>
        </w:rPr>
        <w:t xml:space="preserve">will </w:t>
      </w:r>
      <w:r w:rsidR="00CA62C9" w:rsidRPr="00785893">
        <w:rPr>
          <w:rFonts w:asciiTheme="minorHAnsi" w:hAnsiTheme="minorHAnsi"/>
          <w:sz w:val="22"/>
          <w:szCs w:val="22"/>
        </w:rPr>
        <w:t>facilitate price competition in all markets by offering high opening prices to every broadcaster, and letting the auction process determine the final prices.</w:t>
      </w:r>
      <w:r w:rsidR="00A419C8" w:rsidRPr="00785893">
        <w:rPr>
          <w:rFonts w:asciiTheme="minorHAnsi" w:hAnsiTheme="minorHAnsi"/>
          <w:sz w:val="22"/>
          <w:szCs w:val="22"/>
        </w:rPr>
        <w:t xml:space="preserve">  </w:t>
      </w:r>
    </w:p>
    <w:p w:rsidR="000B7B8B" w:rsidRPr="00785893" w:rsidRDefault="000B7B8B" w:rsidP="00D16960">
      <w:pPr>
        <w:pStyle w:val="ListParagraph"/>
        <w:autoSpaceDE w:val="0"/>
        <w:autoSpaceDN w:val="0"/>
        <w:adjustRightInd w:val="0"/>
        <w:ind w:left="1800"/>
        <w:rPr>
          <w:rFonts w:asciiTheme="minorHAnsi" w:hAnsiTheme="minorHAnsi"/>
          <w:b/>
          <w:i/>
          <w:sz w:val="22"/>
          <w:szCs w:val="22"/>
        </w:rPr>
      </w:pPr>
    </w:p>
    <w:p w:rsidR="000B7B8B" w:rsidRPr="00785893" w:rsidRDefault="000B7B8B" w:rsidP="00D16960">
      <w:pPr>
        <w:pStyle w:val="ListParagraph"/>
        <w:numPr>
          <w:ilvl w:val="0"/>
          <w:numId w:val="7"/>
        </w:numPr>
        <w:autoSpaceDE w:val="0"/>
        <w:autoSpaceDN w:val="0"/>
        <w:adjustRightInd w:val="0"/>
        <w:rPr>
          <w:rFonts w:asciiTheme="minorHAnsi" w:hAnsiTheme="minorHAnsi"/>
          <w:b/>
          <w:sz w:val="22"/>
          <w:szCs w:val="22"/>
          <w:lang w:val="x-none"/>
        </w:rPr>
      </w:pPr>
      <w:r w:rsidRPr="00785893">
        <w:rPr>
          <w:rFonts w:asciiTheme="minorHAnsi" w:hAnsiTheme="minorHAnsi"/>
          <w:b/>
          <w:sz w:val="22"/>
          <w:szCs w:val="22"/>
        </w:rPr>
        <w:t>Methodology for establishing opening bids for the forward auction</w:t>
      </w:r>
      <w:r w:rsidR="00785893">
        <w:rPr>
          <w:rFonts w:asciiTheme="minorHAnsi" w:hAnsiTheme="minorHAnsi"/>
          <w:b/>
          <w:sz w:val="22"/>
          <w:szCs w:val="22"/>
        </w:rPr>
        <w:t>:</w:t>
      </w:r>
    </w:p>
    <w:p w:rsidR="003965D6" w:rsidRPr="004827AB" w:rsidRDefault="000B7B8B" w:rsidP="004827AB">
      <w:pPr>
        <w:pStyle w:val="ListParagraph"/>
        <w:numPr>
          <w:ilvl w:val="0"/>
          <w:numId w:val="2"/>
        </w:numPr>
        <w:autoSpaceDE w:val="0"/>
        <w:autoSpaceDN w:val="0"/>
        <w:adjustRightInd w:val="0"/>
        <w:rPr>
          <w:rFonts w:asciiTheme="minorHAnsi" w:hAnsiTheme="minorHAnsi"/>
          <w:sz w:val="22"/>
          <w:szCs w:val="22"/>
        </w:rPr>
      </w:pPr>
      <w:r w:rsidRPr="00785893">
        <w:rPr>
          <w:rFonts w:asciiTheme="minorHAnsi" w:hAnsiTheme="minorHAnsi"/>
          <w:sz w:val="22"/>
          <w:szCs w:val="22"/>
        </w:rPr>
        <w:t>The</w:t>
      </w:r>
      <w:r w:rsidR="00D679EF" w:rsidRPr="00785893">
        <w:rPr>
          <w:rFonts w:asciiTheme="minorHAnsi" w:hAnsiTheme="minorHAnsi"/>
          <w:sz w:val="22"/>
          <w:szCs w:val="22"/>
        </w:rPr>
        <w:t xml:space="preserve"> Comment PN </w:t>
      </w:r>
      <w:r w:rsidRPr="00785893">
        <w:rPr>
          <w:rFonts w:asciiTheme="minorHAnsi" w:hAnsiTheme="minorHAnsi"/>
          <w:sz w:val="22"/>
          <w:szCs w:val="22"/>
        </w:rPr>
        <w:t>proposes to establish minimum opening bids for each license by assigning a number of “bidding units” to each license.  The number of bidding units for a given license will be based on its weighted population using an index of relative prices from previous auctions.  The Commission used this methodology for the AWS-3 auction.</w:t>
      </w:r>
    </w:p>
    <w:p w:rsidR="003965D6" w:rsidRPr="004827AB" w:rsidRDefault="003965D6" w:rsidP="004827AB">
      <w:pPr>
        <w:pStyle w:val="ListParagraph"/>
        <w:numPr>
          <w:ilvl w:val="1"/>
          <w:numId w:val="7"/>
        </w:numPr>
        <w:rPr>
          <w:rFonts w:asciiTheme="minorHAnsi" w:hAnsiTheme="minorHAnsi"/>
          <w:sz w:val="22"/>
          <w:szCs w:val="22"/>
        </w:rPr>
      </w:pPr>
      <w:r w:rsidRPr="004827AB">
        <w:rPr>
          <w:rFonts w:asciiTheme="minorHAnsi" w:hAnsiTheme="minorHAnsi"/>
          <w:sz w:val="22"/>
          <w:szCs w:val="22"/>
        </w:rPr>
        <w:t xml:space="preserve">Determining an initial clearing target and defining impaired markets: </w:t>
      </w:r>
    </w:p>
    <w:p w:rsidR="003965D6" w:rsidRPr="00785893" w:rsidRDefault="00AB1E19" w:rsidP="004827AB">
      <w:pPr>
        <w:pStyle w:val="ListParagraph"/>
        <w:numPr>
          <w:ilvl w:val="1"/>
          <w:numId w:val="4"/>
        </w:numPr>
        <w:autoSpaceDE w:val="0"/>
        <w:autoSpaceDN w:val="0"/>
        <w:adjustRightInd w:val="0"/>
        <w:rPr>
          <w:rFonts w:asciiTheme="minorHAnsi" w:hAnsiTheme="minorHAnsi"/>
          <w:sz w:val="22"/>
          <w:szCs w:val="22"/>
        </w:rPr>
      </w:pPr>
      <w:r>
        <w:rPr>
          <w:rFonts w:asciiTheme="minorHAnsi" w:hAnsiTheme="minorHAnsi"/>
          <w:sz w:val="22"/>
          <w:szCs w:val="22"/>
        </w:rPr>
        <w:t xml:space="preserve">The </w:t>
      </w:r>
      <w:r w:rsidR="003965D6" w:rsidRPr="00785893">
        <w:rPr>
          <w:rFonts w:asciiTheme="minorHAnsi" w:hAnsiTheme="minorHAnsi"/>
          <w:sz w:val="22"/>
          <w:szCs w:val="22"/>
        </w:rPr>
        <w:t>Comment PN proposes to define the “near nationwide” clearing target as one in which impairments (caused by the need to locate TV stations in the wireless portion of the 600 MHz band), on an aggregate nationwide basis, affect less than 20 percent of U.S. population</w:t>
      </w:r>
      <w:r w:rsidR="003965D6">
        <w:rPr>
          <w:rFonts w:asciiTheme="minorHAnsi" w:hAnsiTheme="minorHAnsi"/>
          <w:sz w:val="22"/>
          <w:szCs w:val="22"/>
        </w:rPr>
        <w:t>,</w:t>
      </w:r>
      <w:r w:rsidR="003965D6" w:rsidRPr="00785893">
        <w:rPr>
          <w:rFonts w:asciiTheme="minorHAnsi" w:hAnsiTheme="minorHAnsi"/>
          <w:sz w:val="22"/>
          <w:szCs w:val="22"/>
        </w:rPr>
        <w:t xml:space="preserve"> weighted to reflect geographic variation in license prices as determined in prior auctions.</w:t>
      </w:r>
    </w:p>
    <w:p w:rsidR="003965D6" w:rsidRPr="00785893" w:rsidRDefault="003965D6" w:rsidP="004827AB">
      <w:pPr>
        <w:pStyle w:val="ListParagraph"/>
        <w:numPr>
          <w:ilvl w:val="1"/>
          <w:numId w:val="7"/>
        </w:numPr>
        <w:rPr>
          <w:rFonts w:asciiTheme="minorHAnsi" w:hAnsiTheme="minorHAnsi"/>
          <w:sz w:val="22"/>
          <w:szCs w:val="22"/>
        </w:rPr>
      </w:pPr>
      <w:r w:rsidRPr="00785893">
        <w:rPr>
          <w:rFonts w:asciiTheme="minorHAnsi" w:hAnsiTheme="minorHAnsi"/>
          <w:sz w:val="22"/>
          <w:szCs w:val="22"/>
        </w:rPr>
        <w:t xml:space="preserve">The forward auction will offer two categories of generic blocks </w:t>
      </w:r>
    </w:p>
    <w:p w:rsidR="003965D6" w:rsidRPr="00785893" w:rsidRDefault="003965D6" w:rsidP="004827AB">
      <w:pPr>
        <w:pStyle w:val="ListParagraph"/>
        <w:numPr>
          <w:ilvl w:val="2"/>
          <w:numId w:val="7"/>
        </w:numPr>
        <w:rPr>
          <w:rFonts w:asciiTheme="minorHAnsi" w:hAnsiTheme="minorHAnsi"/>
          <w:sz w:val="22"/>
          <w:szCs w:val="22"/>
        </w:rPr>
      </w:pPr>
      <w:r w:rsidRPr="00785893">
        <w:rPr>
          <w:rFonts w:asciiTheme="minorHAnsi" w:hAnsiTheme="minorHAnsi"/>
          <w:sz w:val="22"/>
          <w:szCs w:val="22"/>
        </w:rPr>
        <w:t>Category 1 blocks with zero to 15</w:t>
      </w:r>
      <w:r>
        <w:rPr>
          <w:rFonts w:asciiTheme="minorHAnsi" w:hAnsiTheme="minorHAnsi"/>
          <w:sz w:val="22"/>
          <w:szCs w:val="22"/>
        </w:rPr>
        <w:t xml:space="preserve"> percent </w:t>
      </w:r>
      <w:r w:rsidRPr="00785893">
        <w:rPr>
          <w:rFonts w:asciiTheme="minorHAnsi" w:hAnsiTheme="minorHAnsi"/>
          <w:sz w:val="22"/>
          <w:szCs w:val="22"/>
        </w:rPr>
        <w:t>impaired -pops.</w:t>
      </w:r>
    </w:p>
    <w:p w:rsidR="003965D6" w:rsidRPr="00785893" w:rsidRDefault="003965D6" w:rsidP="004827AB">
      <w:pPr>
        <w:pStyle w:val="ListParagraph"/>
        <w:numPr>
          <w:ilvl w:val="2"/>
          <w:numId w:val="7"/>
        </w:numPr>
        <w:rPr>
          <w:rFonts w:asciiTheme="minorHAnsi" w:hAnsiTheme="minorHAnsi"/>
          <w:sz w:val="22"/>
          <w:szCs w:val="22"/>
        </w:rPr>
      </w:pPr>
      <w:r w:rsidRPr="00785893">
        <w:rPr>
          <w:rFonts w:asciiTheme="minorHAnsi" w:hAnsiTheme="minorHAnsi"/>
          <w:sz w:val="22"/>
          <w:szCs w:val="22"/>
        </w:rPr>
        <w:t>Category 2 blocks with more than 15 but not more than 50 percent impairments.</w:t>
      </w:r>
    </w:p>
    <w:p w:rsidR="004827AB" w:rsidRDefault="004827AB" w:rsidP="004827AB">
      <w:pPr>
        <w:pStyle w:val="ListParagraph"/>
        <w:numPr>
          <w:ilvl w:val="1"/>
          <w:numId w:val="7"/>
        </w:numPr>
        <w:rPr>
          <w:rFonts w:asciiTheme="minorHAnsi" w:hAnsiTheme="minorHAnsi"/>
          <w:sz w:val="22"/>
          <w:szCs w:val="22"/>
        </w:rPr>
      </w:pPr>
      <w:r w:rsidRPr="00785893">
        <w:rPr>
          <w:rFonts w:asciiTheme="minorHAnsi" w:hAnsiTheme="minorHAnsi"/>
          <w:sz w:val="22"/>
          <w:szCs w:val="22"/>
        </w:rPr>
        <w:t>Prices for both categories of blocks will receive a one percent discount for each percentage of impaired pops.</w:t>
      </w:r>
    </w:p>
    <w:p w:rsidR="003965D6" w:rsidRPr="00785893" w:rsidRDefault="003965D6" w:rsidP="004827AB">
      <w:pPr>
        <w:pStyle w:val="ListParagraph"/>
        <w:numPr>
          <w:ilvl w:val="1"/>
          <w:numId w:val="7"/>
        </w:numPr>
        <w:rPr>
          <w:rFonts w:asciiTheme="minorHAnsi" w:hAnsiTheme="minorHAnsi"/>
          <w:sz w:val="22"/>
          <w:szCs w:val="22"/>
        </w:rPr>
      </w:pPr>
      <w:r w:rsidRPr="00785893">
        <w:rPr>
          <w:rFonts w:asciiTheme="minorHAnsi" w:hAnsiTheme="minorHAnsi"/>
          <w:sz w:val="22"/>
          <w:szCs w:val="22"/>
        </w:rPr>
        <w:t xml:space="preserve">Blocks with more than 50 percent impaired pops would not be offered. </w:t>
      </w:r>
    </w:p>
    <w:p w:rsidR="00AB1E19" w:rsidRDefault="00AB1E19">
      <w:pPr>
        <w:rPr>
          <w:rFonts w:eastAsia="Times New Roman"/>
        </w:rPr>
      </w:pPr>
      <w:r>
        <w:br w:type="page"/>
      </w:r>
    </w:p>
    <w:p w:rsidR="003965D6" w:rsidRPr="00785893" w:rsidRDefault="003965D6" w:rsidP="00D16960">
      <w:pPr>
        <w:pStyle w:val="ListParagraph"/>
        <w:numPr>
          <w:ilvl w:val="0"/>
          <w:numId w:val="7"/>
        </w:numPr>
        <w:autoSpaceDE w:val="0"/>
        <w:autoSpaceDN w:val="0"/>
        <w:adjustRightInd w:val="0"/>
        <w:rPr>
          <w:rFonts w:asciiTheme="minorHAnsi" w:hAnsiTheme="minorHAnsi"/>
          <w:b/>
          <w:sz w:val="22"/>
          <w:szCs w:val="22"/>
        </w:rPr>
      </w:pPr>
      <w:r w:rsidRPr="00785893">
        <w:rPr>
          <w:rFonts w:asciiTheme="minorHAnsi" w:hAnsiTheme="minorHAnsi"/>
          <w:b/>
          <w:sz w:val="22"/>
          <w:szCs w:val="22"/>
        </w:rPr>
        <w:lastRenderedPageBreak/>
        <w:t>The components of the final stage rule</w:t>
      </w:r>
      <w:r>
        <w:rPr>
          <w:rFonts w:asciiTheme="minorHAnsi" w:hAnsiTheme="minorHAnsi"/>
          <w:b/>
          <w:sz w:val="22"/>
          <w:szCs w:val="22"/>
        </w:rPr>
        <w:t xml:space="preserve">: </w:t>
      </w:r>
    </w:p>
    <w:p w:rsidR="00AB1E19" w:rsidRDefault="003965D6" w:rsidP="00AB1E19">
      <w:pPr>
        <w:pStyle w:val="ListParagraph"/>
        <w:numPr>
          <w:ilvl w:val="0"/>
          <w:numId w:val="2"/>
        </w:numPr>
        <w:autoSpaceDE w:val="0"/>
        <w:autoSpaceDN w:val="0"/>
        <w:adjustRightInd w:val="0"/>
        <w:rPr>
          <w:rFonts w:asciiTheme="minorHAnsi" w:hAnsiTheme="minorHAnsi"/>
          <w:sz w:val="22"/>
          <w:szCs w:val="22"/>
        </w:rPr>
      </w:pPr>
      <w:r w:rsidRPr="00D16960">
        <w:rPr>
          <w:rFonts w:asciiTheme="minorHAnsi" w:hAnsiTheme="minorHAnsi"/>
          <w:sz w:val="22"/>
          <w:szCs w:val="22"/>
        </w:rPr>
        <w:t xml:space="preserve">The </w:t>
      </w:r>
      <w:r w:rsidR="00400CA5" w:rsidRPr="00400CA5">
        <w:rPr>
          <w:rFonts w:asciiTheme="minorHAnsi" w:hAnsiTheme="minorHAnsi"/>
          <w:i/>
          <w:sz w:val="22"/>
          <w:szCs w:val="22"/>
        </w:rPr>
        <w:t>Incentive Auction Report and Order</w:t>
      </w:r>
      <w:r w:rsidRPr="00D16960">
        <w:rPr>
          <w:rFonts w:asciiTheme="minorHAnsi" w:hAnsiTheme="minorHAnsi"/>
          <w:sz w:val="22"/>
          <w:szCs w:val="22"/>
        </w:rPr>
        <w:t xml:space="preserve"> established the rule for determining the final stage of the incentive auction.</w:t>
      </w:r>
    </w:p>
    <w:p w:rsidR="00AB1E19" w:rsidRDefault="003965D6" w:rsidP="00AB1E19">
      <w:pPr>
        <w:pStyle w:val="ListParagraph"/>
        <w:numPr>
          <w:ilvl w:val="0"/>
          <w:numId w:val="2"/>
        </w:numPr>
        <w:autoSpaceDE w:val="0"/>
        <w:autoSpaceDN w:val="0"/>
        <w:adjustRightInd w:val="0"/>
        <w:rPr>
          <w:rFonts w:asciiTheme="minorHAnsi" w:hAnsiTheme="minorHAnsi"/>
          <w:sz w:val="22"/>
          <w:szCs w:val="22"/>
        </w:rPr>
      </w:pPr>
      <w:r w:rsidRPr="00AB1E19">
        <w:rPr>
          <w:rFonts w:asciiTheme="minorHAnsi" w:hAnsiTheme="minorHAnsi"/>
          <w:sz w:val="22"/>
          <w:szCs w:val="22"/>
        </w:rPr>
        <w:t>The first component of the final stage rule is designed to ensure that taxpayers receive fair value for licenses offered in the forward auction, as required by the Communications Act.</w:t>
      </w:r>
    </w:p>
    <w:p w:rsidR="00A95849" w:rsidRDefault="003965D6" w:rsidP="00AB1E19">
      <w:pPr>
        <w:pStyle w:val="ListParagraph"/>
        <w:numPr>
          <w:ilvl w:val="1"/>
          <w:numId w:val="2"/>
        </w:numPr>
        <w:autoSpaceDE w:val="0"/>
        <w:autoSpaceDN w:val="0"/>
        <w:adjustRightInd w:val="0"/>
        <w:rPr>
          <w:rFonts w:asciiTheme="minorHAnsi" w:hAnsiTheme="minorHAnsi"/>
          <w:sz w:val="22"/>
          <w:szCs w:val="22"/>
        </w:rPr>
      </w:pPr>
      <w:r w:rsidRPr="00AB1E19">
        <w:rPr>
          <w:rFonts w:asciiTheme="minorHAnsi" w:hAnsiTheme="minorHAnsi"/>
          <w:sz w:val="22"/>
          <w:szCs w:val="22"/>
        </w:rPr>
        <w:t>For this component, the Comment PN proposes an average price per MHz-pop benchmark of $1.25 for Category 1 licenses in the 40 largest license areas by population, and a spectrum benchmark of 70 megahertz, which corresponds to a clearing targ</w:t>
      </w:r>
      <w:r w:rsidR="00A95849">
        <w:rPr>
          <w:rFonts w:asciiTheme="minorHAnsi" w:hAnsiTheme="minorHAnsi"/>
          <w:sz w:val="22"/>
          <w:szCs w:val="22"/>
        </w:rPr>
        <w:t>et of 84 megahertz of spectrum.</w:t>
      </w:r>
    </w:p>
    <w:p w:rsidR="003965D6" w:rsidRPr="00AB1E19" w:rsidRDefault="003965D6" w:rsidP="00AB1E19">
      <w:pPr>
        <w:pStyle w:val="ListParagraph"/>
        <w:numPr>
          <w:ilvl w:val="1"/>
          <w:numId w:val="2"/>
        </w:numPr>
        <w:autoSpaceDE w:val="0"/>
        <w:autoSpaceDN w:val="0"/>
        <w:adjustRightInd w:val="0"/>
        <w:rPr>
          <w:rFonts w:asciiTheme="minorHAnsi" w:hAnsiTheme="minorHAnsi"/>
          <w:sz w:val="22"/>
          <w:szCs w:val="22"/>
        </w:rPr>
      </w:pPr>
      <w:r w:rsidRPr="00AB1E19">
        <w:rPr>
          <w:rFonts w:asciiTheme="minorHAnsi" w:hAnsiTheme="minorHAnsi"/>
          <w:sz w:val="22"/>
          <w:szCs w:val="22"/>
        </w:rPr>
        <w:t xml:space="preserve">The first component would be satisfied: </w:t>
      </w:r>
    </w:p>
    <w:p w:rsidR="00AB1E19" w:rsidRPr="00AB1E19" w:rsidRDefault="003965D6" w:rsidP="00AB1E19">
      <w:pPr>
        <w:pStyle w:val="ListParagraph"/>
        <w:numPr>
          <w:ilvl w:val="2"/>
          <w:numId w:val="1"/>
        </w:numPr>
        <w:tabs>
          <w:tab w:val="left" w:pos="1620"/>
        </w:tabs>
        <w:autoSpaceDE w:val="0"/>
        <w:autoSpaceDN w:val="0"/>
        <w:adjustRightInd w:val="0"/>
        <w:rPr>
          <w:rFonts w:asciiTheme="minorHAnsi" w:hAnsiTheme="minorHAnsi"/>
          <w:sz w:val="22"/>
          <w:szCs w:val="22"/>
          <w:u w:val="single"/>
        </w:rPr>
      </w:pPr>
      <w:r w:rsidRPr="00785893">
        <w:rPr>
          <w:rFonts w:asciiTheme="minorHAnsi" w:hAnsiTheme="minorHAnsi"/>
          <w:sz w:val="22"/>
          <w:szCs w:val="22"/>
        </w:rPr>
        <w:t>At clearing targets at or below the spectrum benchmark, if forward auction proceeds meet or exceed the average price per MHz-pop benchmark of $1.25 for Category 1 licenses in the 40 largest license areas.</w:t>
      </w:r>
    </w:p>
    <w:p w:rsidR="003965D6" w:rsidRPr="00AB1E19" w:rsidRDefault="003965D6" w:rsidP="00AB1E19">
      <w:pPr>
        <w:pStyle w:val="ListParagraph"/>
        <w:numPr>
          <w:ilvl w:val="2"/>
          <w:numId w:val="1"/>
        </w:numPr>
        <w:tabs>
          <w:tab w:val="left" w:pos="1620"/>
        </w:tabs>
        <w:autoSpaceDE w:val="0"/>
        <w:autoSpaceDN w:val="0"/>
        <w:adjustRightInd w:val="0"/>
        <w:rPr>
          <w:rFonts w:asciiTheme="minorHAnsi" w:hAnsiTheme="minorHAnsi"/>
          <w:sz w:val="22"/>
          <w:szCs w:val="22"/>
          <w:u w:val="single"/>
        </w:rPr>
      </w:pPr>
      <w:r w:rsidRPr="00AB1E19">
        <w:rPr>
          <w:rFonts w:asciiTheme="minorHAnsi" w:hAnsiTheme="minorHAnsi"/>
          <w:sz w:val="22"/>
          <w:szCs w:val="22"/>
        </w:rPr>
        <w:t>At clearing targets above the spectrum benchmark, if forward auction proceeds for all licenses offered meet or exceed the product of the average price per MHz-pop benchmark of $1.25 for Category 1 licenses in the top 40 license areas at the spectrum benchmark of 70 megahertz.</w:t>
      </w:r>
    </w:p>
    <w:p w:rsidR="003965D6" w:rsidRPr="00D16960" w:rsidRDefault="003965D6" w:rsidP="00D16960">
      <w:pPr>
        <w:pStyle w:val="ListParagraph"/>
        <w:numPr>
          <w:ilvl w:val="0"/>
          <w:numId w:val="2"/>
        </w:numPr>
        <w:autoSpaceDE w:val="0"/>
        <w:autoSpaceDN w:val="0"/>
        <w:adjustRightInd w:val="0"/>
        <w:rPr>
          <w:rFonts w:asciiTheme="minorHAnsi" w:hAnsiTheme="minorHAnsi"/>
          <w:sz w:val="22"/>
          <w:szCs w:val="22"/>
        </w:rPr>
      </w:pPr>
      <w:r w:rsidRPr="00785893">
        <w:rPr>
          <w:rFonts w:asciiTheme="minorHAnsi" w:hAnsiTheme="minorHAnsi"/>
          <w:sz w:val="22"/>
          <w:szCs w:val="22"/>
        </w:rPr>
        <w:t>The second component of the final stage rule requires that the proceeds of the forward auction meet certain mandatory expenses set forth in the Spectrum Act and any additional amount needed by the Public Safety Trust Fund for FirstNet.</w:t>
      </w:r>
    </w:p>
    <w:p w:rsidR="003965D6" w:rsidRPr="00785893" w:rsidRDefault="003965D6" w:rsidP="00D16960">
      <w:pPr>
        <w:pStyle w:val="ListParagraph"/>
        <w:ind w:left="1080"/>
        <w:rPr>
          <w:rFonts w:asciiTheme="minorHAnsi" w:hAnsiTheme="minorHAnsi"/>
          <w:sz w:val="22"/>
          <w:szCs w:val="22"/>
          <w:u w:val="single"/>
        </w:rPr>
      </w:pPr>
    </w:p>
    <w:p w:rsidR="000B7B8B" w:rsidRPr="00785893" w:rsidRDefault="000B7B8B" w:rsidP="00D16960">
      <w:pPr>
        <w:pStyle w:val="ListParagraph"/>
        <w:numPr>
          <w:ilvl w:val="0"/>
          <w:numId w:val="7"/>
        </w:numPr>
        <w:autoSpaceDE w:val="0"/>
        <w:autoSpaceDN w:val="0"/>
        <w:adjustRightInd w:val="0"/>
        <w:rPr>
          <w:rFonts w:asciiTheme="minorHAnsi" w:hAnsiTheme="minorHAnsi"/>
          <w:b/>
          <w:sz w:val="22"/>
          <w:szCs w:val="22"/>
        </w:rPr>
      </w:pPr>
      <w:r w:rsidRPr="00785893">
        <w:rPr>
          <w:rFonts w:asciiTheme="minorHAnsi" w:hAnsiTheme="minorHAnsi"/>
          <w:b/>
          <w:sz w:val="22"/>
          <w:szCs w:val="22"/>
        </w:rPr>
        <w:t xml:space="preserve">Application of the Commission’s </w:t>
      </w:r>
      <w:r w:rsidRPr="00785893">
        <w:rPr>
          <w:rFonts w:asciiTheme="minorHAnsi" w:hAnsiTheme="minorHAnsi"/>
          <w:b/>
          <w:sz w:val="22"/>
          <w:szCs w:val="22"/>
          <w:lang w:val="x-none"/>
        </w:rPr>
        <w:t>Mobile Spectrum Holdings</w:t>
      </w:r>
      <w:r w:rsidRPr="00785893">
        <w:rPr>
          <w:rFonts w:asciiTheme="minorHAnsi" w:hAnsiTheme="minorHAnsi"/>
          <w:b/>
          <w:sz w:val="22"/>
          <w:szCs w:val="22"/>
        </w:rPr>
        <w:t xml:space="preserve"> policies and the implementation of the spectrum reserve</w:t>
      </w:r>
      <w:r w:rsidR="00785893">
        <w:rPr>
          <w:rFonts w:asciiTheme="minorHAnsi" w:hAnsiTheme="minorHAnsi"/>
          <w:b/>
          <w:sz w:val="22"/>
          <w:szCs w:val="22"/>
        </w:rPr>
        <w:t>:</w:t>
      </w:r>
    </w:p>
    <w:p w:rsidR="000B7B8B" w:rsidRPr="00785893" w:rsidRDefault="000B7B8B" w:rsidP="00D16960">
      <w:pPr>
        <w:pStyle w:val="ListParagraph"/>
        <w:numPr>
          <w:ilvl w:val="0"/>
          <w:numId w:val="4"/>
        </w:numPr>
        <w:autoSpaceDE w:val="0"/>
        <w:autoSpaceDN w:val="0"/>
        <w:adjustRightInd w:val="0"/>
        <w:rPr>
          <w:rFonts w:asciiTheme="minorHAnsi" w:hAnsiTheme="minorHAnsi"/>
          <w:b/>
          <w:sz w:val="22"/>
          <w:szCs w:val="22"/>
          <w:u w:val="single"/>
        </w:rPr>
      </w:pPr>
      <w:r w:rsidRPr="00785893">
        <w:rPr>
          <w:rFonts w:asciiTheme="minorHAnsi" w:hAnsiTheme="minorHAnsi"/>
          <w:sz w:val="22"/>
          <w:szCs w:val="22"/>
        </w:rPr>
        <w:t xml:space="preserve">The Comment PN seeks comment on determining the amount and type of spectrum that </w:t>
      </w:r>
      <w:r w:rsidR="002927C6" w:rsidRPr="00785893">
        <w:rPr>
          <w:rFonts w:asciiTheme="minorHAnsi" w:hAnsiTheme="minorHAnsi"/>
          <w:sz w:val="22"/>
          <w:szCs w:val="22"/>
        </w:rPr>
        <w:t xml:space="preserve">will be available to </w:t>
      </w:r>
      <w:r w:rsidR="005251D7" w:rsidRPr="00785893">
        <w:rPr>
          <w:rFonts w:asciiTheme="minorHAnsi" w:hAnsiTheme="minorHAnsi"/>
          <w:sz w:val="22"/>
          <w:szCs w:val="22"/>
        </w:rPr>
        <w:t xml:space="preserve">reserve-eligible </w:t>
      </w:r>
      <w:r w:rsidR="002927C6" w:rsidRPr="00785893">
        <w:rPr>
          <w:rFonts w:asciiTheme="minorHAnsi" w:hAnsiTheme="minorHAnsi"/>
          <w:sz w:val="22"/>
          <w:szCs w:val="22"/>
        </w:rPr>
        <w:t>bidders, which may be more reliant on 600 MHz Band spectrum to expand service and compete in the mobile wireless marketplace</w:t>
      </w:r>
      <w:r w:rsidRPr="00785893">
        <w:rPr>
          <w:rFonts w:asciiTheme="minorHAnsi" w:hAnsiTheme="minorHAnsi"/>
          <w:sz w:val="22"/>
          <w:szCs w:val="22"/>
        </w:rPr>
        <w:t>.</w:t>
      </w:r>
    </w:p>
    <w:p w:rsidR="000B7B8B" w:rsidRPr="00785893" w:rsidRDefault="000B7B8B" w:rsidP="00D16960">
      <w:pPr>
        <w:pStyle w:val="ListParagraph"/>
        <w:numPr>
          <w:ilvl w:val="1"/>
          <w:numId w:val="4"/>
        </w:numPr>
        <w:autoSpaceDE w:val="0"/>
        <w:autoSpaceDN w:val="0"/>
        <w:adjustRightInd w:val="0"/>
        <w:rPr>
          <w:rFonts w:asciiTheme="minorHAnsi" w:hAnsiTheme="minorHAnsi"/>
          <w:b/>
          <w:sz w:val="22"/>
          <w:szCs w:val="22"/>
          <w:u w:val="single"/>
        </w:rPr>
      </w:pPr>
      <w:r w:rsidRPr="00785893">
        <w:rPr>
          <w:rFonts w:asciiTheme="minorHAnsi" w:hAnsiTheme="minorHAnsi"/>
          <w:sz w:val="22"/>
          <w:szCs w:val="22"/>
        </w:rPr>
        <w:t xml:space="preserve">The </w:t>
      </w:r>
      <w:r w:rsidR="00F31A1E" w:rsidRPr="00785893">
        <w:rPr>
          <w:rFonts w:asciiTheme="minorHAnsi" w:hAnsiTheme="minorHAnsi"/>
          <w:sz w:val="22"/>
          <w:szCs w:val="22"/>
        </w:rPr>
        <w:t xml:space="preserve">Comment PN </w:t>
      </w:r>
      <w:r w:rsidRPr="00785893">
        <w:rPr>
          <w:rFonts w:asciiTheme="minorHAnsi" w:hAnsiTheme="minorHAnsi"/>
          <w:sz w:val="22"/>
          <w:szCs w:val="22"/>
        </w:rPr>
        <w:t xml:space="preserve">proposes that the maximum number of reserved </w:t>
      </w:r>
      <w:r w:rsidR="00DA46AC" w:rsidRPr="00785893">
        <w:rPr>
          <w:rFonts w:asciiTheme="minorHAnsi" w:hAnsiTheme="minorHAnsi"/>
          <w:sz w:val="22"/>
          <w:szCs w:val="22"/>
        </w:rPr>
        <w:t xml:space="preserve">blocks </w:t>
      </w:r>
      <w:r w:rsidRPr="00785893">
        <w:rPr>
          <w:rFonts w:asciiTheme="minorHAnsi" w:hAnsiTheme="minorHAnsi"/>
          <w:sz w:val="22"/>
          <w:szCs w:val="22"/>
        </w:rPr>
        <w:t xml:space="preserve">will be based on the </w:t>
      </w:r>
      <w:r w:rsidRPr="00D915B0">
        <w:rPr>
          <w:rFonts w:asciiTheme="minorHAnsi" w:hAnsiTheme="minorHAnsi"/>
          <w:sz w:val="22"/>
          <w:szCs w:val="22"/>
        </w:rPr>
        <w:t>total</w:t>
      </w:r>
      <w:r w:rsidRPr="00785893">
        <w:rPr>
          <w:rFonts w:asciiTheme="minorHAnsi" w:hAnsiTheme="minorHAnsi"/>
          <w:sz w:val="22"/>
          <w:szCs w:val="22"/>
        </w:rPr>
        <w:t xml:space="preserve"> number of spectrum blocks –Category 1 blocks plus Category 2 blocks – offered in a given service area. </w:t>
      </w:r>
    </w:p>
    <w:p w:rsidR="000B7B8B" w:rsidRPr="00785893" w:rsidRDefault="000B7B8B" w:rsidP="00D16960">
      <w:pPr>
        <w:pStyle w:val="ListParagraph"/>
        <w:numPr>
          <w:ilvl w:val="1"/>
          <w:numId w:val="4"/>
        </w:numPr>
        <w:autoSpaceDE w:val="0"/>
        <w:autoSpaceDN w:val="0"/>
        <w:adjustRightInd w:val="0"/>
        <w:rPr>
          <w:rFonts w:asciiTheme="minorHAnsi" w:hAnsiTheme="minorHAnsi"/>
          <w:b/>
          <w:sz w:val="22"/>
          <w:szCs w:val="22"/>
          <w:u w:val="single"/>
        </w:rPr>
      </w:pPr>
      <w:r w:rsidRPr="00785893">
        <w:rPr>
          <w:rFonts w:asciiTheme="minorHAnsi" w:hAnsiTheme="minorHAnsi"/>
          <w:sz w:val="22"/>
          <w:szCs w:val="22"/>
        </w:rPr>
        <w:t xml:space="preserve">The reserved </w:t>
      </w:r>
      <w:r w:rsidR="00DA46AC" w:rsidRPr="00785893">
        <w:rPr>
          <w:rFonts w:asciiTheme="minorHAnsi" w:hAnsiTheme="minorHAnsi"/>
          <w:sz w:val="22"/>
          <w:szCs w:val="22"/>
        </w:rPr>
        <w:t xml:space="preserve">blocks </w:t>
      </w:r>
      <w:r w:rsidRPr="00785893">
        <w:rPr>
          <w:rFonts w:asciiTheme="minorHAnsi" w:hAnsiTheme="minorHAnsi"/>
          <w:sz w:val="22"/>
          <w:szCs w:val="22"/>
        </w:rPr>
        <w:t xml:space="preserve">will consist only of Category 1 blocks. </w:t>
      </w:r>
    </w:p>
    <w:p w:rsidR="000B7B8B" w:rsidRPr="00785893" w:rsidRDefault="000B7B8B" w:rsidP="00D16960">
      <w:pPr>
        <w:pStyle w:val="ListParagraph"/>
        <w:autoSpaceDE w:val="0"/>
        <w:autoSpaceDN w:val="0"/>
        <w:adjustRightInd w:val="0"/>
        <w:ind w:left="1080"/>
        <w:rPr>
          <w:rFonts w:asciiTheme="minorHAnsi" w:hAnsiTheme="minorHAnsi"/>
          <w:b/>
          <w:sz w:val="22"/>
          <w:szCs w:val="22"/>
          <w:u w:val="single"/>
        </w:rPr>
      </w:pPr>
    </w:p>
    <w:p w:rsidR="000B7B8B" w:rsidRPr="00785893" w:rsidRDefault="000B7B8B" w:rsidP="00D16960">
      <w:pPr>
        <w:pStyle w:val="ListParagraph"/>
        <w:numPr>
          <w:ilvl w:val="0"/>
          <w:numId w:val="7"/>
        </w:numPr>
        <w:autoSpaceDE w:val="0"/>
        <w:autoSpaceDN w:val="0"/>
        <w:adjustRightInd w:val="0"/>
        <w:rPr>
          <w:rFonts w:asciiTheme="minorHAnsi" w:hAnsiTheme="minorHAnsi"/>
          <w:b/>
          <w:sz w:val="22"/>
          <w:szCs w:val="22"/>
        </w:rPr>
      </w:pPr>
      <w:r w:rsidRPr="00785893">
        <w:rPr>
          <w:rFonts w:asciiTheme="minorHAnsi" w:hAnsiTheme="minorHAnsi"/>
          <w:b/>
          <w:sz w:val="22"/>
          <w:szCs w:val="22"/>
          <w:lang w:val="x-none"/>
        </w:rPr>
        <w:t>F</w:t>
      </w:r>
      <w:r w:rsidRPr="00785893">
        <w:rPr>
          <w:rFonts w:asciiTheme="minorHAnsi" w:hAnsiTheme="minorHAnsi"/>
          <w:b/>
          <w:sz w:val="22"/>
          <w:szCs w:val="22"/>
        </w:rPr>
        <w:t>actors to consider in making provisional and final channel assignments and the priority in which they should be considered</w:t>
      </w:r>
      <w:r w:rsidR="00785893">
        <w:rPr>
          <w:rFonts w:asciiTheme="minorHAnsi" w:hAnsiTheme="minorHAnsi"/>
          <w:b/>
          <w:sz w:val="22"/>
          <w:szCs w:val="22"/>
        </w:rPr>
        <w:t>:</w:t>
      </w:r>
    </w:p>
    <w:p w:rsidR="00AB1E19" w:rsidRDefault="000B7B8B" w:rsidP="00AB1E19">
      <w:pPr>
        <w:pStyle w:val="ListParagraph"/>
        <w:numPr>
          <w:ilvl w:val="1"/>
          <w:numId w:val="5"/>
        </w:numPr>
        <w:autoSpaceDE w:val="0"/>
        <w:autoSpaceDN w:val="0"/>
        <w:adjustRightInd w:val="0"/>
        <w:rPr>
          <w:rFonts w:asciiTheme="minorHAnsi" w:hAnsiTheme="minorHAnsi"/>
          <w:sz w:val="22"/>
          <w:szCs w:val="22"/>
        </w:rPr>
      </w:pPr>
      <w:r w:rsidRPr="00FE380C">
        <w:rPr>
          <w:rFonts w:asciiTheme="minorHAnsi" w:hAnsiTheme="minorHAnsi"/>
          <w:sz w:val="22"/>
          <w:szCs w:val="22"/>
        </w:rPr>
        <w:t>At the end of each reverse auction stage, all channel assignments will be provisional. The Comment PN proposes to determine the final channel assignment based on factors that minimize the impact of repacking on broadcasters</w:t>
      </w:r>
      <w:r w:rsidR="00FE380C">
        <w:rPr>
          <w:rFonts w:asciiTheme="minorHAnsi" w:hAnsiTheme="minorHAnsi"/>
          <w:sz w:val="22"/>
          <w:szCs w:val="22"/>
        </w:rPr>
        <w:t>.</w:t>
      </w:r>
      <w:r w:rsidR="00D915B0">
        <w:rPr>
          <w:rFonts w:asciiTheme="minorHAnsi" w:hAnsiTheme="minorHAnsi"/>
          <w:sz w:val="22"/>
          <w:szCs w:val="22"/>
        </w:rPr>
        <w:t xml:space="preserve"> </w:t>
      </w:r>
    </w:p>
    <w:p w:rsidR="00AB1E19" w:rsidRDefault="000B7B8B" w:rsidP="00AB1E19">
      <w:pPr>
        <w:pStyle w:val="ListParagraph"/>
        <w:numPr>
          <w:ilvl w:val="2"/>
          <w:numId w:val="5"/>
        </w:numPr>
        <w:autoSpaceDE w:val="0"/>
        <w:autoSpaceDN w:val="0"/>
        <w:adjustRightInd w:val="0"/>
        <w:rPr>
          <w:rFonts w:asciiTheme="minorHAnsi" w:hAnsiTheme="minorHAnsi"/>
          <w:sz w:val="22"/>
          <w:szCs w:val="22"/>
        </w:rPr>
      </w:pPr>
      <w:r w:rsidRPr="00FE380C">
        <w:rPr>
          <w:rFonts w:asciiTheme="minorHAnsi" w:hAnsiTheme="minorHAnsi"/>
          <w:sz w:val="22"/>
          <w:szCs w:val="22"/>
        </w:rPr>
        <w:t xml:space="preserve">The factors include: </w:t>
      </w:r>
    </w:p>
    <w:p w:rsidR="00AB1E19" w:rsidRDefault="00DF4BEC" w:rsidP="00AB1E19">
      <w:pPr>
        <w:pStyle w:val="ListParagraph"/>
        <w:numPr>
          <w:ilvl w:val="3"/>
          <w:numId w:val="5"/>
        </w:numPr>
        <w:autoSpaceDE w:val="0"/>
        <w:autoSpaceDN w:val="0"/>
        <w:adjustRightInd w:val="0"/>
        <w:rPr>
          <w:rFonts w:asciiTheme="minorHAnsi" w:hAnsiTheme="minorHAnsi"/>
          <w:sz w:val="22"/>
          <w:szCs w:val="22"/>
        </w:rPr>
      </w:pPr>
      <w:r>
        <w:rPr>
          <w:rFonts w:asciiTheme="minorHAnsi" w:hAnsiTheme="minorHAnsi"/>
          <w:sz w:val="22"/>
          <w:szCs w:val="22"/>
        </w:rPr>
        <w:t>M</w:t>
      </w:r>
      <w:r w:rsidR="000B7B8B" w:rsidRPr="00FE380C">
        <w:rPr>
          <w:rFonts w:asciiTheme="minorHAnsi" w:hAnsiTheme="minorHAnsi"/>
          <w:sz w:val="22"/>
          <w:szCs w:val="22"/>
        </w:rPr>
        <w:t xml:space="preserve">aximizing the number of stations assigned to their pre-auction channel; </w:t>
      </w:r>
    </w:p>
    <w:p w:rsidR="00AB1E19" w:rsidRDefault="00DF4BEC" w:rsidP="00AB1E19">
      <w:pPr>
        <w:pStyle w:val="ListParagraph"/>
        <w:numPr>
          <w:ilvl w:val="3"/>
          <w:numId w:val="5"/>
        </w:numPr>
        <w:autoSpaceDE w:val="0"/>
        <w:autoSpaceDN w:val="0"/>
        <w:adjustRightInd w:val="0"/>
        <w:rPr>
          <w:rFonts w:asciiTheme="minorHAnsi" w:hAnsiTheme="minorHAnsi"/>
          <w:sz w:val="22"/>
          <w:szCs w:val="22"/>
        </w:rPr>
      </w:pPr>
      <w:r>
        <w:rPr>
          <w:rFonts w:asciiTheme="minorHAnsi" w:hAnsiTheme="minorHAnsi"/>
          <w:sz w:val="22"/>
          <w:szCs w:val="22"/>
        </w:rPr>
        <w:t>M</w:t>
      </w:r>
      <w:r w:rsidR="000B7B8B" w:rsidRPr="00FE380C">
        <w:rPr>
          <w:rFonts w:asciiTheme="minorHAnsi" w:hAnsiTheme="minorHAnsi"/>
          <w:sz w:val="22"/>
          <w:szCs w:val="22"/>
        </w:rPr>
        <w:t xml:space="preserve">inimizing the number of stations predicted to receive aggregate new interference above one </w:t>
      </w:r>
      <w:r w:rsidR="00035EFC" w:rsidRPr="00FE380C">
        <w:rPr>
          <w:rFonts w:asciiTheme="minorHAnsi" w:hAnsiTheme="minorHAnsi"/>
          <w:sz w:val="22"/>
          <w:szCs w:val="22"/>
        </w:rPr>
        <w:t>percent</w:t>
      </w:r>
      <w:r w:rsidR="000B7B8B" w:rsidRPr="00FE380C">
        <w:rPr>
          <w:rFonts w:asciiTheme="minorHAnsi" w:hAnsiTheme="minorHAnsi"/>
          <w:sz w:val="22"/>
          <w:szCs w:val="22"/>
        </w:rPr>
        <w:t>; and</w:t>
      </w:r>
    </w:p>
    <w:p w:rsidR="000B7B8B" w:rsidRPr="00FE380C" w:rsidRDefault="00DF4BEC" w:rsidP="00AB1E19">
      <w:pPr>
        <w:pStyle w:val="ListParagraph"/>
        <w:numPr>
          <w:ilvl w:val="3"/>
          <w:numId w:val="5"/>
        </w:numPr>
        <w:autoSpaceDE w:val="0"/>
        <w:autoSpaceDN w:val="0"/>
        <w:adjustRightInd w:val="0"/>
        <w:rPr>
          <w:rFonts w:asciiTheme="minorHAnsi" w:hAnsiTheme="minorHAnsi"/>
          <w:sz w:val="22"/>
          <w:szCs w:val="22"/>
        </w:rPr>
      </w:pPr>
      <w:r>
        <w:rPr>
          <w:rFonts w:asciiTheme="minorHAnsi" w:hAnsiTheme="minorHAnsi"/>
          <w:sz w:val="22"/>
          <w:szCs w:val="22"/>
        </w:rPr>
        <w:t>A</w:t>
      </w:r>
      <w:r w:rsidR="000B7B8B" w:rsidRPr="00FE380C">
        <w:rPr>
          <w:rFonts w:asciiTheme="minorHAnsi" w:hAnsiTheme="minorHAnsi"/>
          <w:sz w:val="22"/>
          <w:szCs w:val="22"/>
        </w:rPr>
        <w:t>voiding reassignments of stations with high anticipated relocation costs in order to minimize total relocation costs.</w:t>
      </w:r>
    </w:p>
    <w:p w:rsidR="000B7B8B" w:rsidRPr="00785893" w:rsidRDefault="000B7B8B" w:rsidP="00D16960">
      <w:pPr>
        <w:pStyle w:val="ListParagraph"/>
        <w:autoSpaceDE w:val="0"/>
        <w:autoSpaceDN w:val="0"/>
        <w:adjustRightInd w:val="0"/>
        <w:ind w:left="1800"/>
        <w:rPr>
          <w:rFonts w:asciiTheme="minorHAnsi" w:hAnsiTheme="minorHAnsi"/>
          <w:sz w:val="22"/>
          <w:szCs w:val="22"/>
        </w:rPr>
      </w:pPr>
    </w:p>
    <w:p w:rsidR="000B7B8B" w:rsidRPr="00785893" w:rsidRDefault="000B7B8B" w:rsidP="00D16960">
      <w:pPr>
        <w:spacing w:after="0" w:line="240" w:lineRule="auto"/>
      </w:pPr>
    </w:p>
    <w:sectPr w:rsidR="000B7B8B" w:rsidRPr="00785893" w:rsidSect="00D16960">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F2" w:rsidRDefault="00E241F2" w:rsidP="00B77DFD">
      <w:pPr>
        <w:spacing w:after="0" w:line="240" w:lineRule="auto"/>
      </w:pPr>
      <w:r>
        <w:separator/>
      </w:r>
    </w:p>
  </w:endnote>
  <w:endnote w:type="continuationSeparator" w:id="0">
    <w:p w:rsidR="00E241F2" w:rsidRDefault="00E241F2" w:rsidP="00B7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0C" w:rsidRDefault="00491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21602"/>
      <w:docPartObj>
        <w:docPartGallery w:val="Page Numbers (Bottom of Page)"/>
        <w:docPartUnique/>
      </w:docPartObj>
    </w:sdtPr>
    <w:sdtEndPr>
      <w:rPr>
        <w:noProof/>
      </w:rPr>
    </w:sdtEndPr>
    <w:sdtContent>
      <w:p w:rsidR="00035EFC" w:rsidRDefault="00035EFC">
        <w:pPr>
          <w:pStyle w:val="Footer"/>
          <w:jc w:val="center"/>
        </w:pPr>
        <w:r>
          <w:fldChar w:fldCharType="begin"/>
        </w:r>
        <w:r>
          <w:instrText xml:space="preserve"> PAGE   \* MERGEFORMAT </w:instrText>
        </w:r>
        <w:r>
          <w:fldChar w:fldCharType="separate"/>
        </w:r>
        <w:r w:rsidR="002E2C87">
          <w:rPr>
            <w:noProof/>
          </w:rPr>
          <w:t>1</w:t>
        </w:r>
        <w:r>
          <w:rPr>
            <w:noProof/>
          </w:rPr>
          <w:fldChar w:fldCharType="end"/>
        </w:r>
      </w:p>
    </w:sdtContent>
  </w:sdt>
  <w:p w:rsidR="00586B00" w:rsidRDefault="00586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0C" w:rsidRDefault="0049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F2" w:rsidRDefault="00E241F2" w:rsidP="00B77DFD">
      <w:pPr>
        <w:spacing w:after="0" w:line="240" w:lineRule="auto"/>
      </w:pPr>
      <w:r>
        <w:separator/>
      </w:r>
    </w:p>
  </w:footnote>
  <w:footnote w:type="continuationSeparator" w:id="0">
    <w:p w:rsidR="00E241F2" w:rsidRDefault="00E241F2" w:rsidP="00B77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0C" w:rsidRDefault="00491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0C" w:rsidRDefault="00491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0C" w:rsidRDefault="00491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AE1"/>
    <w:multiLevelType w:val="hybridMultilevel"/>
    <w:tmpl w:val="98821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90768"/>
    <w:multiLevelType w:val="hybridMultilevel"/>
    <w:tmpl w:val="502C0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D6E62"/>
    <w:multiLevelType w:val="hybridMultilevel"/>
    <w:tmpl w:val="3498FC5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F31C6"/>
    <w:multiLevelType w:val="hybridMultilevel"/>
    <w:tmpl w:val="EF4CF3F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8B4491"/>
    <w:multiLevelType w:val="hybridMultilevel"/>
    <w:tmpl w:val="E0CA5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A1598F"/>
    <w:multiLevelType w:val="hybridMultilevel"/>
    <w:tmpl w:val="D638C20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36575F"/>
    <w:multiLevelType w:val="hybridMultilevel"/>
    <w:tmpl w:val="1DA8133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16C41"/>
    <w:multiLevelType w:val="hybridMultilevel"/>
    <w:tmpl w:val="109478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8B"/>
    <w:rsid w:val="00035EFC"/>
    <w:rsid w:val="000B7B8B"/>
    <w:rsid w:val="000D39B4"/>
    <w:rsid w:val="001043AA"/>
    <w:rsid w:val="0011572E"/>
    <w:rsid w:val="00232112"/>
    <w:rsid w:val="00234BD0"/>
    <w:rsid w:val="002909D4"/>
    <w:rsid w:val="002927C6"/>
    <w:rsid w:val="002E2C87"/>
    <w:rsid w:val="002E5B1C"/>
    <w:rsid w:val="00324A2C"/>
    <w:rsid w:val="00331A3F"/>
    <w:rsid w:val="00350B5E"/>
    <w:rsid w:val="003965D6"/>
    <w:rsid w:val="00400CA5"/>
    <w:rsid w:val="0041046C"/>
    <w:rsid w:val="00413AE1"/>
    <w:rsid w:val="004827AB"/>
    <w:rsid w:val="00491A0C"/>
    <w:rsid w:val="004A267E"/>
    <w:rsid w:val="004B26FC"/>
    <w:rsid w:val="004C3019"/>
    <w:rsid w:val="004F4847"/>
    <w:rsid w:val="005251D7"/>
    <w:rsid w:val="00586B00"/>
    <w:rsid w:val="00600AE9"/>
    <w:rsid w:val="0060549C"/>
    <w:rsid w:val="006F09EB"/>
    <w:rsid w:val="00785893"/>
    <w:rsid w:val="007D0207"/>
    <w:rsid w:val="007E63EE"/>
    <w:rsid w:val="00853391"/>
    <w:rsid w:val="008A606A"/>
    <w:rsid w:val="008D7AE0"/>
    <w:rsid w:val="008E330A"/>
    <w:rsid w:val="00934FF4"/>
    <w:rsid w:val="009932EE"/>
    <w:rsid w:val="00A419C8"/>
    <w:rsid w:val="00A47DE0"/>
    <w:rsid w:val="00A73DBA"/>
    <w:rsid w:val="00A76C7C"/>
    <w:rsid w:val="00A95849"/>
    <w:rsid w:val="00AB1E19"/>
    <w:rsid w:val="00AE5401"/>
    <w:rsid w:val="00B01D85"/>
    <w:rsid w:val="00B139CB"/>
    <w:rsid w:val="00B67BCE"/>
    <w:rsid w:val="00B77DFD"/>
    <w:rsid w:val="00BB1E76"/>
    <w:rsid w:val="00BF3893"/>
    <w:rsid w:val="00CA62C9"/>
    <w:rsid w:val="00CC6EA5"/>
    <w:rsid w:val="00D16960"/>
    <w:rsid w:val="00D25CE3"/>
    <w:rsid w:val="00D679EF"/>
    <w:rsid w:val="00D915B0"/>
    <w:rsid w:val="00DA46AC"/>
    <w:rsid w:val="00DB62E7"/>
    <w:rsid w:val="00DD4580"/>
    <w:rsid w:val="00DF4BEC"/>
    <w:rsid w:val="00E241F2"/>
    <w:rsid w:val="00E60F62"/>
    <w:rsid w:val="00F31A1E"/>
    <w:rsid w:val="00F54403"/>
    <w:rsid w:val="00F80FC6"/>
    <w:rsid w:val="00FE380C"/>
    <w:rsid w:val="00FE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8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8B"/>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0B7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8B"/>
    <w:rPr>
      <w:rFonts w:eastAsiaTheme="minorEastAsia" w:cs="Times New Roman"/>
    </w:rPr>
  </w:style>
  <w:style w:type="paragraph" w:styleId="Footer">
    <w:name w:val="footer"/>
    <w:basedOn w:val="Normal"/>
    <w:link w:val="FooterChar"/>
    <w:uiPriority w:val="99"/>
    <w:unhideWhenUsed/>
    <w:rsid w:val="000B7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8B"/>
    <w:rPr>
      <w:rFonts w:eastAsiaTheme="minorEastAsia" w:cs="Times New Roman"/>
    </w:rPr>
  </w:style>
  <w:style w:type="paragraph" w:styleId="BalloonText">
    <w:name w:val="Balloon Text"/>
    <w:basedOn w:val="Normal"/>
    <w:link w:val="BalloonTextChar"/>
    <w:uiPriority w:val="99"/>
    <w:semiHidden/>
    <w:unhideWhenUsed/>
    <w:rsid w:val="0023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D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86B00"/>
    <w:rPr>
      <w:sz w:val="18"/>
      <w:szCs w:val="18"/>
    </w:rPr>
  </w:style>
  <w:style w:type="paragraph" w:styleId="CommentText">
    <w:name w:val="annotation text"/>
    <w:basedOn w:val="Normal"/>
    <w:link w:val="CommentTextChar"/>
    <w:uiPriority w:val="99"/>
    <w:semiHidden/>
    <w:unhideWhenUsed/>
    <w:rsid w:val="00586B00"/>
    <w:pPr>
      <w:spacing w:line="240" w:lineRule="auto"/>
    </w:pPr>
    <w:rPr>
      <w:sz w:val="24"/>
      <w:szCs w:val="24"/>
    </w:rPr>
  </w:style>
  <w:style w:type="character" w:customStyle="1" w:styleId="CommentTextChar">
    <w:name w:val="Comment Text Char"/>
    <w:basedOn w:val="DefaultParagraphFont"/>
    <w:link w:val="CommentText"/>
    <w:uiPriority w:val="99"/>
    <w:semiHidden/>
    <w:rsid w:val="00586B00"/>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586B00"/>
    <w:rPr>
      <w:b/>
      <w:bCs/>
      <w:sz w:val="20"/>
      <w:szCs w:val="20"/>
    </w:rPr>
  </w:style>
  <w:style w:type="character" w:customStyle="1" w:styleId="CommentSubjectChar">
    <w:name w:val="Comment Subject Char"/>
    <w:basedOn w:val="CommentTextChar"/>
    <w:link w:val="CommentSubject"/>
    <w:uiPriority w:val="99"/>
    <w:semiHidden/>
    <w:rsid w:val="00586B00"/>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B8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B8B"/>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0B7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8B"/>
    <w:rPr>
      <w:rFonts w:eastAsiaTheme="minorEastAsia" w:cs="Times New Roman"/>
    </w:rPr>
  </w:style>
  <w:style w:type="paragraph" w:styleId="Footer">
    <w:name w:val="footer"/>
    <w:basedOn w:val="Normal"/>
    <w:link w:val="FooterChar"/>
    <w:uiPriority w:val="99"/>
    <w:unhideWhenUsed/>
    <w:rsid w:val="000B7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8B"/>
    <w:rPr>
      <w:rFonts w:eastAsiaTheme="minorEastAsia" w:cs="Times New Roman"/>
    </w:rPr>
  </w:style>
  <w:style w:type="paragraph" w:styleId="BalloonText">
    <w:name w:val="Balloon Text"/>
    <w:basedOn w:val="Normal"/>
    <w:link w:val="BalloonTextChar"/>
    <w:uiPriority w:val="99"/>
    <w:semiHidden/>
    <w:unhideWhenUsed/>
    <w:rsid w:val="0023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D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86B00"/>
    <w:rPr>
      <w:sz w:val="18"/>
      <w:szCs w:val="18"/>
    </w:rPr>
  </w:style>
  <w:style w:type="paragraph" w:styleId="CommentText">
    <w:name w:val="annotation text"/>
    <w:basedOn w:val="Normal"/>
    <w:link w:val="CommentTextChar"/>
    <w:uiPriority w:val="99"/>
    <w:semiHidden/>
    <w:unhideWhenUsed/>
    <w:rsid w:val="00586B00"/>
    <w:pPr>
      <w:spacing w:line="240" w:lineRule="auto"/>
    </w:pPr>
    <w:rPr>
      <w:sz w:val="24"/>
      <w:szCs w:val="24"/>
    </w:rPr>
  </w:style>
  <w:style w:type="character" w:customStyle="1" w:styleId="CommentTextChar">
    <w:name w:val="Comment Text Char"/>
    <w:basedOn w:val="DefaultParagraphFont"/>
    <w:link w:val="CommentText"/>
    <w:uiPriority w:val="99"/>
    <w:semiHidden/>
    <w:rsid w:val="00586B00"/>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586B00"/>
    <w:rPr>
      <w:b/>
      <w:bCs/>
      <w:sz w:val="20"/>
      <w:szCs w:val="20"/>
    </w:rPr>
  </w:style>
  <w:style w:type="character" w:customStyle="1" w:styleId="CommentSubjectChar">
    <w:name w:val="Comment Subject Char"/>
    <w:basedOn w:val="CommentTextChar"/>
    <w:link w:val="CommentSubject"/>
    <w:uiPriority w:val="99"/>
    <w:semiHidden/>
    <w:rsid w:val="00586B00"/>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4940</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2014-12-11T15:19:00Z</cp:lastPrinted>
  <dcterms:created xsi:type="dcterms:W3CDTF">2014-12-11T19:16:00Z</dcterms:created>
  <dcterms:modified xsi:type="dcterms:W3CDTF">2014-12-11T19:16:00Z</dcterms:modified>
  <cp:category> </cp:category>
  <cp:contentStatus> </cp:contentStatus>
</cp:coreProperties>
</file>