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E507EE">
        <w:tc>
          <w:tcPr>
            <w:tcW w:w="4698" w:type="dxa"/>
          </w:tcPr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ETC Annual Reports and Certifications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E3827" w:rsidRPr="007115F7" w:rsidRDefault="007E3827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Petition of USTelecom for Forbearance Pursuant to 47 U.S.C. § 160(c) from Obsolete ILEC Regulatory Obligations that Inhibit Deployment of Next-Generation Networks</w:t>
            </w:r>
          </w:p>
        </w:tc>
        <w:tc>
          <w:tcPr>
            <w:tcW w:w="630" w:type="dxa"/>
          </w:tcPr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E3827" w:rsidRDefault="007E3827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E3827" w:rsidRDefault="007E3827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7E3827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E3827" w:rsidRDefault="007E3827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E3827" w:rsidRDefault="007E3827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E3827" w:rsidRPr="00743E32" w:rsidRDefault="007E3827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743E32">
            <w:pPr>
              <w:pStyle w:val="TOAHeading"/>
              <w:widowControl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14-58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E3827" w:rsidRDefault="007E3827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14-192</w:t>
            </w:r>
          </w:p>
        </w:tc>
      </w:tr>
    </w:tbl>
    <w:p w:rsidR="004C2EE3" w:rsidRPr="00271EC9" w:rsidRDefault="00DC083C" w:rsidP="00271EC9">
      <w:pPr>
        <w:pStyle w:val="StyleBoldCentered"/>
        <w:spacing w:after="120"/>
      </w:pPr>
      <w:r>
        <w:t>erratum</w:t>
      </w:r>
    </w:p>
    <w:p w:rsidR="00822CE0" w:rsidRPr="00271EC9" w:rsidRDefault="00DC083C" w:rsidP="00271EC9">
      <w:pPr>
        <w:tabs>
          <w:tab w:val="left" w:pos="720"/>
          <w:tab w:val="right" w:pos="9360"/>
        </w:tabs>
        <w:suppressAutoHyphens/>
        <w:spacing w:after="120"/>
        <w:rPr>
          <w:spacing w:val="-2"/>
        </w:rPr>
      </w:pPr>
      <w:r>
        <w:rPr>
          <w:b/>
          <w:spacing w:val="-2"/>
        </w:rPr>
        <w:tab/>
      </w:r>
      <w:r w:rsidR="004C2EE3"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7E3827">
        <w:rPr>
          <w:b/>
          <w:spacing w:val="-2"/>
        </w:rPr>
        <w:t xml:space="preserve">January </w:t>
      </w:r>
      <w:r w:rsidR="00A87D3F">
        <w:rPr>
          <w:b/>
          <w:spacing w:val="-2"/>
        </w:rPr>
        <w:t>1</w:t>
      </w:r>
      <w:r w:rsidR="00405D1D">
        <w:rPr>
          <w:b/>
          <w:spacing w:val="-2"/>
        </w:rPr>
        <w:t>5</w:t>
      </w:r>
      <w:r>
        <w:rPr>
          <w:b/>
          <w:spacing w:val="-2"/>
        </w:rPr>
        <w:t>, 201</w:t>
      </w:r>
      <w:r w:rsidR="007E3827">
        <w:rPr>
          <w:b/>
          <w:spacing w:val="-2"/>
        </w:rPr>
        <w:t>5</w:t>
      </w:r>
    </w:p>
    <w:p w:rsidR="00822EC6" w:rsidRDefault="004C2EE3" w:rsidP="00271EC9">
      <w:pPr>
        <w:spacing w:after="220"/>
        <w:rPr>
          <w:spacing w:val="-2"/>
        </w:rPr>
      </w:pPr>
      <w:r>
        <w:t xml:space="preserve">By </w:t>
      </w:r>
      <w:r w:rsidR="004E4A22">
        <w:t>the</w:t>
      </w:r>
      <w:r w:rsidR="00DC083C">
        <w:rPr>
          <w:spacing w:val="-2"/>
        </w:rPr>
        <w:t xml:space="preserve"> Chief, Wireline Competition Bureau</w:t>
      </w:r>
      <w:r>
        <w:rPr>
          <w:spacing w:val="-2"/>
        </w:rPr>
        <w:t>:</w:t>
      </w:r>
    </w:p>
    <w:p w:rsidR="00A87D3F" w:rsidRDefault="00822EC6" w:rsidP="004C57BF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9D37F5">
        <w:t>December 18, 2014</w:t>
      </w:r>
      <w:r>
        <w:t xml:space="preserve">, the </w:t>
      </w:r>
      <w:r w:rsidR="00E507EE">
        <w:t>Commission</w:t>
      </w:r>
      <w:r>
        <w:t xml:space="preserve"> released a </w:t>
      </w:r>
      <w:r w:rsidRPr="004C57BF">
        <w:rPr>
          <w:i/>
        </w:rPr>
        <w:t>Report and Order</w:t>
      </w:r>
      <w:r w:rsidR="00064E91">
        <w:t>,</w:t>
      </w:r>
      <w:r w:rsidR="00B97C64">
        <w:t xml:space="preserve"> </w:t>
      </w:r>
      <w:r w:rsidR="00E507EE">
        <w:t>FCC</w:t>
      </w:r>
      <w:r>
        <w:t xml:space="preserve"> 14-</w:t>
      </w:r>
      <w:r w:rsidR="009D37F5">
        <w:t>190</w:t>
      </w:r>
      <w:r>
        <w:t>, in the above</w:t>
      </w:r>
      <w:r w:rsidR="00064E91">
        <w:t xml:space="preserve"> </w:t>
      </w:r>
      <w:r>
        <w:t>captioned proceeding</w:t>
      </w:r>
      <w:r w:rsidR="00B759B4">
        <w:t>s</w:t>
      </w:r>
      <w:r>
        <w:t>.</w:t>
      </w:r>
      <w:r w:rsidR="00743E32">
        <w:t xml:space="preserve">  This Erratum </w:t>
      </w:r>
      <w:r w:rsidR="00A87D3F">
        <w:t>corrects f</w:t>
      </w:r>
      <w:r w:rsidR="00AF6C00">
        <w:t>oot</w:t>
      </w:r>
      <w:r w:rsidR="00A1148C">
        <w:t xml:space="preserve">note </w:t>
      </w:r>
      <w:r w:rsidR="00C23BF9">
        <w:t xml:space="preserve">169, </w:t>
      </w:r>
      <w:r w:rsidR="00813132">
        <w:t>in the second</w:t>
      </w:r>
      <w:r w:rsidR="00C23BF9">
        <w:t xml:space="preserve"> line, </w:t>
      </w:r>
      <w:r w:rsidR="00A87D3F">
        <w:t xml:space="preserve">by </w:t>
      </w:r>
      <w:r w:rsidR="00C23BF9">
        <w:t>add</w:t>
      </w:r>
      <w:r w:rsidR="00A87D3F">
        <w:t>ing</w:t>
      </w:r>
      <w:r w:rsidR="00C23BF9">
        <w:t xml:space="preserve"> the word “competitive” before “terrestrial</w:t>
      </w:r>
      <w:r w:rsidR="00A87D3F">
        <w:t>.</w:t>
      </w:r>
      <w:r w:rsidR="00C23BF9">
        <w:t>”</w:t>
      </w:r>
    </w:p>
    <w:p w:rsidR="00A1148C" w:rsidRDefault="00A87D3F" w:rsidP="004C57BF">
      <w:pPr>
        <w:pStyle w:val="ParaNum"/>
        <w:numPr>
          <w:ilvl w:val="0"/>
          <w:numId w:val="0"/>
        </w:numPr>
        <w:ind w:firstLine="720"/>
      </w:pPr>
      <w:r>
        <w:t xml:space="preserve">This Erratum also amends Appendix A of the </w:t>
      </w:r>
      <w:r w:rsidRPr="004C57BF">
        <w:rPr>
          <w:i/>
        </w:rPr>
        <w:t>Report and Order</w:t>
      </w:r>
      <w:r>
        <w:t xml:space="preserve"> as indicated below:</w:t>
      </w:r>
      <w:r w:rsidR="00C23BF9">
        <w:t xml:space="preserve"> </w:t>
      </w:r>
    </w:p>
    <w:p w:rsidR="00A1148C" w:rsidRDefault="00A1148C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>In section 54.5</w:t>
      </w:r>
      <w:r w:rsidR="00B253AF">
        <w:t>,</w:t>
      </w:r>
      <w:r w:rsidR="00B253AF" w:rsidRPr="00B253AF">
        <w:t xml:space="preserve"> </w:t>
      </w:r>
      <w:r w:rsidR="00B253AF">
        <w:t>in the definition of “Qualifying competitor”</w:t>
      </w:r>
      <w:r>
        <w:t xml:space="preserve">, </w:t>
      </w:r>
      <w:r w:rsidR="00813132">
        <w:t>replace</w:t>
      </w:r>
      <w:r w:rsidR="000C14DC">
        <w:t xml:space="preserve"> “</w:t>
      </w:r>
      <w:r w:rsidR="00813132">
        <w:t>3 Mbps upstream and 768 K</w:t>
      </w:r>
      <w:r w:rsidR="000C14DC">
        <w:t>bps downstream”</w:t>
      </w:r>
      <w:r w:rsidR="00813132">
        <w:t xml:space="preserve"> with</w:t>
      </w:r>
      <w:r w:rsidR="000C14DC">
        <w:t xml:space="preserve"> “</w:t>
      </w:r>
      <w:r w:rsidR="00813132">
        <w:t>3 Mbps downstream and 768 k</w:t>
      </w:r>
      <w:r w:rsidR="000C14DC">
        <w:t>bps upstream.”</w:t>
      </w:r>
    </w:p>
    <w:p w:rsidR="00A23A07" w:rsidRDefault="005A7865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>In</w:t>
      </w:r>
      <w:r w:rsidR="00A1148C">
        <w:t xml:space="preserve"> </w:t>
      </w:r>
      <w:r>
        <w:t>paragraph (a) of section 54.313</w:t>
      </w:r>
      <w:r w:rsidR="00A23A07">
        <w:t xml:space="preserve">, </w:t>
      </w:r>
      <w:r>
        <w:t>add the wo</w:t>
      </w:r>
      <w:r w:rsidR="00ED797F">
        <w:t>rds “</w:t>
      </w:r>
      <w:r>
        <w:t>the following, with the information and data required by paragraphs (a)(1) through (7) of this section separately broken out for both voice service and broadband service” after “provide</w:t>
      </w:r>
      <w:r w:rsidR="0045745B">
        <w:t>.</w:t>
      </w:r>
      <w:r w:rsidR="00A23A07">
        <w:t>”</w:t>
      </w:r>
    </w:p>
    <w:p w:rsidR="00372922" w:rsidRDefault="00372922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>In paragraph (a) of section 54.1310, replace “(c)(1) through (2)” with “(a)(1) and (2).”</w:t>
      </w:r>
    </w:p>
    <w:p w:rsidR="00822EC6" w:rsidRDefault="009535E1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 xml:space="preserve">In </w:t>
      </w:r>
      <w:r w:rsidR="005A7865">
        <w:t xml:space="preserve">paragraph (c) of section </w:t>
      </w:r>
      <w:r w:rsidR="0045745B">
        <w:t>54.1310, replace “§</w:t>
      </w:r>
      <w:r w:rsidR="00ED797F">
        <w:t xml:space="preserve"> </w:t>
      </w:r>
      <w:r w:rsidR="008F77D2">
        <w:t>54.1310</w:t>
      </w:r>
      <w:r w:rsidR="0045745B">
        <w:t>(b) and (c)” with “§</w:t>
      </w:r>
      <w:r w:rsidR="00ED797F">
        <w:t xml:space="preserve"> </w:t>
      </w:r>
      <w:r w:rsidR="008F77D2">
        <w:t>54.1310</w:t>
      </w:r>
      <w:r w:rsidR="0045745B">
        <w:t>(a) and (b)” throughout.</w:t>
      </w:r>
    </w:p>
    <w:p w:rsidR="00822EC6" w:rsidRPr="006069BE" w:rsidRDefault="00822EC6" w:rsidP="006416A3">
      <w:pPr>
        <w:keepNext/>
      </w:pPr>
    </w:p>
    <w:p w:rsidR="00822EC6" w:rsidRPr="00DA3E4F" w:rsidRDefault="00822EC6" w:rsidP="006416A3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  <w:t>FEDERAL COMMUNICATIONS COMMISSION</w:t>
      </w:r>
    </w:p>
    <w:p w:rsidR="00822EC6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</w:p>
    <w:p w:rsidR="00822EC6" w:rsidRPr="00DA3E4F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Pr="00DA3E4F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EC049B">
        <w:rPr>
          <w:rFonts w:ascii="Times New Roman" w:hAnsi="Times New Roman"/>
          <w:b w:val="0"/>
          <w:caps w:val="0"/>
          <w:spacing w:val="-2"/>
        </w:rPr>
        <w:t>Julie A. Veach</w:t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Chief</w:t>
      </w:r>
    </w:p>
    <w:p w:rsidR="00822EC6" w:rsidRPr="00165CB7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 xml:space="preserve">Wireline Competition </w:t>
      </w:r>
      <w:r w:rsidRPr="00DA3E4F">
        <w:rPr>
          <w:rFonts w:ascii="Times New Roman" w:hAnsi="Times New Roman"/>
          <w:b w:val="0"/>
          <w:caps w:val="0"/>
          <w:spacing w:val="-2"/>
        </w:rPr>
        <w:t>Bureau</w:t>
      </w:r>
    </w:p>
    <w:p w:rsidR="002C00E8" w:rsidRPr="00DC083C" w:rsidRDefault="002C00E8" w:rsidP="00822EC6">
      <w:pPr>
        <w:pStyle w:val="ParaNum"/>
        <w:numPr>
          <w:ilvl w:val="0"/>
          <w:numId w:val="0"/>
        </w:numPr>
      </w:pPr>
    </w:p>
    <w:sectPr w:rsidR="002C00E8" w:rsidRPr="00DC083C" w:rsidSect="00271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C4" w:rsidRDefault="00591AC4">
      <w:pPr>
        <w:spacing w:line="20" w:lineRule="exact"/>
      </w:pPr>
    </w:p>
  </w:endnote>
  <w:endnote w:type="continuationSeparator" w:id="0">
    <w:p w:rsidR="00591AC4" w:rsidRDefault="00591AC4">
      <w:r>
        <w:t xml:space="preserve"> </w:t>
      </w:r>
    </w:p>
  </w:endnote>
  <w:endnote w:type="continuationNotice" w:id="1">
    <w:p w:rsidR="00591AC4" w:rsidRDefault="00591A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20A2B" w:rsidRDefault="00E20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C049B">
      <w:rPr>
        <w:noProof/>
      </w:rPr>
      <w:t>2</w:t>
    </w:r>
    <w:r>
      <w:fldChar w:fldCharType="end"/>
    </w:r>
  </w:p>
  <w:p w:rsidR="00E20A2B" w:rsidRDefault="00E20A2B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C4" w:rsidRDefault="00591AC4">
      <w:r>
        <w:separator/>
      </w:r>
    </w:p>
  </w:footnote>
  <w:footnote w:type="continuationSeparator" w:id="0">
    <w:p w:rsidR="00591AC4" w:rsidRDefault="00591AC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591AC4" w:rsidRDefault="00591AC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29" w:rsidRDefault="001D7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 w:rsidP="00810B6F">
    <w:pPr>
      <w:pStyle w:val="Header"/>
      <w:rPr>
        <w:b w:val="0"/>
      </w:rPr>
    </w:pPr>
    <w:r>
      <w:tab/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E20A2B" w:rsidRDefault="00E20A2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F3DD2E" wp14:editId="4878D35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E20A2B" w:rsidRDefault="00E20A2B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E4FF808" wp14:editId="3CEB45CA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45F"/>
    <w:multiLevelType w:val="hybridMultilevel"/>
    <w:tmpl w:val="42CCF0EA"/>
    <w:lvl w:ilvl="0" w:tplc="F94A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592940"/>
    <w:multiLevelType w:val="hybridMultilevel"/>
    <w:tmpl w:val="1E227B6C"/>
    <w:lvl w:ilvl="0" w:tplc="E542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E351CEB"/>
    <w:multiLevelType w:val="hybridMultilevel"/>
    <w:tmpl w:val="912A8964"/>
    <w:lvl w:ilvl="0" w:tplc="D91E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E0E24"/>
    <w:multiLevelType w:val="hybridMultilevel"/>
    <w:tmpl w:val="4476B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3C"/>
    <w:rsid w:val="00002B23"/>
    <w:rsid w:val="00006694"/>
    <w:rsid w:val="00036039"/>
    <w:rsid w:val="00037F90"/>
    <w:rsid w:val="00064E91"/>
    <w:rsid w:val="000708E8"/>
    <w:rsid w:val="000875BF"/>
    <w:rsid w:val="000951D4"/>
    <w:rsid w:val="00096D8C"/>
    <w:rsid w:val="000C0B65"/>
    <w:rsid w:val="000C14DC"/>
    <w:rsid w:val="000E05FE"/>
    <w:rsid w:val="000E3D42"/>
    <w:rsid w:val="00100D38"/>
    <w:rsid w:val="00122BD5"/>
    <w:rsid w:val="00131A94"/>
    <w:rsid w:val="00133F79"/>
    <w:rsid w:val="00194A66"/>
    <w:rsid w:val="001D6BCF"/>
    <w:rsid w:val="001D7829"/>
    <w:rsid w:val="001E01CA"/>
    <w:rsid w:val="00234353"/>
    <w:rsid w:val="00257003"/>
    <w:rsid w:val="00271EC9"/>
    <w:rsid w:val="00275CF5"/>
    <w:rsid w:val="0028301F"/>
    <w:rsid w:val="00285017"/>
    <w:rsid w:val="002A2D2E"/>
    <w:rsid w:val="002C00E8"/>
    <w:rsid w:val="00304336"/>
    <w:rsid w:val="003062A4"/>
    <w:rsid w:val="00343749"/>
    <w:rsid w:val="003660ED"/>
    <w:rsid w:val="00372922"/>
    <w:rsid w:val="003A4968"/>
    <w:rsid w:val="003B0550"/>
    <w:rsid w:val="003B694F"/>
    <w:rsid w:val="003D182B"/>
    <w:rsid w:val="003F171C"/>
    <w:rsid w:val="00404D70"/>
    <w:rsid w:val="00405D1D"/>
    <w:rsid w:val="00412FC5"/>
    <w:rsid w:val="00422276"/>
    <w:rsid w:val="004242F1"/>
    <w:rsid w:val="00445A00"/>
    <w:rsid w:val="00451B0F"/>
    <w:rsid w:val="00452170"/>
    <w:rsid w:val="0045745B"/>
    <w:rsid w:val="004C2EE3"/>
    <w:rsid w:val="004C57BF"/>
    <w:rsid w:val="004E4A22"/>
    <w:rsid w:val="00511968"/>
    <w:rsid w:val="00524A7D"/>
    <w:rsid w:val="005330F7"/>
    <w:rsid w:val="005365BB"/>
    <w:rsid w:val="0055614C"/>
    <w:rsid w:val="00591AC4"/>
    <w:rsid w:val="005A7865"/>
    <w:rsid w:val="005B2E3F"/>
    <w:rsid w:val="005D0AF7"/>
    <w:rsid w:val="005E14C2"/>
    <w:rsid w:val="00607BA5"/>
    <w:rsid w:val="0061180A"/>
    <w:rsid w:val="00626EB6"/>
    <w:rsid w:val="006416A3"/>
    <w:rsid w:val="00655D03"/>
    <w:rsid w:val="006764CF"/>
    <w:rsid w:val="00683388"/>
    <w:rsid w:val="00683F84"/>
    <w:rsid w:val="006845E8"/>
    <w:rsid w:val="006A6A81"/>
    <w:rsid w:val="006F7393"/>
    <w:rsid w:val="0070224F"/>
    <w:rsid w:val="007115F7"/>
    <w:rsid w:val="00716A0F"/>
    <w:rsid w:val="00743E32"/>
    <w:rsid w:val="00785689"/>
    <w:rsid w:val="0079754B"/>
    <w:rsid w:val="007A1E6D"/>
    <w:rsid w:val="007B0EB2"/>
    <w:rsid w:val="007E3827"/>
    <w:rsid w:val="00810B6F"/>
    <w:rsid w:val="00813132"/>
    <w:rsid w:val="00822CE0"/>
    <w:rsid w:val="00822EC6"/>
    <w:rsid w:val="00830999"/>
    <w:rsid w:val="00841AB1"/>
    <w:rsid w:val="00863268"/>
    <w:rsid w:val="00866D6A"/>
    <w:rsid w:val="00866E4E"/>
    <w:rsid w:val="00890811"/>
    <w:rsid w:val="008C5315"/>
    <w:rsid w:val="008C68F1"/>
    <w:rsid w:val="008F5AA1"/>
    <w:rsid w:val="008F77D2"/>
    <w:rsid w:val="00921803"/>
    <w:rsid w:val="00926503"/>
    <w:rsid w:val="00936B44"/>
    <w:rsid w:val="009535E1"/>
    <w:rsid w:val="009726D8"/>
    <w:rsid w:val="009B5AB1"/>
    <w:rsid w:val="009D37F5"/>
    <w:rsid w:val="009F76DB"/>
    <w:rsid w:val="00A1148C"/>
    <w:rsid w:val="00A23A07"/>
    <w:rsid w:val="00A32C3B"/>
    <w:rsid w:val="00A45F4F"/>
    <w:rsid w:val="00A600A9"/>
    <w:rsid w:val="00A87D3F"/>
    <w:rsid w:val="00AA55B7"/>
    <w:rsid w:val="00AA5B9E"/>
    <w:rsid w:val="00AB2407"/>
    <w:rsid w:val="00AB49A6"/>
    <w:rsid w:val="00AB53DF"/>
    <w:rsid w:val="00AC001C"/>
    <w:rsid w:val="00AF6C00"/>
    <w:rsid w:val="00B07E5C"/>
    <w:rsid w:val="00B253AF"/>
    <w:rsid w:val="00B26632"/>
    <w:rsid w:val="00B64567"/>
    <w:rsid w:val="00B759B4"/>
    <w:rsid w:val="00B811F7"/>
    <w:rsid w:val="00B97C64"/>
    <w:rsid w:val="00BA5DC6"/>
    <w:rsid w:val="00BA6196"/>
    <w:rsid w:val="00BC6D8C"/>
    <w:rsid w:val="00BF0452"/>
    <w:rsid w:val="00C23BF9"/>
    <w:rsid w:val="00C34006"/>
    <w:rsid w:val="00C426B1"/>
    <w:rsid w:val="00C62416"/>
    <w:rsid w:val="00C66160"/>
    <w:rsid w:val="00C721AC"/>
    <w:rsid w:val="00C7635D"/>
    <w:rsid w:val="00C90D6A"/>
    <w:rsid w:val="00CA247E"/>
    <w:rsid w:val="00CA4B1B"/>
    <w:rsid w:val="00CC72B6"/>
    <w:rsid w:val="00D0218D"/>
    <w:rsid w:val="00D25FB5"/>
    <w:rsid w:val="00D44223"/>
    <w:rsid w:val="00D541E9"/>
    <w:rsid w:val="00D5589A"/>
    <w:rsid w:val="00D93D2A"/>
    <w:rsid w:val="00DA2529"/>
    <w:rsid w:val="00DB130A"/>
    <w:rsid w:val="00DB2EBB"/>
    <w:rsid w:val="00DC083C"/>
    <w:rsid w:val="00DC10A1"/>
    <w:rsid w:val="00DC655F"/>
    <w:rsid w:val="00DD0B59"/>
    <w:rsid w:val="00DD7EBD"/>
    <w:rsid w:val="00DF62B6"/>
    <w:rsid w:val="00E07225"/>
    <w:rsid w:val="00E20A2B"/>
    <w:rsid w:val="00E3468B"/>
    <w:rsid w:val="00E507EE"/>
    <w:rsid w:val="00E5409F"/>
    <w:rsid w:val="00EA5525"/>
    <w:rsid w:val="00EB524C"/>
    <w:rsid w:val="00EC049B"/>
    <w:rsid w:val="00ED797F"/>
    <w:rsid w:val="00EE56C1"/>
    <w:rsid w:val="00EE6488"/>
    <w:rsid w:val="00F021FA"/>
    <w:rsid w:val="00F62E97"/>
    <w:rsid w:val="00F64209"/>
    <w:rsid w:val="00F93BF5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9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64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9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64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1</Pages>
  <Words>230</Words>
  <Characters>1233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2014-07-17T19:41:00Z</cp:lastPrinted>
  <dcterms:created xsi:type="dcterms:W3CDTF">2015-01-15T18:37:00Z</dcterms:created>
  <dcterms:modified xsi:type="dcterms:W3CDTF">2015-01-15T18:37:00Z</dcterms:modified>
  <cp:category> </cp:category>
  <cp:contentStatus> </cp:contentStatus>
</cp:coreProperties>
</file>