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EAA9" w14:textId="77777777" w:rsidR="00853376" w:rsidRPr="0017583D" w:rsidRDefault="00853376" w:rsidP="00853376">
      <w:pPr>
        <w:jc w:val="center"/>
        <w:rPr>
          <w:b/>
        </w:rPr>
      </w:pPr>
      <w:bookmarkStart w:id="0" w:name="_GoBack"/>
      <w:bookmarkEnd w:id="0"/>
      <w:r w:rsidRPr="0017583D">
        <w:rPr>
          <w:b/>
        </w:rPr>
        <w:t>General Information Request</w:t>
      </w:r>
    </w:p>
    <w:p w14:paraId="196FFAB6" w14:textId="4FBC60E7" w:rsidR="00853376" w:rsidRPr="0017583D" w:rsidRDefault="00853376" w:rsidP="00853376">
      <w:pPr>
        <w:jc w:val="center"/>
        <w:rPr>
          <w:b/>
        </w:rPr>
      </w:pPr>
      <w:r w:rsidRPr="0017583D">
        <w:rPr>
          <w:b/>
        </w:rPr>
        <w:t xml:space="preserve">Regarding the </w:t>
      </w:r>
      <w:r w:rsidR="00E56328">
        <w:rPr>
          <w:b/>
        </w:rPr>
        <w:t>TeleGuam/</w:t>
      </w:r>
      <w:r w:rsidR="006113FD">
        <w:rPr>
          <w:b/>
        </w:rPr>
        <w:t>Club 42</w:t>
      </w:r>
      <w:r w:rsidR="00DC28E3">
        <w:rPr>
          <w:b/>
        </w:rPr>
        <w:t xml:space="preserve"> </w:t>
      </w:r>
      <w:r w:rsidR="00E822FC">
        <w:rPr>
          <w:b/>
        </w:rPr>
        <w:t>Transaction</w:t>
      </w:r>
    </w:p>
    <w:p w14:paraId="77F1DD20" w14:textId="148EE1FF" w:rsidR="00853376" w:rsidRPr="0017583D" w:rsidRDefault="00853376" w:rsidP="00853376">
      <w:pPr>
        <w:jc w:val="center"/>
        <w:rPr>
          <w:b/>
        </w:rPr>
      </w:pPr>
      <w:r w:rsidRPr="0017583D">
        <w:rPr>
          <w:b/>
        </w:rPr>
        <w:t xml:space="preserve">Questions for </w:t>
      </w:r>
      <w:r w:rsidR="005E1FD7">
        <w:rPr>
          <w:b/>
        </w:rPr>
        <w:t>TeleGuam</w:t>
      </w:r>
    </w:p>
    <w:p w14:paraId="46594121" w14:textId="2F8DC001" w:rsidR="0023677A" w:rsidRDefault="000D79CA" w:rsidP="00853376">
      <w:pPr>
        <w:jc w:val="center"/>
        <w:rPr>
          <w:rFonts w:eastAsiaTheme="minorHAnsi"/>
          <w:b/>
          <w:bCs/>
          <w:snapToGrid/>
          <w:color w:val="000000"/>
        </w:rPr>
      </w:pPr>
      <w:r>
        <w:rPr>
          <w:rFonts w:eastAsiaTheme="minorHAnsi"/>
          <w:b/>
          <w:bCs/>
          <w:snapToGrid/>
          <w:color w:val="000000"/>
        </w:rPr>
        <w:t>WT Docket No. 15</w:t>
      </w:r>
      <w:r w:rsidR="0023677A" w:rsidRPr="0023677A">
        <w:rPr>
          <w:rFonts w:eastAsiaTheme="minorHAnsi"/>
          <w:b/>
          <w:bCs/>
          <w:snapToGrid/>
          <w:color w:val="000000"/>
        </w:rPr>
        <w:t>-</w:t>
      </w:r>
      <w:r w:rsidR="00741571">
        <w:rPr>
          <w:rFonts w:eastAsiaTheme="minorHAnsi"/>
          <w:b/>
          <w:bCs/>
          <w:snapToGrid/>
          <w:color w:val="000000"/>
        </w:rPr>
        <w:t>7</w:t>
      </w:r>
    </w:p>
    <w:p w14:paraId="3433E201" w14:textId="52769D29" w:rsidR="00853376" w:rsidRPr="0017583D" w:rsidRDefault="000D79CA" w:rsidP="00853376">
      <w:pPr>
        <w:jc w:val="center"/>
        <w:rPr>
          <w:b/>
        </w:rPr>
      </w:pPr>
      <w:r>
        <w:rPr>
          <w:b/>
        </w:rPr>
        <w:t>January</w:t>
      </w:r>
      <w:r w:rsidR="005E1FD7">
        <w:rPr>
          <w:b/>
        </w:rPr>
        <w:t xml:space="preserve"> </w:t>
      </w:r>
      <w:r w:rsidR="00F6611A">
        <w:rPr>
          <w:b/>
        </w:rPr>
        <w:t>21</w:t>
      </w:r>
      <w:r w:rsidR="00853376" w:rsidRPr="0017583D">
        <w:rPr>
          <w:b/>
        </w:rPr>
        <w:t>, 201</w:t>
      </w:r>
      <w:r>
        <w:rPr>
          <w:b/>
        </w:rPr>
        <w:t>5</w:t>
      </w:r>
    </w:p>
    <w:p w14:paraId="7EFA64E0" w14:textId="77777777" w:rsidR="00871A33" w:rsidRPr="00E84684" w:rsidRDefault="00871A33" w:rsidP="00E84684">
      <w:pPr>
        <w:autoSpaceDE w:val="0"/>
        <w:autoSpaceDN w:val="0"/>
        <w:adjustRightInd w:val="0"/>
        <w:rPr>
          <w:snapToGrid/>
        </w:rPr>
      </w:pPr>
    </w:p>
    <w:p w14:paraId="751FC250" w14:textId="6C0BA30E" w:rsidR="00FC516C" w:rsidRPr="002851EB" w:rsidRDefault="00853376" w:rsidP="002851EB">
      <w:pPr>
        <w:pStyle w:val="ListParagraph"/>
        <w:numPr>
          <w:ilvl w:val="0"/>
          <w:numId w:val="8"/>
        </w:numPr>
        <w:autoSpaceDE w:val="0"/>
        <w:autoSpaceDN w:val="0"/>
        <w:adjustRightInd w:val="0"/>
        <w:rPr>
          <w:snapToGrid/>
        </w:rPr>
      </w:pPr>
      <w:r w:rsidRPr="004708F2">
        <w:rPr>
          <w:snapToGrid/>
        </w:rPr>
        <w:t xml:space="preserve">On page </w:t>
      </w:r>
      <w:r w:rsidR="002B181F">
        <w:rPr>
          <w:snapToGrid/>
        </w:rPr>
        <w:t>1</w:t>
      </w:r>
      <w:r w:rsidRPr="004708F2">
        <w:rPr>
          <w:snapToGrid/>
        </w:rPr>
        <w:t xml:space="preserve"> of the Public Interest Statement, the Applicants claim that</w:t>
      </w:r>
      <w:r w:rsidR="002B181F">
        <w:rPr>
          <w:snapToGrid/>
        </w:rPr>
        <w:t xml:space="preserve"> </w:t>
      </w:r>
      <w:r w:rsidR="007B4C7A">
        <w:rPr>
          <w:snapToGrid/>
        </w:rPr>
        <w:t xml:space="preserve">“[g]rant of this application </w:t>
      </w:r>
      <w:r w:rsidR="002B181F">
        <w:rPr>
          <w:snapToGrid/>
        </w:rPr>
        <w:t xml:space="preserve">. . . </w:t>
      </w:r>
      <w:r w:rsidR="007B4C7A">
        <w:rPr>
          <w:snapToGrid/>
        </w:rPr>
        <w:t xml:space="preserve">will </w:t>
      </w:r>
      <w:r w:rsidR="002B181F">
        <w:rPr>
          <w:snapToGrid/>
        </w:rPr>
        <w:t>allow TeleGuam to put the spectrum into commercial service and augment its network capacity to improve the scope and depth of service</w:t>
      </w:r>
      <w:r w:rsidR="007B4C7A">
        <w:rPr>
          <w:snapToGrid/>
        </w:rPr>
        <w:t>s it</w:t>
      </w:r>
      <w:r w:rsidR="002B181F">
        <w:rPr>
          <w:snapToGrid/>
        </w:rPr>
        <w:t xml:space="preserve"> offers in the Guam/Northern Mariana Islands market</w:t>
      </w:r>
      <w:r w:rsidRPr="004919EF">
        <w:t>.</w:t>
      </w:r>
      <w:r w:rsidRPr="00D83763">
        <w:t>”</w:t>
      </w:r>
      <w:r w:rsidR="004A099A">
        <w:t xml:space="preserve">  </w:t>
      </w:r>
      <w:r w:rsidRPr="004708F2">
        <w:rPr>
          <w:snapToGrid/>
        </w:rPr>
        <w:t xml:space="preserve">For each </w:t>
      </w:r>
      <w:r w:rsidR="00E36206">
        <w:rPr>
          <w:snapToGrid/>
        </w:rPr>
        <w:t>R</w:t>
      </w:r>
      <w:r w:rsidRPr="004708F2">
        <w:rPr>
          <w:snapToGrid/>
        </w:rPr>
        <w:t xml:space="preserve">elevant </w:t>
      </w:r>
      <w:r w:rsidR="00E36206">
        <w:rPr>
          <w:snapToGrid/>
        </w:rPr>
        <w:t>A</w:t>
      </w:r>
      <w:r w:rsidR="00BC1680" w:rsidRPr="004708F2">
        <w:rPr>
          <w:snapToGrid/>
        </w:rPr>
        <w:t>rea</w:t>
      </w:r>
      <w:r w:rsidR="002851EB">
        <w:rPr>
          <w:snapToGrid/>
        </w:rPr>
        <w:t>, provide a</w:t>
      </w:r>
      <w:r w:rsidR="002851EB" w:rsidRPr="00FC516C">
        <w:rPr>
          <w:snapToGrid/>
        </w:rPr>
        <w:t xml:space="preserve"> detailed discussion of the Company’s plans to provide high-quality, high-speed wireless broadband services prior to the Proposed Transaction, including </w:t>
      </w:r>
      <w:r w:rsidR="002851EB">
        <w:rPr>
          <w:snapToGrid/>
        </w:rPr>
        <w:t>a</w:t>
      </w:r>
      <w:r w:rsidR="002851EB" w:rsidRPr="0017583D">
        <w:rPr>
          <w:snapToGrid/>
        </w:rPr>
        <w:t xml:space="preserve"> detailed description of the Company’s current and planned deployment of </w:t>
      </w:r>
      <w:r w:rsidR="002851EB">
        <w:rPr>
          <w:snapToGrid/>
        </w:rPr>
        <w:t xml:space="preserve">HSPA+ and/or </w:t>
      </w:r>
      <w:r w:rsidR="002851EB" w:rsidRPr="0017583D">
        <w:rPr>
          <w:snapToGrid/>
        </w:rPr>
        <w:t>LTE</w:t>
      </w:r>
      <w:r w:rsidR="002851EB">
        <w:rPr>
          <w:snapToGrid/>
        </w:rPr>
        <w:t>, which identifies</w:t>
      </w:r>
      <w:r w:rsidR="002851EB" w:rsidRPr="0017583D">
        <w:rPr>
          <w:snapToGrid/>
        </w:rPr>
        <w:t xml:space="preserve"> the spectrum band</w:t>
      </w:r>
      <w:r w:rsidR="002851EB">
        <w:rPr>
          <w:snapToGrid/>
        </w:rPr>
        <w:t>s</w:t>
      </w:r>
      <w:r w:rsidR="002851EB" w:rsidRPr="0017583D">
        <w:rPr>
          <w:snapToGrid/>
        </w:rPr>
        <w:t xml:space="preserve"> and the amount of spectrum </w:t>
      </w:r>
      <w:r w:rsidR="002851EB">
        <w:rPr>
          <w:snapToGrid/>
        </w:rPr>
        <w:t>currently deployed and planned for future deployment of</w:t>
      </w:r>
      <w:r w:rsidR="002851EB" w:rsidRPr="0017583D">
        <w:rPr>
          <w:snapToGrid/>
        </w:rPr>
        <w:t xml:space="preserve"> </w:t>
      </w:r>
      <w:r w:rsidR="002851EB">
        <w:rPr>
          <w:snapToGrid/>
        </w:rPr>
        <w:t xml:space="preserve">HSPA+ and of </w:t>
      </w:r>
      <w:r w:rsidR="002851EB" w:rsidRPr="0017583D">
        <w:rPr>
          <w:snapToGrid/>
        </w:rPr>
        <w:t>LTE.</w:t>
      </w:r>
    </w:p>
    <w:p w14:paraId="0D7A2CB5" w14:textId="77777777" w:rsidR="000C00D8" w:rsidRDefault="000C00D8" w:rsidP="00AD082A">
      <w:pPr>
        <w:pStyle w:val="Normalandblack"/>
        <w:numPr>
          <w:ilvl w:val="0"/>
          <w:numId w:val="0"/>
        </w:numPr>
        <w:ind w:left="1350"/>
        <w:rPr>
          <w:snapToGrid/>
        </w:rPr>
      </w:pPr>
    </w:p>
    <w:p w14:paraId="2F6AC65B" w14:textId="54D75AF3" w:rsidR="00C17C2E" w:rsidRDefault="000D79CA" w:rsidP="00AD082A">
      <w:pPr>
        <w:pStyle w:val="ListParagraph"/>
        <w:numPr>
          <w:ilvl w:val="0"/>
          <w:numId w:val="8"/>
        </w:numPr>
        <w:autoSpaceDE w:val="0"/>
        <w:autoSpaceDN w:val="0"/>
        <w:adjustRightInd w:val="0"/>
        <w:rPr>
          <w:snapToGrid/>
        </w:rPr>
      </w:pPr>
      <w:r>
        <w:rPr>
          <w:snapToGrid/>
        </w:rPr>
        <w:t>Specifically for</w:t>
      </w:r>
      <w:r w:rsidR="000C00D8">
        <w:rPr>
          <w:snapToGrid/>
        </w:rPr>
        <w:t xml:space="preserve"> CMA</w:t>
      </w:r>
      <w:r w:rsidR="000023BD">
        <w:rPr>
          <w:snapToGrid/>
        </w:rPr>
        <w:t xml:space="preserve"> </w:t>
      </w:r>
      <w:r w:rsidR="000C00D8">
        <w:rPr>
          <w:snapToGrid/>
        </w:rPr>
        <w:t>732 (Guam), provide:</w:t>
      </w:r>
      <w:r w:rsidR="00C17C2E" w:rsidRPr="00C17C2E">
        <w:rPr>
          <w:snapToGrid/>
        </w:rPr>
        <w:t xml:space="preserve"> </w:t>
      </w:r>
    </w:p>
    <w:p w14:paraId="157B2EE0" w14:textId="77777777" w:rsidR="00741571" w:rsidRPr="00741571" w:rsidRDefault="00741571" w:rsidP="00741571">
      <w:pPr>
        <w:autoSpaceDE w:val="0"/>
        <w:autoSpaceDN w:val="0"/>
        <w:adjustRightInd w:val="0"/>
        <w:rPr>
          <w:snapToGrid/>
        </w:rPr>
      </w:pPr>
    </w:p>
    <w:p w14:paraId="7BD858A0" w14:textId="4134E250" w:rsidR="00C17C2E" w:rsidRDefault="00C17C2E" w:rsidP="00C17C2E">
      <w:pPr>
        <w:pStyle w:val="ListParagraph"/>
        <w:numPr>
          <w:ilvl w:val="1"/>
          <w:numId w:val="8"/>
        </w:numPr>
        <w:autoSpaceDE w:val="0"/>
        <w:autoSpaceDN w:val="0"/>
        <w:adjustRightInd w:val="0"/>
        <w:rPr>
          <w:snapToGrid/>
        </w:rPr>
      </w:pPr>
      <w:r>
        <w:rPr>
          <w:snapToGrid/>
        </w:rPr>
        <w:t xml:space="preserve">A detailed explanation of why the Company needs </w:t>
      </w:r>
      <w:r w:rsidR="00C102AB">
        <w:t>more than one-third</w:t>
      </w:r>
      <w:r w:rsidRPr="006900DC">
        <w:t xml:space="preserve"> of the suitable and available spectrum below 1 GHz</w:t>
      </w:r>
      <w:r>
        <w:t xml:space="preserve"> for the provision of mobile wireless services.</w:t>
      </w:r>
      <w:r w:rsidRPr="00C17C2E">
        <w:rPr>
          <w:snapToGrid/>
        </w:rPr>
        <w:t xml:space="preserve"> </w:t>
      </w:r>
    </w:p>
    <w:p w14:paraId="612637F1" w14:textId="77777777" w:rsidR="00C102AB" w:rsidRDefault="00C102AB" w:rsidP="00741571">
      <w:pPr>
        <w:pStyle w:val="ListParagraph"/>
        <w:autoSpaceDE w:val="0"/>
        <w:autoSpaceDN w:val="0"/>
        <w:adjustRightInd w:val="0"/>
        <w:ind w:left="1080"/>
        <w:rPr>
          <w:snapToGrid/>
        </w:rPr>
      </w:pPr>
    </w:p>
    <w:p w14:paraId="3B896BE7" w14:textId="6D3F9B22" w:rsidR="00C17C2E" w:rsidRDefault="00C17C2E" w:rsidP="00C17C2E">
      <w:pPr>
        <w:pStyle w:val="ListParagraph"/>
        <w:numPr>
          <w:ilvl w:val="1"/>
          <w:numId w:val="8"/>
        </w:numPr>
        <w:autoSpaceDE w:val="0"/>
        <w:autoSpaceDN w:val="0"/>
        <w:adjustRightInd w:val="0"/>
        <w:rPr>
          <w:snapToGrid/>
        </w:rPr>
      </w:pPr>
      <w:r w:rsidRPr="0017583D">
        <w:rPr>
          <w:snapToGrid/>
        </w:rPr>
        <w:t xml:space="preserve">A detailed description of how the Company would use the spectrum that it would acquire under the Proposed Transaction to provide </w:t>
      </w:r>
      <w:r>
        <w:rPr>
          <w:snapToGrid/>
        </w:rPr>
        <w:t xml:space="preserve">advanced </w:t>
      </w:r>
      <w:r w:rsidR="00741571">
        <w:rPr>
          <w:snapToGrid/>
        </w:rPr>
        <w:t>mobile telephony/</w:t>
      </w:r>
      <w:r w:rsidRPr="0017583D">
        <w:rPr>
          <w:snapToGrid/>
        </w:rPr>
        <w:t>broadband services to consumers, on a standalone basis and</w:t>
      </w:r>
      <w:r>
        <w:rPr>
          <w:snapToGrid/>
        </w:rPr>
        <w:t>/or</w:t>
      </w:r>
      <w:r w:rsidRPr="0017583D">
        <w:rPr>
          <w:snapToGrid/>
        </w:rPr>
        <w:t xml:space="preserve"> in conjunction with any other of the Company’s spectrum holdings.</w:t>
      </w:r>
      <w:r w:rsidRPr="00C17C2E">
        <w:rPr>
          <w:snapToGrid/>
        </w:rPr>
        <w:t xml:space="preserve"> </w:t>
      </w:r>
    </w:p>
    <w:p w14:paraId="07D18934" w14:textId="77777777" w:rsidR="00741571" w:rsidRPr="00741571" w:rsidRDefault="00741571" w:rsidP="00741571">
      <w:pPr>
        <w:autoSpaceDE w:val="0"/>
        <w:autoSpaceDN w:val="0"/>
        <w:adjustRightInd w:val="0"/>
        <w:ind w:left="720"/>
        <w:rPr>
          <w:snapToGrid/>
        </w:rPr>
      </w:pPr>
    </w:p>
    <w:p w14:paraId="6BB672D9" w14:textId="21FD3F3B" w:rsidR="000C00D8" w:rsidRDefault="00C17C2E" w:rsidP="00C17C2E">
      <w:pPr>
        <w:pStyle w:val="ListParagraph"/>
        <w:numPr>
          <w:ilvl w:val="1"/>
          <w:numId w:val="8"/>
        </w:numPr>
        <w:autoSpaceDE w:val="0"/>
        <w:autoSpaceDN w:val="0"/>
        <w:adjustRightInd w:val="0"/>
        <w:rPr>
          <w:snapToGrid/>
        </w:rPr>
      </w:pPr>
      <w:r w:rsidRPr="00FC516C">
        <w:rPr>
          <w:snapToGrid/>
        </w:rPr>
        <w:t>The Company’s timeline for deploying the spectrum that it would acquire in the Proposed Transaction.</w:t>
      </w:r>
    </w:p>
    <w:p w14:paraId="2A8CC77C" w14:textId="77777777" w:rsidR="00741571" w:rsidRPr="00741571" w:rsidRDefault="00741571" w:rsidP="00741571">
      <w:pPr>
        <w:autoSpaceDE w:val="0"/>
        <w:autoSpaceDN w:val="0"/>
        <w:adjustRightInd w:val="0"/>
        <w:ind w:left="720"/>
        <w:rPr>
          <w:snapToGrid/>
        </w:rPr>
      </w:pPr>
    </w:p>
    <w:p w14:paraId="0B6F8AC3" w14:textId="7F21D689" w:rsidR="00C17C2E" w:rsidRDefault="00C17C2E" w:rsidP="00C17C2E">
      <w:pPr>
        <w:pStyle w:val="ListParagraph"/>
        <w:numPr>
          <w:ilvl w:val="1"/>
          <w:numId w:val="8"/>
        </w:numPr>
        <w:autoSpaceDE w:val="0"/>
        <w:autoSpaceDN w:val="0"/>
        <w:adjustRightInd w:val="0"/>
        <w:rPr>
          <w:snapToGrid/>
        </w:rPr>
      </w:pPr>
      <w:r>
        <w:rPr>
          <w:snapToGrid/>
        </w:rPr>
        <w:t xml:space="preserve">Provide all documents relied on in preparing the response to </w:t>
      </w:r>
      <w:r w:rsidR="007707E6">
        <w:rPr>
          <w:snapToGrid/>
        </w:rPr>
        <w:t>2</w:t>
      </w:r>
      <w:r>
        <w:rPr>
          <w:snapToGrid/>
        </w:rPr>
        <w:t>(a)-</w:t>
      </w:r>
      <w:r w:rsidR="007707E6">
        <w:rPr>
          <w:snapToGrid/>
        </w:rPr>
        <w:t>2</w:t>
      </w:r>
      <w:r>
        <w:rPr>
          <w:snapToGrid/>
        </w:rPr>
        <w:t>(c).</w:t>
      </w:r>
    </w:p>
    <w:p w14:paraId="034FD36E" w14:textId="77777777" w:rsidR="00C537FA" w:rsidRDefault="00C537FA" w:rsidP="00C17C2E">
      <w:pPr>
        <w:rPr>
          <w:snapToGrid/>
        </w:rPr>
      </w:pPr>
    </w:p>
    <w:p w14:paraId="583E8AA6" w14:textId="0724D711" w:rsidR="00C102AB" w:rsidRPr="005320CA" w:rsidRDefault="00C102AB" w:rsidP="00C102AB">
      <w:pPr>
        <w:pStyle w:val="Normalandblack"/>
        <w:numPr>
          <w:ilvl w:val="0"/>
          <w:numId w:val="0"/>
        </w:numPr>
        <w:tabs>
          <w:tab w:val="left" w:pos="1080"/>
        </w:tabs>
        <w:ind w:left="720"/>
        <w:rPr>
          <w:snapToGrid/>
        </w:rPr>
      </w:pPr>
      <w:r>
        <w:rPr>
          <w:snapToGrid/>
        </w:rPr>
        <w:t>Please provide separate responses to each of 2(a)-2(</w:t>
      </w:r>
      <w:r w:rsidR="007707E6">
        <w:rPr>
          <w:snapToGrid/>
        </w:rPr>
        <w:t>c</w:t>
      </w:r>
      <w:r>
        <w:rPr>
          <w:snapToGrid/>
        </w:rPr>
        <w:t>).</w:t>
      </w:r>
    </w:p>
    <w:p w14:paraId="1C327EFE" w14:textId="77777777" w:rsidR="00C102AB" w:rsidRPr="00C17C2E" w:rsidRDefault="00C102AB" w:rsidP="00C17C2E">
      <w:pPr>
        <w:rPr>
          <w:snapToGrid/>
        </w:rPr>
      </w:pPr>
    </w:p>
    <w:p w14:paraId="0E831078" w14:textId="065935FC" w:rsidR="00226B4F" w:rsidRPr="00226B4F" w:rsidRDefault="00226B4F" w:rsidP="00226B4F">
      <w:pPr>
        <w:pStyle w:val="ListParagraph"/>
        <w:numPr>
          <w:ilvl w:val="0"/>
          <w:numId w:val="8"/>
        </w:numPr>
        <w:rPr>
          <w:bCs/>
          <w:spacing w:val="-2"/>
        </w:rPr>
      </w:pPr>
      <w:r>
        <w:rPr>
          <w:bCs/>
          <w:spacing w:val="-2"/>
        </w:rPr>
        <w:t>On page 1 of the Public Interest Statement, t</w:t>
      </w:r>
      <w:r w:rsidRPr="004708F2">
        <w:rPr>
          <w:bCs/>
          <w:spacing w:val="-2"/>
        </w:rPr>
        <w:t xml:space="preserve">he Applicants </w:t>
      </w:r>
      <w:r>
        <w:rPr>
          <w:bCs/>
          <w:spacing w:val="-2"/>
        </w:rPr>
        <w:t xml:space="preserve">claim that the proposed transaction “will have no adverse competitive effect because it will neither cause a spectrum aggregation concern nor reduce actual competition in any meaningful way.”  </w:t>
      </w:r>
      <w:r w:rsidRPr="005B5222">
        <w:t xml:space="preserve">For </w:t>
      </w:r>
      <w:r>
        <w:t>CMA 732 (Guam)</w:t>
      </w:r>
      <w:r w:rsidRPr="005B5222">
        <w:t>, provide a detailed discussion of how the Proposed Transaction promotes and preserves meaningful competition, would still allow rival service providers and potential new entrants to provide an effective competitive constraint, and how it would allow the Company to become a more effective competitor.  Provide all documents relied on in preparing the response.</w:t>
      </w:r>
    </w:p>
    <w:p w14:paraId="551B89B5" w14:textId="77777777" w:rsidR="00226B4F" w:rsidRPr="00226B4F" w:rsidRDefault="00226B4F" w:rsidP="00226B4F">
      <w:pPr>
        <w:rPr>
          <w:bCs/>
          <w:spacing w:val="-2"/>
        </w:rPr>
      </w:pPr>
    </w:p>
    <w:p w14:paraId="286EE1C1" w14:textId="0CFCBD4E" w:rsidR="00C537FA" w:rsidRPr="0085538C" w:rsidRDefault="00E1785A" w:rsidP="000B1F60">
      <w:pPr>
        <w:pStyle w:val="Normalandblack"/>
        <w:numPr>
          <w:ilvl w:val="0"/>
          <w:numId w:val="8"/>
        </w:numPr>
        <w:rPr>
          <w:snapToGrid/>
        </w:rPr>
      </w:pPr>
      <w:r>
        <w:rPr>
          <w:snapToGrid/>
        </w:rPr>
        <w:t>Provide p</w:t>
      </w:r>
      <w:r w:rsidR="00C537FA" w:rsidRPr="000B1F60">
        <w:rPr>
          <w:snapToGrid/>
        </w:rPr>
        <w:t xml:space="preserve">olygons in an ESRI shapefile format representing geographic coverage for </w:t>
      </w:r>
      <w:r w:rsidR="00F84C2E">
        <w:rPr>
          <w:snapToGrid/>
        </w:rPr>
        <w:t>TeleGuam</w:t>
      </w:r>
      <w:r w:rsidR="007569FE">
        <w:rPr>
          <w:snapToGrid/>
        </w:rPr>
        <w:t>, including</w:t>
      </w:r>
      <w:r w:rsidR="00C537FA" w:rsidRPr="000A10BE">
        <w:rPr>
          <w:snapToGrid/>
        </w:rPr>
        <w:t xml:space="preserve"> each mobile broadband network technology (e.g., </w:t>
      </w:r>
      <w:r w:rsidR="003F0E64">
        <w:rPr>
          <w:snapToGrid/>
        </w:rPr>
        <w:t xml:space="preserve">CDMA, EV-DO, EV-DO Rev. A, </w:t>
      </w:r>
      <w:r w:rsidR="00C537FA" w:rsidRPr="000A10BE">
        <w:rPr>
          <w:snapToGrid/>
        </w:rPr>
        <w:t>GSM, EDGE, UMTS, HSPA, HSPA+, LTE) deployed in each frequency band (e.g., 700 MHz, Cellular, AWS-1, PCS).  Provide all assumptions, methodology (e.g., propagation, projection, field measurements), calculations (including link budgets), tools (e.g., predictive and field measurements) and data (e.g., terrain, morphology, buildings) used in the production of the polygons, and identify the propagation tool used, the propagation model used within that tool, including but not limited to, the coefficients used in the model and any additions, corrections or modifications made to the model.</w:t>
      </w:r>
    </w:p>
    <w:p w14:paraId="2BA4B2B4" w14:textId="618632FA" w:rsidR="00C537FA" w:rsidRPr="000A10BE" w:rsidRDefault="00C537FA" w:rsidP="000A10BE">
      <w:pPr>
        <w:pStyle w:val="Normalandblack"/>
        <w:numPr>
          <w:ilvl w:val="0"/>
          <w:numId w:val="0"/>
        </w:numPr>
        <w:rPr>
          <w:snapToGrid/>
        </w:rPr>
      </w:pPr>
    </w:p>
    <w:p w14:paraId="2A95A95B" w14:textId="1C40F69E" w:rsidR="001E5C49" w:rsidRPr="001E5C49" w:rsidRDefault="001E5C49" w:rsidP="004708F2">
      <w:pPr>
        <w:numPr>
          <w:ilvl w:val="0"/>
          <w:numId w:val="8"/>
        </w:numPr>
        <w:autoSpaceDE w:val="0"/>
        <w:autoSpaceDN w:val="0"/>
        <w:adjustRightInd w:val="0"/>
        <w:rPr>
          <w:bCs/>
          <w:snapToGrid/>
        </w:rPr>
      </w:pPr>
      <w:r w:rsidRPr="001E5C49">
        <w:rPr>
          <w:bCs/>
          <w:snapToGrid/>
        </w:rPr>
        <w:t xml:space="preserve">Provide the Company’s </w:t>
      </w:r>
      <w:r w:rsidR="00502FDA">
        <w:rPr>
          <w:bCs/>
          <w:snapToGrid/>
        </w:rPr>
        <w:t>quarterly</w:t>
      </w:r>
      <w:r w:rsidR="00502FDA" w:rsidRPr="001E5C49">
        <w:rPr>
          <w:bCs/>
          <w:snapToGrid/>
        </w:rPr>
        <w:t xml:space="preserve"> </w:t>
      </w:r>
      <w:r w:rsidRPr="001E5C49">
        <w:rPr>
          <w:bCs/>
          <w:snapToGrid/>
        </w:rPr>
        <w:t xml:space="preserve">subscriber </w:t>
      </w:r>
      <w:r w:rsidR="000805EF">
        <w:rPr>
          <w:bCs/>
          <w:snapToGrid/>
        </w:rPr>
        <w:t xml:space="preserve">and porting </w:t>
      </w:r>
      <w:r w:rsidRPr="001E5C49">
        <w:rPr>
          <w:bCs/>
          <w:snapToGrid/>
        </w:rPr>
        <w:t xml:space="preserve">data, as specified in Attachment A. </w:t>
      </w:r>
    </w:p>
    <w:p w14:paraId="1DD32FF0" w14:textId="77777777" w:rsidR="00410579" w:rsidRDefault="00410579">
      <w:pPr>
        <w:spacing w:after="200" w:line="276" w:lineRule="auto"/>
        <w:rPr>
          <w:bCs/>
          <w:snapToGrid/>
        </w:rPr>
      </w:pPr>
      <w:r>
        <w:rPr>
          <w:bCs/>
          <w:snapToGrid/>
        </w:rPr>
        <w:br w:type="page"/>
      </w:r>
    </w:p>
    <w:tbl>
      <w:tblPr>
        <w:tblW w:w="0" w:type="auto"/>
        <w:tblInd w:w="93" w:type="dxa"/>
        <w:tblLook w:val="04A0" w:firstRow="1" w:lastRow="0" w:firstColumn="1" w:lastColumn="0" w:noHBand="0" w:noVBand="1"/>
      </w:tblPr>
      <w:tblGrid>
        <w:gridCol w:w="1574"/>
        <w:gridCol w:w="1574"/>
        <w:gridCol w:w="1574"/>
        <w:gridCol w:w="1574"/>
        <w:gridCol w:w="271"/>
      </w:tblGrid>
      <w:tr w:rsidR="00F527BC" w14:paraId="09671A07" w14:textId="77777777" w:rsidTr="00A47536">
        <w:trPr>
          <w:trHeight w:val="405"/>
        </w:trPr>
        <w:tc>
          <w:tcPr>
            <w:tcW w:w="0" w:type="auto"/>
            <w:gridSpan w:val="4"/>
            <w:tcBorders>
              <w:top w:val="nil"/>
              <w:left w:val="nil"/>
              <w:bottom w:val="nil"/>
              <w:right w:val="nil"/>
            </w:tcBorders>
            <w:shd w:val="clear" w:color="000000" w:fill="FFFFFF"/>
            <w:noWrap/>
            <w:vAlign w:val="bottom"/>
          </w:tcPr>
          <w:p w14:paraId="5AEA29C1" w14:textId="77777777" w:rsidR="00F527BC" w:rsidRDefault="00F527BC" w:rsidP="00A47536">
            <w:pPr>
              <w:rPr>
                <w:b/>
                <w:bCs/>
                <w:color w:val="000000"/>
                <w:sz w:val="32"/>
                <w:szCs w:val="32"/>
              </w:rPr>
            </w:pPr>
            <w:r>
              <w:lastRenderedPageBreak/>
              <w:br w:type="page"/>
            </w:r>
            <w:r>
              <w:rPr>
                <w:b/>
                <w:bCs/>
                <w:color w:val="000000"/>
                <w:sz w:val="32"/>
                <w:szCs w:val="32"/>
              </w:rPr>
              <w:t>Attachment A – Subscribers and Porting.csv</w:t>
            </w:r>
          </w:p>
        </w:tc>
        <w:tc>
          <w:tcPr>
            <w:tcW w:w="0" w:type="auto"/>
            <w:tcBorders>
              <w:top w:val="nil"/>
              <w:left w:val="nil"/>
              <w:bottom w:val="nil"/>
              <w:right w:val="nil"/>
            </w:tcBorders>
            <w:shd w:val="clear" w:color="000000" w:fill="FFFFFF"/>
            <w:noWrap/>
            <w:vAlign w:val="bottom"/>
          </w:tcPr>
          <w:p w14:paraId="6450C374" w14:textId="77777777" w:rsidR="00F527BC" w:rsidRDefault="00F527BC" w:rsidP="00A47536">
            <w:pPr>
              <w:rPr>
                <w:color w:val="000000"/>
              </w:rPr>
            </w:pPr>
            <w:r>
              <w:rPr>
                <w:color w:val="000000"/>
              </w:rPr>
              <w:t> </w:t>
            </w:r>
          </w:p>
        </w:tc>
      </w:tr>
      <w:tr w:rsidR="00F527BC" w14:paraId="68556146" w14:textId="77777777" w:rsidTr="00A47536">
        <w:trPr>
          <w:trHeight w:val="300"/>
        </w:trPr>
        <w:tc>
          <w:tcPr>
            <w:tcW w:w="0" w:type="auto"/>
            <w:tcBorders>
              <w:top w:val="nil"/>
              <w:left w:val="nil"/>
              <w:bottom w:val="nil"/>
              <w:right w:val="nil"/>
            </w:tcBorders>
            <w:shd w:val="clear" w:color="000000" w:fill="FFFFFF"/>
            <w:noWrap/>
            <w:vAlign w:val="bottom"/>
          </w:tcPr>
          <w:p w14:paraId="535E2CB3"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5EE5A4AB"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2AEB2590"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1A0CDF4E"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7ADF6C94" w14:textId="77777777" w:rsidR="00F527BC" w:rsidRDefault="00F527BC" w:rsidP="00A47536">
            <w:pPr>
              <w:rPr>
                <w:color w:val="000000"/>
              </w:rPr>
            </w:pPr>
            <w:r>
              <w:rPr>
                <w:color w:val="000000"/>
              </w:rPr>
              <w:t> </w:t>
            </w:r>
          </w:p>
        </w:tc>
      </w:tr>
      <w:tr w:rsidR="00F527BC" w14:paraId="4043BD26" w14:textId="77777777" w:rsidTr="00A47536">
        <w:trPr>
          <w:trHeight w:val="1755"/>
        </w:trPr>
        <w:tc>
          <w:tcPr>
            <w:tcW w:w="0" w:type="auto"/>
            <w:gridSpan w:val="5"/>
            <w:tcBorders>
              <w:top w:val="nil"/>
              <w:left w:val="nil"/>
              <w:bottom w:val="nil"/>
              <w:right w:val="nil"/>
            </w:tcBorders>
            <w:shd w:val="clear" w:color="000000" w:fill="FFFFFF"/>
          </w:tcPr>
          <w:p w14:paraId="2E81AFD8" w14:textId="37815679" w:rsidR="00F527BC" w:rsidRDefault="00F527BC" w:rsidP="00A47536">
            <w:pPr>
              <w:rPr>
                <w:color w:val="000000"/>
              </w:rPr>
            </w:pPr>
          </w:p>
        </w:tc>
      </w:tr>
      <w:tr w:rsidR="00F527BC" w14:paraId="7BCC3233" w14:textId="77777777" w:rsidTr="00A47536">
        <w:trPr>
          <w:trHeight w:val="300"/>
        </w:trPr>
        <w:tc>
          <w:tcPr>
            <w:tcW w:w="0" w:type="auto"/>
            <w:tcBorders>
              <w:top w:val="nil"/>
              <w:left w:val="nil"/>
              <w:bottom w:val="nil"/>
              <w:right w:val="nil"/>
            </w:tcBorders>
            <w:shd w:val="clear" w:color="000000" w:fill="FFFFFF"/>
            <w:noWrap/>
            <w:vAlign w:val="bottom"/>
          </w:tcPr>
          <w:p w14:paraId="01BC1FD1"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291D5391"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651BB5D2"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731B2974" w14:textId="77777777" w:rsidR="00F527BC" w:rsidRDefault="00F527BC" w:rsidP="00A47536">
            <w:pPr>
              <w:rPr>
                <w:color w:val="000000"/>
              </w:rPr>
            </w:pPr>
            <w:r>
              <w:rPr>
                <w:color w:val="000000"/>
              </w:rPr>
              <w:t> </w:t>
            </w:r>
          </w:p>
        </w:tc>
        <w:tc>
          <w:tcPr>
            <w:tcW w:w="0" w:type="auto"/>
            <w:tcBorders>
              <w:top w:val="nil"/>
              <w:left w:val="nil"/>
              <w:bottom w:val="nil"/>
              <w:right w:val="nil"/>
            </w:tcBorders>
            <w:shd w:val="clear" w:color="000000" w:fill="FFFFFF"/>
            <w:noWrap/>
            <w:vAlign w:val="bottom"/>
          </w:tcPr>
          <w:p w14:paraId="7412441E" w14:textId="77777777" w:rsidR="00F527BC" w:rsidRDefault="00F527BC" w:rsidP="00A47536">
            <w:pPr>
              <w:rPr>
                <w:color w:val="000000"/>
              </w:rPr>
            </w:pPr>
            <w:r>
              <w:rPr>
                <w:color w:val="000000"/>
              </w:rPr>
              <w:t> </w:t>
            </w:r>
          </w:p>
        </w:tc>
      </w:tr>
      <w:tr w:rsidR="00F527BC" w14:paraId="7AD93E34" w14:textId="77777777" w:rsidTr="00A47536">
        <w:trPr>
          <w:trHeight w:val="285"/>
        </w:trPr>
        <w:tc>
          <w:tcPr>
            <w:tcW w:w="0" w:type="auto"/>
            <w:tcBorders>
              <w:top w:val="nil"/>
              <w:left w:val="nil"/>
              <w:bottom w:val="nil"/>
              <w:right w:val="nil"/>
            </w:tcBorders>
            <w:shd w:val="clear" w:color="000000" w:fill="FFFFFF"/>
            <w:noWrap/>
            <w:vAlign w:val="bottom"/>
          </w:tcPr>
          <w:p w14:paraId="63AEBFBE" w14:textId="77DF2869" w:rsidR="00F527BC" w:rsidRDefault="00F527BC" w:rsidP="00A47536">
            <w:pPr>
              <w:rPr>
                <w:b/>
                <w:bCs/>
                <w:color w:val="000000"/>
                <w:u w:val="single"/>
              </w:rPr>
            </w:pPr>
          </w:p>
        </w:tc>
        <w:tc>
          <w:tcPr>
            <w:tcW w:w="0" w:type="auto"/>
            <w:tcBorders>
              <w:top w:val="nil"/>
              <w:left w:val="nil"/>
              <w:bottom w:val="nil"/>
              <w:right w:val="nil"/>
            </w:tcBorders>
            <w:shd w:val="clear" w:color="000000" w:fill="FFFFFF"/>
            <w:noWrap/>
            <w:vAlign w:val="bottom"/>
          </w:tcPr>
          <w:p w14:paraId="41FEC78C" w14:textId="471E36C9" w:rsidR="00F527BC" w:rsidRDefault="00F527BC" w:rsidP="00A47536">
            <w:pPr>
              <w:rPr>
                <w:b/>
                <w:bCs/>
                <w:color w:val="000000"/>
                <w:u w:val="single"/>
              </w:rPr>
            </w:pPr>
          </w:p>
        </w:tc>
        <w:tc>
          <w:tcPr>
            <w:tcW w:w="0" w:type="auto"/>
            <w:tcBorders>
              <w:top w:val="nil"/>
              <w:left w:val="nil"/>
              <w:bottom w:val="nil"/>
              <w:right w:val="nil"/>
            </w:tcBorders>
            <w:shd w:val="clear" w:color="000000" w:fill="FFFFFF"/>
            <w:noWrap/>
            <w:vAlign w:val="bottom"/>
          </w:tcPr>
          <w:p w14:paraId="663A126F" w14:textId="6D289369" w:rsidR="00F527BC" w:rsidRDefault="00F527BC" w:rsidP="00A47536">
            <w:pPr>
              <w:rPr>
                <w:b/>
                <w:bCs/>
                <w:color w:val="000000"/>
                <w:u w:val="single"/>
              </w:rPr>
            </w:pPr>
          </w:p>
        </w:tc>
        <w:tc>
          <w:tcPr>
            <w:tcW w:w="0" w:type="auto"/>
            <w:tcBorders>
              <w:top w:val="nil"/>
              <w:left w:val="nil"/>
              <w:bottom w:val="nil"/>
              <w:right w:val="nil"/>
            </w:tcBorders>
            <w:shd w:val="clear" w:color="000000" w:fill="FFFFFF"/>
            <w:noWrap/>
            <w:vAlign w:val="bottom"/>
          </w:tcPr>
          <w:p w14:paraId="5CE21E97" w14:textId="48AC0D8B" w:rsidR="00F527BC" w:rsidRDefault="00F527BC" w:rsidP="00A47536">
            <w:pPr>
              <w:rPr>
                <w:b/>
                <w:bCs/>
                <w:color w:val="000000"/>
                <w:u w:val="single"/>
              </w:rPr>
            </w:pPr>
          </w:p>
        </w:tc>
        <w:tc>
          <w:tcPr>
            <w:tcW w:w="0" w:type="auto"/>
            <w:tcBorders>
              <w:top w:val="nil"/>
              <w:left w:val="nil"/>
              <w:bottom w:val="nil"/>
              <w:right w:val="nil"/>
            </w:tcBorders>
            <w:shd w:val="clear" w:color="000000" w:fill="FFFFFF"/>
            <w:noWrap/>
            <w:vAlign w:val="bottom"/>
          </w:tcPr>
          <w:p w14:paraId="69BC60C4" w14:textId="0B9064A4" w:rsidR="00F527BC" w:rsidRDefault="00F527BC" w:rsidP="00A47536">
            <w:pPr>
              <w:rPr>
                <w:b/>
                <w:bCs/>
                <w:color w:val="000000"/>
                <w:u w:val="single"/>
              </w:rPr>
            </w:pPr>
          </w:p>
        </w:tc>
      </w:tr>
      <w:tr w:rsidR="00F527BC" w14:paraId="5ED8B5DF" w14:textId="77777777" w:rsidTr="00A47536">
        <w:trPr>
          <w:trHeight w:val="300"/>
        </w:trPr>
        <w:tc>
          <w:tcPr>
            <w:tcW w:w="0" w:type="auto"/>
            <w:tcBorders>
              <w:top w:val="nil"/>
              <w:left w:val="nil"/>
              <w:bottom w:val="nil"/>
              <w:right w:val="nil"/>
            </w:tcBorders>
            <w:shd w:val="clear" w:color="000000" w:fill="FFFFFF"/>
            <w:noWrap/>
          </w:tcPr>
          <w:p w14:paraId="7B344C85" w14:textId="3D71A492"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20687F6E" w14:textId="4BC34955"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63ED7534" w14:textId="1DE128FC"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27B6285B" w14:textId="61EDFCA0"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1236E415" w14:textId="02015EFE" w:rsidR="00F527BC" w:rsidRDefault="00F527BC" w:rsidP="00A47536">
            <w:pPr>
              <w:rPr>
                <w:color w:val="000000"/>
                <w:sz w:val="20"/>
                <w:szCs w:val="20"/>
              </w:rPr>
            </w:pPr>
          </w:p>
        </w:tc>
      </w:tr>
      <w:tr w:rsidR="00F527BC" w14:paraId="2F24B208" w14:textId="77777777" w:rsidTr="00A47536">
        <w:trPr>
          <w:trHeight w:val="300"/>
        </w:trPr>
        <w:tc>
          <w:tcPr>
            <w:tcW w:w="0" w:type="auto"/>
            <w:tcBorders>
              <w:top w:val="nil"/>
              <w:left w:val="nil"/>
              <w:bottom w:val="nil"/>
              <w:right w:val="nil"/>
            </w:tcBorders>
            <w:shd w:val="clear" w:color="000000" w:fill="FFFFFF"/>
            <w:noWrap/>
          </w:tcPr>
          <w:p w14:paraId="3AC6075A" w14:textId="09A5FA16"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5A14CB48" w14:textId="3F77E03B"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6AC75CD9" w14:textId="74E217C7"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7D41ECE9" w14:textId="20B734D7"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652A9F0D" w14:textId="2F72E636" w:rsidR="00F527BC" w:rsidRDefault="00F527BC" w:rsidP="00A47536">
            <w:pPr>
              <w:rPr>
                <w:color w:val="000000"/>
                <w:sz w:val="20"/>
                <w:szCs w:val="20"/>
              </w:rPr>
            </w:pPr>
          </w:p>
        </w:tc>
      </w:tr>
      <w:tr w:rsidR="00F527BC" w14:paraId="7A235481" w14:textId="77777777" w:rsidTr="00A47536">
        <w:trPr>
          <w:trHeight w:val="300"/>
        </w:trPr>
        <w:tc>
          <w:tcPr>
            <w:tcW w:w="0" w:type="auto"/>
            <w:tcBorders>
              <w:top w:val="nil"/>
              <w:left w:val="nil"/>
              <w:bottom w:val="nil"/>
              <w:right w:val="nil"/>
            </w:tcBorders>
            <w:shd w:val="clear" w:color="000000" w:fill="FFFFFF"/>
            <w:noWrap/>
          </w:tcPr>
          <w:p w14:paraId="2DCE9D7F" w14:textId="65F671BE"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6A7CDAA4" w14:textId="3A7674D8"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52DCA6AF" w14:textId="6D6D4EBE"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75F370FF" w14:textId="1572CBC8"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1742D648" w14:textId="70007BC3" w:rsidR="00F527BC" w:rsidRDefault="00F527BC" w:rsidP="00A47536">
            <w:pPr>
              <w:rPr>
                <w:color w:val="000000"/>
                <w:sz w:val="20"/>
                <w:szCs w:val="20"/>
              </w:rPr>
            </w:pPr>
          </w:p>
        </w:tc>
      </w:tr>
      <w:tr w:rsidR="00F527BC" w14:paraId="790C5D15" w14:textId="77777777" w:rsidTr="00A47536">
        <w:trPr>
          <w:trHeight w:val="600"/>
        </w:trPr>
        <w:tc>
          <w:tcPr>
            <w:tcW w:w="0" w:type="auto"/>
            <w:tcBorders>
              <w:top w:val="nil"/>
              <w:left w:val="nil"/>
              <w:bottom w:val="nil"/>
              <w:right w:val="nil"/>
            </w:tcBorders>
            <w:shd w:val="clear" w:color="000000" w:fill="FFFFFF"/>
            <w:noWrap/>
          </w:tcPr>
          <w:p w14:paraId="386DDC97" w14:textId="5D98EC50"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69B44CEB" w14:textId="4EAE984C"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44F7B8D3" w14:textId="1B157048"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6E7A4E3E" w14:textId="20813760"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65188753" w14:textId="183620B7" w:rsidR="00F527BC" w:rsidRDefault="00F527BC" w:rsidP="00A47536">
            <w:pPr>
              <w:rPr>
                <w:color w:val="000000"/>
                <w:sz w:val="20"/>
                <w:szCs w:val="20"/>
              </w:rPr>
            </w:pPr>
          </w:p>
        </w:tc>
      </w:tr>
      <w:tr w:rsidR="00F527BC" w14:paraId="0D0E7479" w14:textId="77777777" w:rsidTr="00A47536">
        <w:trPr>
          <w:trHeight w:val="600"/>
        </w:trPr>
        <w:tc>
          <w:tcPr>
            <w:tcW w:w="0" w:type="auto"/>
            <w:tcBorders>
              <w:top w:val="nil"/>
              <w:left w:val="nil"/>
              <w:bottom w:val="nil"/>
              <w:right w:val="nil"/>
            </w:tcBorders>
            <w:shd w:val="clear" w:color="000000" w:fill="FFFFFF"/>
            <w:noWrap/>
          </w:tcPr>
          <w:p w14:paraId="6A5BD7FA" w14:textId="6F91C0DA"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60797AA5" w14:textId="45A06A20" w:rsidR="00F527BC" w:rsidDel="0005113E"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2F62EA34" w14:textId="36141BED"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00BF93B4" w14:textId="3C8025D2"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50920674" w14:textId="1B37B126" w:rsidR="00F527BC" w:rsidRDefault="00F527BC" w:rsidP="00A47536">
            <w:pPr>
              <w:rPr>
                <w:color w:val="000000"/>
                <w:sz w:val="20"/>
                <w:szCs w:val="20"/>
              </w:rPr>
            </w:pPr>
          </w:p>
        </w:tc>
      </w:tr>
      <w:tr w:rsidR="00F527BC" w14:paraId="56CE048C" w14:textId="77777777" w:rsidTr="00A47536">
        <w:trPr>
          <w:trHeight w:val="600"/>
        </w:trPr>
        <w:tc>
          <w:tcPr>
            <w:tcW w:w="0" w:type="auto"/>
            <w:tcBorders>
              <w:top w:val="nil"/>
              <w:left w:val="nil"/>
              <w:bottom w:val="nil"/>
              <w:right w:val="nil"/>
            </w:tcBorders>
            <w:shd w:val="clear" w:color="000000" w:fill="FFFFFF"/>
            <w:noWrap/>
          </w:tcPr>
          <w:p w14:paraId="7E970D36" w14:textId="4293B9B3"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03E2C6DC" w14:textId="3847D907"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2DF38B50" w14:textId="375DA295"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73344809" w14:textId="1E32FB15"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37BC8884" w14:textId="24D71D03" w:rsidR="00F527BC" w:rsidRDefault="00F527BC" w:rsidP="00A47536">
            <w:pPr>
              <w:rPr>
                <w:color w:val="000000"/>
                <w:sz w:val="20"/>
                <w:szCs w:val="20"/>
              </w:rPr>
            </w:pPr>
          </w:p>
        </w:tc>
      </w:tr>
      <w:tr w:rsidR="00F527BC" w14:paraId="40B16242" w14:textId="77777777" w:rsidTr="00A47536">
        <w:trPr>
          <w:trHeight w:val="600"/>
        </w:trPr>
        <w:tc>
          <w:tcPr>
            <w:tcW w:w="0" w:type="auto"/>
            <w:tcBorders>
              <w:top w:val="nil"/>
              <w:left w:val="nil"/>
              <w:bottom w:val="nil"/>
              <w:right w:val="nil"/>
            </w:tcBorders>
            <w:shd w:val="clear" w:color="000000" w:fill="FFFFFF"/>
            <w:noWrap/>
          </w:tcPr>
          <w:p w14:paraId="38914B79" w14:textId="6B80C165"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390927EA" w14:textId="45884091" w:rsidR="00F527BC" w:rsidRDefault="00F527BC" w:rsidP="00A47536">
            <w:pPr>
              <w:rPr>
                <w:color w:val="000000"/>
                <w:sz w:val="20"/>
                <w:szCs w:val="20"/>
              </w:rPr>
            </w:pPr>
          </w:p>
        </w:tc>
        <w:tc>
          <w:tcPr>
            <w:tcW w:w="0" w:type="auto"/>
            <w:tcBorders>
              <w:top w:val="nil"/>
              <w:left w:val="nil"/>
              <w:bottom w:val="nil"/>
              <w:right w:val="nil"/>
            </w:tcBorders>
            <w:shd w:val="clear" w:color="000000" w:fill="FFFFFF"/>
            <w:noWrap/>
          </w:tcPr>
          <w:p w14:paraId="2F4D165F" w14:textId="1721E4B4"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3B601699" w14:textId="0A4F81B2" w:rsidR="00F527BC" w:rsidRDefault="00F527BC" w:rsidP="00A47536">
            <w:pPr>
              <w:rPr>
                <w:color w:val="000000"/>
                <w:sz w:val="20"/>
                <w:szCs w:val="20"/>
              </w:rPr>
            </w:pPr>
          </w:p>
        </w:tc>
        <w:tc>
          <w:tcPr>
            <w:tcW w:w="0" w:type="auto"/>
            <w:tcBorders>
              <w:top w:val="nil"/>
              <w:left w:val="nil"/>
              <w:bottom w:val="nil"/>
              <w:right w:val="nil"/>
            </w:tcBorders>
            <w:shd w:val="clear" w:color="000000" w:fill="FFFFFF"/>
          </w:tcPr>
          <w:p w14:paraId="704FCE7C" w14:textId="272F34E6" w:rsidR="00F527BC" w:rsidRDefault="00F527BC" w:rsidP="00A47536">
            <w:pPr>
              <w:rPr>
                <w:color w:val="000000"/>
                <w:sz w:val="20"/>
                <w:szCs w:val="20"/>
              </w:rPr>
            </w:pPr>
          </w:p>
        </w:tc>
      </w:tr>
    </w:tbl>
    <w:p w14:paraId="68EF9F1C" w14:textId="505BE3AE" w:rsidR="00271763" w:rsidRDefault="00271763" w:rsidP="00271763">
      <w:r>
        <w:br w:type="page"/>
      </w:r>
    </w:p>
    <w:p w14:paraId="46A6A5F5" w14:textId="1365C1A9" w:rsidR="00271763" w:rsidRDefault="00271763" w:rsidP="00271763">
      <w:pPr>
        <w:autoSpaceDE w:val="0"/>
        <w:autoSpaceDN w:val="0"/>
        <w:adjustRightInd w:val="0"/>
        <w:jc w:val="center"/>
        <w:rPr>
          <w:b/>
          <w:u w:val="single"/>
        </w:rPr>
      </w:pPr>
      <w:r>
        <w:rPr>
          <w:b/>
          <w:u w:val="single"/>
        </w:rPr>
        <w:lastRenderedPageBreak/>
        <w:t>Definitions</w:t>
      </w:r>
    </w:p>
    <w:p w14:paraId="02398F56" w14:textId="77777777" w:rsidR="00271763" w:rsidRDefault="00271763" w:rsidP="00271763">
      <w:pPr>
        <w:autoSpaceDE w:val="0"/>
        <w:autoSpaceDN w:val="0"/>
        <w:adjustRightInd w:val="0"/>
        <w:rPr>
          <w:b/>
          <w:u w:val="single"/>
        </w:rPr>
      </w:pPr>
    </w:p>
    <w:p w14:paraId="753C75DC" w14:textId="77777777" w:rsidR="00271763" w:rsidRDefault="00271763" w:rsidP="00271763">
      <w:pPr>
        <w:autoSpaceDE w:val="0"/>
        <w:autoSpaceDN w:val="0"/>
        <w:adjustRightInd w:val="0"/>
        <w:rPr>
          <w:b/>
          <w:u w:val="single"/>
        </w:rPr>
      </w:pPr>
      <w:r>
        <w:rPr>
          <w:b/>
          <w:u w:val="single"/>
        </w:rPr>
        <w:t>In this Information and Document Request, the following terms shall have the following meanings (such meanings to be equally applicable to both the singular and plural forms of the terms defined):</w:t>
      </w:r>
    </w:p>
    <w:p w14:paraId="2B826BCA" w14:textId="77777777" w:rsidR="00271763" w:rsidRDefault="00271763" w:rsidP="00271763">
      <w:pPr>
        <w:autoSpaceDE w:val="0"/>
        <w:autoSpaceDN w:val="0"/>
        <w:adjustRightInd w:val="0"/>
        <w:jc w:val="center"/>
        <w:rPr>
          <w:u w:val="single"/>
        </w:rPr>
      </w:pPr>
    </w:p>
    <w:p w14:paraId="456E0052" w14:textId="7D406465" w:rsidR="00271763" w:rsidRDefault="00271763" w:rsidP="00271763">
      <w:pPr>
        <w:pStyle w:val="ListParagraph"/>
        <w:numPr>
          <w:ilvl w:val="0"/>
          <w:numId w:val="6"/>
        </w:numPr>
        <w:autoSpaceDE w:val="0"/>
        <w:autoSpaceDN w:val="0"/>
        <w:adjustRightInd w:val="0"/>
      </w:pPr>
      <w:r>
        <w:t>The terms “Company” or “</w:t>
      </w:r>
      <w:r w:rsidR="0071150F">
        <w:t>TeleGuam</w:t>
      </w:r>
      <w:r>
        <w:t xml:space="preserve">” mean </w:t>
      </w:r>
      <w:r w:rsidR="0071150F">
        <w:t>TeleGuam Holdings, LLC</w:t>
      </w:r>
      <w:r>
        <w:t>, its domestic and foreign parents, predecessors, divisions, subsidiaries, affiliates, partnerships, and joint ventures, and all directors, officers, employees, agents, and representatives of the foregoing.  The terms “parents,” “subsidiary,” “affiliate,” and “joint venture” refer to any person in which there is partial (10 percent or more) or total ownership or control between the company and any other person.</w:t>
      </w:r>
    </w:p>
    <w:p w14:paraId="280F1EC2" w14:textId="77777777" w:rsidR="00271763" w:rsidRDefault="00271763" w:rsidP="00271763">
      <w:pPr>
        <w:autoSpaceDE w:val="0"/>
        <w:autoSpaceDN w:val="0"/>
        <w:adjustRightInd w:val="0"/>
        <w:ind w:left="360"/>
      </w:pPr>
    </w:p>
    <w:p w14:paraId="671BD190" w14:textId="7CFCB60D" w:rsidR="00271763" w:rsidRPr="001B6F69" w:rsidRDefault="00271763" w:rsidP="00271763">
      <w:pPr>
        <w:numPr>
          <w:ilvl w:val="0"/>
          <w:numId w:val="6"/>
        </w:numPr>
        <w:autoSpaceDE w:val="0"/>
        <w:autoSpaceDN w:val="0"/>
        <w:adjustRightInd w:val="0"/>
      </w:pPr>
      <w:r w:rsidRPr="001B6F69">
        <w:t xml:space="preserve">The </w:t>
      </w:r>
      <w:r w:rsidRPr="005363C1">
        <w:t>term “</w:t>
      </w:r>
      <w:r w:rsidR="0071150F">
        <w:t>Club 42</w:t>
      </w:r>
      <w:r w:rsidRPr="005363C1">
        <w:t xml:space="preserve">” means </w:t>
      </w:r>
      <w:r w:rsidR="0071150F">
        <w:t>Club 42 CM Limited Partnership</w:t>
      </w:r>
      <w:r w:rsidR="00604A8C" w:rsidRPr="005363C1">
        <w:t xml:space="preserve">, </w:t>
      </w:r>
      <w:r w:rsidR="00245304" w:rsidRPr="005363C1">
        <w:t>the</w:t>
      </w:r>
      <w:r w:rsidRPr="005363C1">
        <w:t xml:space="preserve"> parents, predecessors, divisions, subsidiaries, affiliates, partnerships and joint ventures, and</w:t>
      </w:r>
      <w:r w:rsidRPr="001B6F69">
        <w:t xml:space="preserve"> all directors, officers, employees, agents, and representatives of the foregoing.  The terms “parent,” “subsidiary,” “affiliate,” and “joint venture” refer to any person in which there is partial (10 percent or more) or total ownership or control between the company and any other person.</w:t>
      </w:r>
    </w:p>
    <w:p w14:paraId="31438064" w14:textId="77777777" w:rsidR="00271763" w:rsidRDefault="00271763" w:rsidP="00271763">
      <w:pPr>
        <w:pStyle w:val="ListParagraph"/>
        <w:autoSpaceDE w:val="0"/>
        <w:autoSpaceDN w:val="0"/>
        <w:adjustRightInd w:val="0"/>
        <w:ind w:left="0"/>
      </w:pPr>
    </w:p>
    <w:p w14:paraId="05A15892" w14:textId="77777777" w:rsidR="00271763" w:rsidRDefault="00271763" w:rsidP="00271763">
      <w:pPr>
        <w:numPr>
          <w:ilvl w:val="0"/>
          <w:numId w:val="6"/>
        </w:numPr>
        <w:autoSpaceDE w:val="0"/>
        <w:autoSpaceDN w:val="0"/>
        <w:adjustRightInd w:val="0"/>
      </w:pPr>
      <w:r>
        <w:t>The terms “and” and “or” have both conjunctive and disjunctive meanings.</w:t>
      </w:r>
    </w:p>
    <w:p w14:paraId="19CF7D28" w14:textId="77777777" w:rsidR="00271763" w:rsidRDefault="00271763" w:rsidP="00271763">
      <w:pPr>
        <w:autoSpaceDE w:val="0"/>
        <w:autoSpaceDN w:val="0"/>
        <w:adjustRightInd w:val="0"/>
        <w:ind w:left="360"/>
      </w:pPr>
    </w:p>
    <w:p w14:paraId="48013023" w14:textId="77777777" w:rsidR="00271763" w:rsidRDefault="00271763" w:rsidP="00271763">
      <w:pPr>
        <w:numPr>
          <w:ilvl w:val="0"/>
          <w:numId w:val="6"/>
        </w:numPr>
        <w:autoSpaceDE w:val="0"/>
        <w:autoSpaceDN w:val="0"/>
        <w:adjustRightInd w:val="0"/>
      </w:pPr>
      <w:r>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14:paraId="70A088ED" w14:textId="77777777" w:rsidR="00271763" w:rsidRDefault="00271763" w:rsidP="00271763">
      <w:pPr>
        <w:autoSpaceDE w:val="0"/>
        <w:autoSpaceDN w:val="0"/>
        <w:adjustRightInd w:val="0"/>
      </w:pPr>
    </w:p>
    <w:p w14:paraId="59B1E09C" w14:textId="74A26867" w:rsidR="00271763" w:rsidRDefault="00271763" w:rsidP="00271763">
      <w:pPr>
        <w:numPr>
          <w:ilvl w:val="0"/>
          <w:numId w:val="6"/>
        </w:numPr>
        <w:autoSpaceDE w:val="0"/>
        <w:autoSpaceDN w:val="0"/>
        <w:adjustRightInd w:val="0"/>
      </w:pPr>
      <w:r>
        <w:rPr>
          <w:bCs/>
        </w:rPr>
        <w:t xml:space="preserve">The term “Applicants” means </w:t>
      </w:r>
      <w:r w:rsidR="0071150F">
        <w:rPr>
          <w:bCs/>
        </w:rPr>
        <w:t>TeleGuam</w:t>
      </w:r>
      <w:r>
        <w:rPr>
          <w:bCs/>
        </w:rPr>
        <w:t xml:space="preserve"> and </w:t>
      </w:r>
      <w:r w:rsidR="0071150F">
        <w:rPr>
          <w:bCs/>
        </w:rPr>
        <w:t>Club 42</w:t>
      </w:r>
      <w:r>
        <w:rPr>
          <w:bCs/>
        </w:rPr>
        <w:t>, collectively.</w:t>
      </w:r>
      <w:r>
        <w:t xml:space="preserve"> </w:t>
      </w:r>
    </w:p>
    <w:p w14:paraId="1802ABE6" w14:textId="77777777" w:rsidR="00271763" w:rsidRDefault="00271763" w:rsidP="00271763">
      <w:pPr>
        <w:autoSpaceDE w:val="0"/>
        <w:autoSpaceDN w:val="0"/>
        <w:adjustRightInd w:val="0"/>
        <w:ind w:left="360"/>
      </w:pPr>
    </w:p>
    <w:p w14:paraId="39894742" w14:textId="1362C811" w:rsidR="00271763" w:rsidRDefault="00271763" w:rsidP="00271763">
      <w:pPr>
        <w:numPr>
          <w:ilvl w:val="0"/>
          <w:numId w:val="6"/>
        </w:numPr>
        <w:autoSpaceDE w:val="0"/>
        <w:autoSpaceDN w:val="0"/>
        <w:adjustRightInd w:val="0"/>
      </w:pPr>
      <w:r>
        <w:t>The term “App</w:t>
      </w:r>
      <w:r w:rsidR="00F5615B">
        <w:t>lication” means the application</w:t>
      </w:r>
      <w:r>
        <w:t xml:space="preserve"> submitted by </w:t>
      </w:r>
      <w:r w:rsidR="00B21A60">
        <w:rPr>
          <w:bCs/>
        </w:rPr>
        <w:t>TeleGuam</w:t>
      </w:r>
      <w:r>
        <w:rPr>
          <w:bCs/>
        </w:rPr>
        <w:t xml:space="preserve"> and </w:t>
      </w:r>
      <w:r w:rsidR="00B21A60">
        <w:rPr>
          <w:bCs/>
        </w:rPr>
        <w:t>Club 42</w:t>
      </w:r>
      <w:r w:rsidR="00501BF4">
        <w:rPr>
          <w:bCs/>
        </w:rPr>
        <w:t xml:space="preserve"> </w:t>
      </w:r>
      <w:r>
        <w:rPr>
          <w:bCs/>
        </w:rPr>
        <w:t xml:space="preserve">on </w:t>
      </w:r>
      <w:r w:rsidR="00226B4F">
        <w:rPr>
          <w:bCs/>
        </w:rPr>
        <w:t>October 6</w:t>
      </w:r>
      <w:r w:rsidR="00E01D05">
        <w:rPr>
          <w:bCs/>
        </w:rPr>
        <w:t>,</w:t>
      </w:r>
      <w:r w:rsidR="00514CA9">
        <w:rPr>
          <w:bCs/>
        </w:rPr>
        <w:t xml:space="preserve"> </w:t>
      </w:r>
      <w:r w:rsidR="00E01D05">
        <w:rPr>
          <w:bCs/>
        </w:rPr>
        <w:t>2014</w:t>
      </w:r>
      <w:r w:rsidR="00226B4F">
        <w:rPr>
          <w:bCs/>
        </w:rPr>
        <w:t>, and amended on October 7, 2014</w:t>
      </w:r>
      <w:r>
        <w:rPr>
          <w:bCs/>
        </w:rPr>
        <w:t>,</w:t>
      </w:r>
      <w:r w:rsidR="00F5615B">
        <w:rPr>
          <w:bCs/>
        </w:rPr>
        <w:t xml:space="preserve"> with the </w:t>
      </w:r>
      <w:r>
        <w:rPr>
          <w:bCs/>
        </w:rPr>
        <w:t xml:space="preserve">file number for the wireless radio services listed as </w:t>
      </w:r>
      <w:r w:rsidR="00670C36" w:rsidRPr="00035BF8">
        <w:rPr>
          <w:color w:val="000000"/>
        </w:rPr>
        <w:t>000</w:t>
      </w:r>
      <w:r w:rsidR="0071150F">
        <w:rPr>
          <w:color w:val="000000"/>
        </w:rPr>
        <w:t>6489830</w:t>
      </w:r>
      <w:r>
        <w:rPr>
          <w:bCs/>
        </w:rPr>
        <w:t>.</w:t>
      </w:r>
      <w:r>
        <w:t xml:space="preserve"> </w:t>
      </w:r>
    </w:p>
    <w:p w14:paraId="627F8B5D" w14:textId="77777777" w:rsidR="00271763" w:rsidRDefault="00271763" w:rsidP="00271763">
      <w:pPr>
        <w:pStyle w:val="ListParagraph"/>
      </w:pPr>
    </w:p>
    <w:p w14:paraId="52124733" w14:textId="41C31BC7" w:rsidR="00271763" w:rsidRDefault="00271763" w:rsidP="00271763">
      <w:pPr>
        <w:numPr>
          <w:ilvl w:val="0"/>
          <w:numId w:val="6"/>
        </w:numPr>
        <w:autoSpaceDE w:val="0"/>
        <w:autoSpaceDN w:val="0"/>
        <w:adjustRightInd w:val="0"/>
      </w:pPr>
      <w:r>
        <w:t>The term “BTA” means Basic Trading Area.</w:t>
      </w:r>
    </w:p>
    <w:p w14:paraId="22425642" w14:textId="77777777" w:rsidR="00271763" w:rsidRDefault="00271763" w:rsidP="00271763">
      <w:pPr>
        <w:autoSpaceDE w:val="0"/>
        <w:autoSpaceDN w:val="0"/>
        <w:adjustRightInd w:val="0"/>
        <w:ind w:left="720"/>
      </w:pPr>
    </w:p>
    <w:p w14:paraId="65F3D693" w14:textId="77777777" w:rsidR="00271763" w:rsidRDefault="00271763" w:rsidP="00271763">
      <w:pPr>
        <w:numPr>
          <w:ilvl w:val="0"/>
          <w:numId w:val="6"/>
        </w:numPr>
        <w:autoSpaceDE w:val="0"/>
        <w:autoSpaceDN w:val="0"/>
        <w:adjustRightInd w:val="0"/>
      </w:pPr>
      <w:r>
        <w:rPr>
          <w:bCs/>
        </w:rPr>
        <w:t xml:space="preserve">The term “CDMA” means Code Division Multiple Access technology. </w:t>
      </w:r>
    </w:p>
    <w:p w14:paraId="567BB2DF" w14:textId="77777777" w:rsidR="00271763" w:rsidRDefault="00271763" w:rsidP="00271763">
      <w:pPr>
        <w:autoSpaceDE w:val="0"/>
        <w:autoSpaceDN w:val="0"/>
        <w:adjustRightInd w:val="0"/>
        <w:ind w:left="720"/>
      </w:pPr>
    </w:p>
    <w:p w14:paraId="6289FD4F" w14:textId="77777777" w:rsidR="00271763" w:rsidRDefault="00271763" w:rsidP="00271763">
      <w:pPr>
        <w:numPr>
          <w:ilvl w:val="0"/>
          <w:numId w:val="6"/>
        </w:numPr>
        <w:autoSpaceDE w:val="0"/>
        <w:autoSpaceDN w:val="0"/>
        <w:adjustRightInd w:val="0"/>
      </w:pPr>
      <w:r>
        <w:rPr>
          <w:bCs/>
        </w:rPr>
        <w:t>The term “CMA” means Cellular Market Area.</w:t>
      </w:r>
    </w:p>
    <w:p w14:paraId="62C7B9E8" w14:textId="77777777" w:rsidR="00271763" w:rsidRDefault="00271763" w:rsidP="00271763">
      <w:pPr>
        <w:autoSpaceDE w:val="0"/>
        <w:autoSpaceDN w:val="0"/>
        <w:adjustRightInd w:val="0"/>
        <w:ind w:left="360"/>
      </w:pPr>
    </w:p>
    <w:p w14:paraId="2333DCF0" w14:textId="77777777" w:rsidR="00271763" w:rsidRDefault="00271763" w:rsidP="00271763">
      <w:pPr>
        <w:numPr>
          <w:ilvl w:val="0"/>
          <w:numId w:val="6"/>
        </w:numPr>
        <w:rPr>
          <w:color w:val="000000"/>
        </w:rPr>
      </w:pPr>
      <w:r>
        <w:rPr>
          <w:color w:val="000000"/>
        </w:rPr>
        <w:t xml:space="preserve">The term “competitor” includes any actual or potential competition from any partnership, corporation (including a business trust), joint stock company, trust, unincorporated association, joint venture, limited liability company, or other entity in any relevant area for any relevant product. </w:t>
      </w:r>
    </w:p>
    <w:p w14:paraId="17AFACFF" w14:textId="77777777" w:rsidR="00271763" w:rsidRDefault="00271763" w:rsidP="00271763">
      <w:pPr>
        <w:autoSpaceDE w:val="0"/>
        <w:autoSpaceDN w:val="0"/>
        <w:adjustRightInd w:val="0"/>
      </w:pPr>
    </w:p>
    <w:p w14:paraId="498C62E4" w14:textId="77777777" w:rsidR="00271763" w:rsidRDefault="00271763" w:rsidP="00271763">
      <w:pPr>
        <w:numPr>
          <w:ilvl w:val="0"/>
          <w:numId w:val="6"/>
        </w:numPr>
      </w:pPr>
      <w: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14:paraId="29BA9DC5" w14:textId="77777777" w:rsidR="00271763" w:rsidRDefault="00271763" w:rsidP="00271763">
      <w:pPr>
        <w:autoSpaceDE w:val="0"/>
        <w:autoSpaceDN w:val="0"/>
        <w:adjustRightInd w:val="0"/>
      </w:pPr>
    </w:p>
    <w:p w14:paraId="77435957" w14:textId="77777777" w:rsidR="00271763" w:rsidRDefault="00271763" w:rsidP="00271763">
      <w:pPr>
        <w:numPr>
          <w:ilvl w:val="0"/>
          <w:numId w:val="6"/>
        </w:numPr>
        <w:tabs>
          <w:tab w:val="num" w:pos="1440"/>
        </w:tabs>
        <w:autoSpaceDE w:val="0"/>
        <w:autoSpaceDN w:val="0"/>
        <w:adjustRightInd w:val="0"/>
        <w:rPr>
          <w:bCs/>
        </w:rPr>
      </w:pPr>
      <w:r>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The term “documents” includes, without limitation, materials of every kind in the possession, custody, or control of the Company whether created internally or externally.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submit one representative copy. </w:t>
      </w:r>
    </w:p>
    <w:p w14:paraId="6DC76972" w14:textId="77777777" w:rsidR="00271763" w:rsidRDefault="00271763" w:rsidP="00271763">
      <w:pPr>
        <w:tabs>
          <w:tab w:val="num" w:pos="1440"/>
        </w:tabs>
        <w:autoSpaceDE w:val="0"/>
        <w:autoSpaceDN w:val="0"/>
        <w:adjustRightInd w:val="0"/>
        <w:ind w:left="720"/>
        <w:rPr>
          <w:bCs/>
        </w:rPr>
      </w:pPr>
    </w:p>
    <w:p w14:paraId="16252A96" w14:textId="77777777" w:rsidR="00271763" w:rsidRDefault="00271763" w:rsidP="00271763">
      <w:pPr>
        <w:numPr>
          <w:ilvl w:val="0"/>
          <w:numId w:val="6"/>
        </w:numPr>
        <w:tabs>
          <w:tab w:val="num" w:pos="1440"/>
        </w:tabs>
        <w:autoSpaceDE w:val="0"/>
        <w:autoSpaceDN w:val="0"/>
        <w:adjustRightInd w:val="0"/>
        <w:rPr>
          <w:bCs/>
        </w:rPr>
      </w:pPr>
      <w:r>
        <w:t>The term “EDGE” means Enhanced Data rates for GSM Evolution technology.</w:t>
      </w:r>
    </w:p>
    <w:p w14:paraId="2ADF6CD3" w14:textId="77777777" w:rsidR="00271763" w:rsidRDefault="00271763" w:rsidP="00271763">
      <w:pPr>
        <w:pStyle w:val="ListParagraph"/>
        <w:rPr>
          <w:bCs/>
        </w:rPr>
      </w:pPr>
    </w:p>
    <w:p w14:paraId="585E9432" w14:textId="77777777" w:rsidR="00271763" w:rsidRDefault="00271763" w:rsidP="00271763">
      <w:pPr>
        <w:pStyle w:val="ListParagraph"/>
        <w:numPr>
          <w:ilvl w:val="0"/>
          <w:numId w:val="6"/>
        </w:numPr>
        <w:autoSpaceDE w:val="0"/>
        <w:autoSpaceDN w:val="0"/>
        <w:adjustRightInd w:val="0"/>
        <w:rPr>
          <w:bCs/>
        </w:rPr>
      </w:pPr>
      <w:r>
        <w:rPr>
          <w:bCs/>
        </w:rPr>
        <w:t>The term “EvDO” or “EvDO Rev. A” means Evolution-Data Optimized or Evolution–Data Optimized Revolution A. technology.</w:t>
      </w:r>
    </w:p>
    <w:p w14:paraId="3F682F2F" w14:textId="77777777" w:rsidR="00271763" w:rsidRDefault="00271763" w:rsidP="00271763">
      <w:pPr>
        <w:pStyle w:val="ListParagraph"/>
        <w:tabs>
          <w:tab w:val="num" w:pos="1440"/>
        </w:tabs>
        <w:autoSpaceDE w:val="0"/>
        <w:autoSpaceDN w:val="0"/>
        <w:adjustRightInd w:val="0"/>
        <w:rPr>
          <w:bCs/>
        </w:rPr>
      </w:pPr>
    </w:p>
    <w:p w14:paraId="1AE702EE" w14:textId="77777777" w:rsidR="00271763" w:rsidRDefault="00271763" w:rsidP="00271763">
      <w:pPr>
        <w:pStyle w:val="ListParagraph"/>
        <w:numPr>
          <w:ilvl w:val="0"/>
          <w:numId w:val="6"/>
        </w:numPr>
        <w:tabs>
          <w:tab w:val="num" w:pos="1440"/>
        </w:tabs>
        <w:rPr>
          <w:bCs/>
        </w:rPr>
      </w:pPr>
      <w:r>
        <w:rPr>
          <w:bCs/>
        </w:rPr>
        <w:t>The term “GSM” means Global System for Mobile Communications technology.</w:t>
      </w:r>
    </w:p>
    <w:p w14:paraId="2B682AAC" w14:textId="77777777" w:rsidR="00271763" w:rsidRDefault="00271763" w:rsidP="00271763">
      <w:pPr>
        <w:pStyle w:val="ListParagraph"/>
        <w:tabs>
          <w:tab w:val="num" w:pos="1440"/>
        </w:tabs>
        <w:ind w:left="360"/>
        <w:rPr>
          <w:bCs/>
        </w:rPr>
      </w:pPr>
    </w:p>
    <w:p w14:paraId="5639C387" w14:textId="77777777" w:rsidR="00271763" w:rsidRDefault="00271763" w:rsidP="00271763">
      <w:pPr>
        <w:pStyle w:val="ListParagraph"/>
        <w:numPr>
          <w:ilvl w:val="0"/>
          <w:numId w:val="6"/>
        </w:numPr>
        <w:tabs>
          <w:tab w:val="num" w:pos="1440"/>
        </w:tabs>
        <w:rPr>
          <w:bCs/>
        </w:rPr>
      </w:pPr>
      <w:r>
        <w:rPr>
          <w:bCs/>
        </w:rPr>
        <w:t>The term “HSPA” or “HSPA+” means High Speed Packet Access or High Speed Packet Access + technology.</w:t>
      </w:r>
    </w:p>
    <w:p w14:paraId="010EF0FB" w14:textId="77777777" w:rsidR="00271763" w:rsidRDefault="00271763" w:rsidP="00271763">
      <w:pPr>
        <w:pStyle w:val="ListParagraph"/>
        <w:tabs>
          <w:tab w:val="num" w:pos="1440"/>
        </w:tabs>
        <w:rPr>
          <w:bCs/>
        </w:rPr>
      </w:pPr>
      <w:r>
        <w:rPr>
          <w:bCs/>
        </w:rPr>
        <w:t xml:space="preserve"> </w:t>
      </w:r>
    </w:p>
    <w:p w14:paraId="353F85FB" w14:textId="77777777" w:rsidR="00271763" w:rsidRDefault="00271763" w:rsidP="00271763">
      <w:pPr>
        <w:numPr>
          <w:ilvl w:val="0"/>
          <w:numId w:val="6"/>
        </w:numPr>
        <w:autoSpaceDE w:val="0"/>
        <w:autoSpaceDN w:val="0"/>
        <w:adjustRightInd w:val="0"/>
      </w:pPr>
      <w:r>
        <w:t>The term “identify,” when used with reference to a document, means to state the date, author, addressee, type of document (</w:t>
      </w:r>
      <w:r w:rsidRPr="006C24B5">
        <w:rPr>
          <w:i/>
          <w:iCs/>
        </w:rPr>
        <w:t>e.g.</w:t>
      </w:r>
      <w:r>
        <w:t xml:space="preserve">, the types of document, as described above), a brief description of the subject matter, its present or last known location, and its custodian, who must also be identified.   </w:t>
      </w:r>
    </w:p>
    <w:p w14:paraId="6103BBE2" w14:textId="77777777" w:rsidR="00271763" w:rsidRDefault="00271763" w:rsidP="00271763">
      <w:pPr>
        <w:autoSpaceDE w:val="0"/>
        <w:autoSpaceDN w:val="0"/>
        <w:adjustRightInd w:val="0"/>
        <w:ind w:left="720"/>
      </w:pPr>
    </w:p>
    <w:p w14:paraId="674BC04D" w14:textId="77777777" w:rsidR="00271763" w:rsidRDefault="00271763" w:rsidP="00271763">
      <w:pPr>
        <w:numPr>
          <w:ilvl w:val="0"/>
          <w:numId w:val="6"/>
        </w:numPr>
        <w:autoSpaceDE w:val="0"/>
        <w:autoSpaceDN w:val="0"/>
        <w:adjustRightInd w:val="0"/>
      </w:pPr>
      <w:r>
        <w:t xml:space="preserve">The term “including” shall be construed as including, but not limited to, and indicates examples for the Applicants to address.  The term should not be construed as to limit the response to only those examples listed. </w:t>
      </w:r>
    </w:p>
    <w:p w14:paraId="601D4168" w14:textId="77777777" w:rsidR="00271763" w:rsidRDefault="00271763" w:rsidP="00271763">
      <w:pPr>
        <w:autoSpaceDE w:val="0"/>
        <w:autoSpaceDN w:val="0"/>
        <w:adjustRightInd w:val="0"/>
        <w:ind w:left="720"/>
      </w:pPr>
    </w:p>
    <w:p w14:paraId="5D632126" w14:textId="77777777" w:rsidR="00271763" w:rsidRDefault="00271763" w:rsidP="00271763">
      <w:pPr>
        <w:pStyle w:val="ListParagraph"/>
        <w:numPr>
          <w:ilvl w:val="0"/>
          <w:numId w:val="6"/>
        </w:numPr>
        <w:tabs>
          <w:tab w:val="num" w:pos="1440"/>
        </w:tabs>
        <w:autoSpaceDE w:val="0"/>
        <w:autoSpaceDN w:val="0"/>
        <w:adjustRightInd w:val="0"/>
      </w:pPr>
      <w:r>
        <w:t>The term “LTE” means Long Term Evolution technology.</w:t>
      </w:r>
    </w:p>
    <w:p w14:paraId="3EFB9E00" w14:textId="77777777" w:rsidR="00271763" w:rsidRDefault="00271763" w:rsidP="00271763">
      <w:pPr>
        <w:pStyle w:val="ListParagraph"/>
      </w:pPr>
    </w:p>
    <w:p w14:paraId="55E92EC1" w14:textId="77777777" w:rsidR="00271763" w:rsidRDefault="00271763" w:rsidP="00271763">
      <w:pPr>
        <w:numPr>
          <w:ilvl w:val="0"/>
          <w:numId w:val="6"/>
        </w:numPr>
        <w:autoSpaceDE w:val="0"/>
        <w:autoSpaceDN w:val="0"/>
        <w:adjustRightInd w:val="0"/>
      </w:pPr>
      <w:r>
        <w:t>The term “mobile wireless application,” also referred to as “application software” or “app,” means a computer system that enables one or more function on a mobile wireless device running a mobile operating system (</w:t>
      </w:r>
      <w:r w:rsidRPr="006C24B5">
        <w:rPr>
          <w:i/>
        </w:rPr>
        <w:t>e.g.</w:t>
      </w:r>
      <w:r>
        <w:t>, Android, iOS).</w:t>
      </w:r>
    </w:p>
    <w:p w14:paraId="6DB38A43" w14:textId="77777777" w:rsidR="00271763" w:rsidRDefault="00271763" w:rsidP="00271763">
      <w:pPr>
        <w:autoSpaceDE w:val="0"/>
        <w:autoSpaceDN w:val="0"/>
        <w:adjustRightInd w:val="0"/>
      </w:pPr>
    </w:p>
    <w:p w14:paraId="1BCC189D" w14:textId="77777777" w:rsidR="00271763" w:rsidRDefault="00271763" w:rsidP="00271763">
      <w:pPr>
        <w:numPr>
          <w:ilvl w:val="0"/>
          <w:numId w:val="6"/>
        </w:numPr>
        <w:tabs>
          <w:tab w:val="num" w:pos="1800"/>
        </w:tabs>
        <w:autoSpaceDE w:val="0"/>
        <w:autoSpaceDN w:val="0"/>
        <w:adjustRightInd w:val="0"/>
      </w:pPr>
      <w:r>
        <w:t>The term “mobile wireless telephone number,” means the 10-digit telephone number assigned to an end-user to access mobile wireless services.</w:t>
      </w:r>
    </w:p>
    <w:p w14:paraId="7FD904A4" w14:textId="77777777" w:rsidR="00271763" w:rsidRDefault="00271763" w:rsidP="00271763">
      <w:pPr>
        <w:autoSpaceDE w:val="0"/>
        <w:autoSpaceDN w:val="0"/>
        <w:adjustRightInd w:val="0"/>
      </w:pPr>
    </w:p>
    <w:p w14:paraId="4393FDF7" w14:textId="77777777" w:rsidR="00271763" w:rsidRDefault="00271763" w:rsidP="00271763">
      <w:pPr>
        <w:numPr>
          <w:ilvl w:val="0"/>
          <w:numId w:val="6"/>
        </w:numPr>
        <w:tabs>
          <w:tab w:val="num" w:pos="1800"/>
        </w:tabs>
        <w:autoSpaceDE w:val="0"/>
        <w:autoSpaceDN w:val="0"/>
        <w:adjustRightInd w:val="0"/>
      </w:pPr>
      <w:r>
        <w:t>The term “mobile wireless data services” means any data communications service using radio transmission between mobile or fixed stations and a network providing communication of packet data information, including but not limited to, broadband data, video, remote file access, status reporting, facsimile, and internet/intranet access.  Mobile wireless data services include non-interconnected Voice over IP but exclude mobile wireless voice and text services, as defined herein.</w:t>
      </w:r>
    </w:p>
    <w:p w14:paraId="1F82C646" w14:textId="77777777" w:rsidR="00271763" w:rsidRDefault="00271763" w:rsidP="00271763">
      <w:pPr>
        <w:autoSpaceDE w:val="0"/>
        <w:autoSpaceDN w:val="0"/>
        <w:adjustRightInd w:val="0"/>
      </w:pPr>
    </w:p>
    <w:p w14:paraId="76FD213A" w14:textId="77777777" w:rsidR="00271763" w:rsidRDefault="00271763" w:rsidP="00271763">
      <w:pPr>
        <w:numPr>
          <w:ilvl w:val="0"/>
          <w:numId w:val="6"/>
        </w:numPr>
        <w:tabs>
          <w:tab w:val="num" w:pos="1800"/>
        </w:tabs>
        <w:autoSpaceDE w:val="0"/>
        <w:autoSpaceDN w:val="0"/>
        <w:adjustRightInd w:val="0"/>
      </w:pPr>
      <w:r>
        <w:t>The term “mobile wireless services” includes mobile wireless voice services, mobile wireless text services, mobile wireless data services, and mobile wireless applications.</w:t>
      </w:r>
    </w:p>
    <w:p w14:paraId="67F097F1" w14:textId="77777777" w:rsidR="00271763" w:rsidRDefault="00271763" w:rsidP="00271763">
      <w:pPr>
        <w:autoSpaceDE w:val="0"/>
        <w:autoSpaceDN w:val="0"/>
        <w:adjustRightInd w:val="0"/>
      </w:pPr>
    </w:p>
    <w:p w14:paraId="1401EBB8" w14:textId="77777777" w:rsidR="00271763" w:rsidRDefault="00271763" w:rsidP="00271763">
      <w:pPr>
        <w:numPr>
          <w:ilvl w:val="0"/>
          <w:numId w:val="6"/>
        </w:numPr>
        <w:tabs>
          <w:tab w:val="num" w:pos="1800"/>
        </w:tabs>
        <w:autoSpaceDE w:val="0"/>
        <w:autoSpaceDN w:val="0"/>
        <w:adjustRightInd w:val="0"/>
        <w:rPr>
          <w:u w:val="single"/>
        </w:rPr>
      </w:pPr>
      <w:r>
        <w:t>The term “mobile wireless text services” means any communications service using radio transmission between mobile or fixed stations and a network providing communication of numeric or alphanumeric messages, such as multi-media messaging, short messaging, and short codes.  Mobile wireless text services exclude e-mails.</w:t>
      </w:r>
    </w:p>
    <w:p w14:paraId="28BCAC4A" w14:textId="77777777" w:rsidR="00271763" w:rsidRDefault="00271763" w:rsidP="00271763">
      <w:pPr>
        <w:autoSpaceDE w:val="0"/>
        <w:autoSpaceDN w:val="0"/>
        <w:adjustRightInd w:val="0"/>
        <w:ind w:left="720"/>
        <w:rPr>
          <w:u w:val="single"/>
        </w:rPr>
      </w:pPr>
    </w:p>
    <w:p w14:paraId="692A606E" w14:textId="77777777" w:rsidR="00271763" w:rsidRDefault="00271763" w:rsidP="00271763">
      <w:pPr>
        <w:numPr>
          <w:ilvl w:val="0"/>
          <w:numId w:val="6"/>
        </w:numPr>
        <w:tabs>
          <w:tab w:val="num" w:pos="1800"/>
        </w:tabs>
        <w:autoSpaceDE w:val="0"/>
        <w:autoSpaceDN w:val="0"/>
        <w:adjustRightInd w:val="0"/>
      </w:pPr>
      <w:r>
        <w:t>The term “mobile wireless voice services” means interconnected voice communications services provided using radio transmission between mobile or fixed stations on a wireless basis to customers, other than fixed wireless services.  Mobile wireless voice services include interconnected Voice over IP.</w:t>
      </w:r>
    </w:p>
    <w:p w14:paraId="19C25C17" w14:textId="77777777" w:rsidR="00271763" w:rsidRDefault="00271763" w:rsidP="00271763">
      <w:pPr>
        <w:pStyle w:val="ListParagraph"/>
      </w:pPr>
    </w:p>
    <w:p w14:paraId="5053A90F" w14:textId="77777777" w:rsidR="00271763" w:rsidRDefault="00271763" w:rsidP="00271763">
      <w:pPr>
        <w:numPr>
          <w:ilvl w:val="0"/>
          <w:numId w:val="6"/>
        </w:numPr>
        <w:tabs>
          <w:tab w:val="num" w:pos="1800"/>
        </w:tabs>
        <w:autoSpaceDE w:val="0"/>
        <w:autoSpaceDN w:val="0"/>
        <w:adjustRightInd w:val="0"/>
      </w:pPr>
      <w:r>
        <w:t>The term “MTA” means Major Trading Area.</w:t>
      </w:r>
    </w:p>
    <w:p w14:paraId="348981F6" w14:textId="77777777" w:rsidR="00271763" w:rsidRDefault="00271763" w:rsidP="00271763">
      <w:pPr>
        <w:pStyle w:val="ListParagraph"/>
      </w:pPr>
    </w:p>
    <w:p w14:paraId="1A4B8838" w14:textId="77777777" w:rsidR="00271763" w:rsidRPr="004D505C" w:rsidRDefault="00271763" w:rsidP="00271763">
      <w:pPr>
        <w:numPr>
          <w:ilvl w:val="0"/>
          <w:numId w:val="6"/>
        </w:numPr>
        <w:tabs>
          <w:tab w:val="num" w:pos="1800"/>
        </w:tabs>
        <w:autoSpaceDE w:val="0"/>
        <w:autoSpaceDN w:val="0"/>
        <w:adjustRightInd w:val="0"/>
      </w:pPr>
      <w:r w:rsidRPr="004D505C">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14:paraId="5EB59B9E" w14:textId="77777777" w:rsidR="00271763" w:rsidRDefault="00271763" w:rsidP="00271763">
      <w:pPr>
        <w:autoSpaceDE w:val="0"/>
        <w:autoSpaceDN w:val="0"/>
        <w:adjustRightInd w:val="0"/>
      </w:pPr>
    </w:p>
    <w:p w14:paraId="781FDCFA" w14:textId="77777777" w:rsidR="00271763" w:rsidRDefault="00271763" w:rsidP="00271763">
      <w:pPr>
        <w:numPr>
          <w:ilvl w:val="0"/>
          <w:numId w:val="6"/>
        </w:numPr>
      </w:pPr>
      <w:r>
        <w:t>The term “plans” means tentative and preliminary proposals, recommendations, or considerations, whether or not finalized or authorized, as well as those that have been adopted.</w:t>
      </w:r>
    </w:p>
    <w:p w14:paraId="796D6831" w14:textId="77777777" w:rsidR="00271763" w:rsidRDefault="00271763" w:rsidP="00271763"/>
    <w:p w14:paraId="754305ED" w14:textId="77777777" w:rsidR="00271763" w:rsidRDefault="00271763" w:rsidP="00271763">
      <w:pPr>
        <w:numPr>
          <w:ilvl w:val="0"/>
          <w:numId w:val="6"/>
        </w:numPr>
      </w:pPr>
      <w:r>
        <w:t xml:space="preserve">The term “plans, analyses, and reports” means business plans, strategic plans, written policies, budgets, analyses, reports, presentations (including quantitative presentations), and similar documents, including all appendixes and attachments thereto, prepared for, presented to, reviewed by, discussed by, or considered by the Company’s board of directors or the Company’s executive management, or any member thereof.  The term “plans, analyses and reports” includes without limitation copies of plans, analyses and reports that are not identical duplicates of the originals, and copies of plans, analyses and reports, the originals of which are not in the possession, custody, or control of the Company, but does not include drafts of plans, analyses and reports, but only the final version or the latest draft if the final version does not exist or is not in the possession, custody, or control of the Company.  </w:t>
      </w:r>
    </w:p>
    <w:p w14:paraId="2747451E" w14:textId="77777777" w:rsidR="00271763" w:rsidRDefault="00271763" w:rsidP="00271763">
      <w:pPr>
        <w:ind w:left="360"/>
      </w:pPr>
    </w:p>
    <w:p w14:paraId="743358A7" w14:textId="77777777" w:rsidR="00271763" w:rsidRDefault="00271763" w:rsidP="00271763">
      <w:pPr>
        <w:numPr>
          <w:ilvl w:val="0"/>
          <w:numId w:val="6"/>
        </w:numPr>
        <w:tabs>
          <w:tab w:val="num" w:pos="1440"/>
        </w:tabs>
      </w:pPr>
      <w:r>
        <w:rPr>
          <w:bCs/>
        </w:rPr>
        <w:t>The term “POPs” means total aggregate population.</w:t>
      </w:r>
    </w:p>
    <w:p w14:paraId="70DCE6D1" w14:textId="77777777" w:rsidR="00271763" w:rsidRDefault="00271763" w:rsidP="00271763">
      <w:pPr>
        <w:ind w:left="720"/>
      </w:pPr>
    </w:p>
    <w:p w14:paraId="658FCC58" w14:textId="0637CA8E" w:rsidR="00271763" w:rsidRDefault="00271763" w:rsidP="00271763">
      <w:pPr>
        <w:numPr>
          <w:ilvl w:val="0"/>
          <w:numId w:val="6"/>
        </w:numPr>
      </w:pPr>
      <w:r>
        <w:t xml:space="preserve">The term “Proposed Transaction” means the proposed acquisition of </w:t>
      </w:r>
      <w:r w:rsidR="006E437F">
        <w:t>Club 42’s licenses</w:t>
      </w:r>
      <w:r>
        <w:t xml:space="preserve"> by </w:t>
      </w:r>
      <w:r w:rsidR="006E437F">
        <w:t>TeleGuam</w:t>
      </w:r>
      <w:r>
        <w:t xml:space="preserve"> filed on</w:t>
      </w:r>
      <w:r w:rsidR="00284FB7">
        <w:t xml:space="preserve"> </w:t>
      </w:r>
      <w:r w:rsidR="00226B4F">
        <w:t>October 6</w:t>
      </w:r>
      <w:r w:rsidR="00FD64CF">
        <w:t>, 2014</w:t>
      </w:r>
      <w:r w:rsidR="00226B4F">
        <w:t>, and amended on October 7, 2014</w:t>
      </w:r>
      <w:r w:rsidR="00394B12">
        <w:t>,</w:t>
      </w:r>
      <w:r w:rsidR="006E437F">
        <w:t xml:space="preserve"> </w:t>
      </w:r>
      <w:r w:rsidR="00394B12">
        <w:t xml:space="preserve">with the </w:t>
      </w:r>
      <w:r>
        <w:t xml:space="preserve">application file number for the wireless radio services listed as </w:t>
      </w:r>
      <w:r w:rsidR="00D83537" w:rsidRPr="00035BF8">
        <w:rPr>
          <w:color w:val="000000"/>
        </w:rPr>
        <w:t>000</w:t>
      </w:r>
      <w:r w:rsidR="006E437F">
        <w:rPr>
          <w:color w:val="000000"/>
        </w:rPr>
        <w:t>6489830</w:t>
      </w:r>
      <w:r>
        <w:t xml:space="preserve">. </w:t>
      </w:r>
    </w:p>
    <w:p w14:paraId="589F45E0" w14:textId="77777777" w:rsidR="00271763" w:rsidRDefault="00271763" w:rsidP="00271763">
      <w:pPr>
        <w:ind w:left="720"/>
      </w:pPr>
    </w:p>
    <w:p w14:paraId="71489084" w14:textId="4B78FCC1" w:rsidR="00271763" w:rsidRPr="004D505C" w:rsidRDefault="00271763" w:rsidP="00271763">
      <w:pPr>
        <w:pStyle w:val="ListParagraph"/>
        <w:numPr>
          <w:ilvl w:val="0"/>
          <w:numId w:val="6"/>
        </w:numPr>
        <w:tabs>
          <w:tab w:val="num" w:pos="1440"/>
        </w:tabs>
        <w:autoSpaceDE w:val="0"/>
        <w:autoSpaceDN w:val="0"/>
        <w:adjustRightInd w:val="0"/>
      </w:pPr>
      <w:r w:rsidRPr="004D505C">
        <w:rPr>
          <w:bCs/>
        </w:rPr>
        <w:t>The term “Public Interest Statement” refers to the document filed by the Applicants on</w:t>
      </w:r>
      <w:r w:rsidR="00226B4F">
        <w:rPr>
          <w:bCs/>
        </w:rPr>
        <w:t xml:space="preserve"> October </w:t>
      </w:r>
      <w:r w:rsidR="0035767B">
        <w:rPr>
          <w:bCs/>
        </w:rPr>
        <w:t>7</w:t>
      </w:r>
      <w:r w:rsidR="00394B12">
        <w:rPr>
          <w:bCs/>
        </w:rPr>
        <w:t>, 2014,</w:t>
      </w:r>
      <w:r w:rsidRPr="004D505C">
        <w:rPr>
          <w:bCs/>
        </w:rPr>
        <w:t xml:space="preserve"> entitled “</w:t>
      </w:r>
      <w:r w:rsidR="00B9608F">
        <w:rPr>
          <w:bCs/>
        </w:rPr>
        <w:t>Description of</w:t>
      </w:r>
      <w:r w:rsidR="00E5135E">
        <w:rPr>
          <w:bCs/>
        </w:rPr>
        <w:t xml:space="preserve"> </w:t>
      </w:r>
      <w:r w:rsidR="00B9608F">
        <w:rPr>
          <w:bCs/>
        </w:rPr>
        <w:t xml:space="preserve">Transaction and Public </w:t>
      </w:r>
      <w:r w:rsidR="00FA6536">
        <w:rPr>
          <w:bCs/>
        </w:rPr>
        <w:t>Interest Statement</w:t>
      </w:r>
      <w:r w:rsidRPr="004D505C">
        <w:rPr>
          <w:bCs/>
        </w:rPr>
        <w:t>.”</w:t>
      </w:r>
    </w:p>
    <w:p w14:paraId="07DD189C" w14:textId="77777777" w:rsidR="00271763" w:rsidRDefault="00271763" w:rsidP="00271763">
      <w:pPr>
        <w:pStyle w:val="ListParagraph"/>
        <w:tabs>
          <w:tab w:val="num" w:pos="1440"/>
        </w:tabs>
        <w:autoSpaceDE w:val="0"/>
        <w:autoSpaceDN w:val="0"/>
        <w:adjustRightInd w:val="0"/>
        <w:ind w:left="0"/>
      </w:pPr>
    </w:p>
    <w:p w14:paraId="4805C780" w14:textId="7C173F67" w:rsidR="00271763" w:rsidRDefault="00271763" w:rsidP="00271763">
      <w:pPr>
        <w:numPr>
          <w:ilvl w:val="0"/>
          <w:numId w:val="6"/>
        </w:numPr>
        <w:tabs>
          <w:tab w:val="num" w:pos="1800"/>
        </w:tabs>
        <w:autoSpaceDE w:val="0"/>
        <w:autoSpaceDN w:val="0"/>
        <w:adjustRightInd w:val="0"/>
        <w:rPr>
          <w:u w:val="single"/>
        </w:rPr>
      </w:pPr>
      <w:r>
        <w:t>The term “</w:t>
      </w:r>
      <w:r w:rsidR="00871A33">
        <w:t>R</w:t>
      </w:r>
      <w:r>
        <w:t xml:space="preserve">elevant </w:t>
      </w:r>
      <w:r w:rsidR="00871A33">
        <w:t>A</w:t>
      </w:r>
      <w:r>
        <w:t xml:space="preserve">rea” means, </w:t>
      </w:r>
      <w:r>
        <w:rPr>
          <w:u w:val="single"/>
        </w:rPr>
        <w:t>and information must be provided separately for</w:t>
      </w:r>
      <w:r>
        <w:t>, each Cellular Market Area.</w:t>
      </w:r>
    </w:p>
    <w:p w14:paraId="20C3677F" w14:textId="77777777" w:rsidR="00271763" w:rsidRDefault="00271763" w:rsidP="00271763">
      <w:pPr>
        <w:tabs>
          <w:tab w:val="num" w:pos="1800"/>
        </w:tabs>
        <w:autoSpaceDE w:val="0"/>
        <w:autoSpaceDN w:val="0"/>
        <w:adjustRightInd w:val="0"/>
        <w:ind w:left="360"/>
        <w:rPr>
          <w:u w:val="single"/>
        </w:rPr>
      </w:pPr>
    </w:p>
    <w:p w14:paraId="03663F7E" w14:textId="77777777" w:rsidR="00271763" w:rsidRDefault="00271763" w:rsidP="00271763">
      <w:pPr>
        <w:numPr>
          <w:ilvl w:val="0"/>
          <w:numId w:val="6"/>
        </w:numPr>
        <w:tabs>
          <w:tab w:val="num" w:pos="1800"/>
        </w:tabs>
        <w:autoSpaceDE w:val="0"/>
        <w:autoSpaceDN w:val="0"/>
        <w:adjustRightInd w:val="0"/>
        <w:rPr>
          <w:u w:val="single"/>
        </w:rPr>
      </w:pPr>
      <w:r>
        <w:t xml:space="preserve">The term “relevant product” means (and </w:t>
      </w:r>
      <w:r>
        <w:rPr>
          <w:u w:val="single"/>
        </w:rPr>
        <w:t>information must be provided separately for,</w:t>
      </w:r>
      <w:r>
        <w:t xml:space="preserve"> any of the mobile wireless services and using any of the following formats:  GSM, EDGE, CDMA, EV-DO, EV-DO Rev. A, UMTS only, HSPA, HSPA+, and LTE):</w:t>
      </w:r>
    </w:p>
    <w:p w14:paraId="049E7BC6" w14:textId="77777777" w:rsidR="00271763" w:rsidRDefault="00271763" w:rsidP="00271763">
      <w:pPr>
        <w:numPr>
          <w:ilvl w:val="1"/>
          <w:numId w:val="6"/>
        </w:numPr>
        <w:autoSpaceDE w:val="0"/>
        <w:autoSpaceDN w:val="0"/>
        <w:adjustRightInd w:val="0"/>
      </w:pPr>
      <w:r>
        <w:t>feature mobile devices: wireless handset devices that are cable of supporting voice services as well as text services;</w:t>
      </w:r>
    </w:p>
    <w:p w14:paraId="4EFF1AD8" w14:textId="77777777" w:rsidR="00271763" w:rsidRDefault="00271763" w:rsidP="00271763">
      <w:pPr>
        <w:numPr>
          <w:ilvl w:val="1"/>
          <w:numId w:val="6"/>
        </w:numPr>
        <w:autoSpaceDE w:val="0"/>
        <w:autoSpaceDN w:val="0"/>
        <w:adjustRightInd w:val="0"/>
      </w:pPr>
      <w:r>
        <w:t>smartphones: wireless handset devices other than iPhones, with advanced computing capability and connectivity sufficient to run complete mobile operating system software (</w:t>
      </w:r>
      <w:r w:rsidRPr="006C24B5">
        <w:rPr>
          <w:i/>
        </w:rPr>
        <w:t>e.g.</w:t>
      </w:r>
      <w:r>
        <w:t>, Android, Research in Motion Ltd. Blackberry, Windows phone) to support all mobile wireless services, including broadband data and video applications as well as voice, photographic cinematic, and audio-visual media player services (including books, periodicals, movies, music, games);</w:t>
      </w:r>
    </w:p>
    <w:p w14:paraId="2BB5A7FD" w14:textId="77777777" w:rsidR="00271763" w:rsidRDefault="00271763" w:rsidP="00271763">
      <w:pPr>
        <w:numPr>
          <w:ilvl w:val="1"/>
          <w:numId w:val="6"/>
        </w:numPr>
        <w:autoSpaceDE w:val="0"/>
        <w:autoSpaceDN w:val="0"/>
        <w:adjustRightInd w:val="0"/>
      </w:pPr>
      <w:r>
        <w:t>iPhones: smartphones designed and marketed by Apple Inc.;</w:t>
      </w:r>
    </w:p>
    <w:p w14:paraId="72FA4E61" w14:textId="77777777" w:rsidR="00271763" w:rsidRDefault="00271763" w:rsidP="00271763">
      <w:pPr>
        <w:numPr>
          <w:ilvl w:val="1"/>
          <w:numId w:val="6"/>
        </w:numPr>
        <w:autoSpaceDE w:val="0"/>
        <w:autoSpaceDN w:val="0"/>
        <w:adjustRightInd w:val="0"/>
      </w:pPr>
      <w:r>
        <w:t>tablet PCs (includes netbook PCs): portable devices (other than iPads) with touch screen and/or a QWERTY keyboard input, and advanced computing capability and connectivity sufficient to run complete operating system software (</w:t>
      </w:r>
      <w:r w:rsidRPr="006C24B5">
        <w:rPr>
          <w:i/>
        </w:rPr>
        <w:t>e.g.</w:t>
      </w:r>
      <w:r>
        <w:t>, Android, Windows) to support broadband data and video applications as well as photographic, cinematic, and audio-visual media player services (including books, periodicals, movies, music, games);</w:t>
      </w:r>
    </w:p>
    <w:p w14:paraId="079DC54B" w14:textId="77777777" w:rsidR="00271763" w:rsidRDefault="00271763" w:rsidP="00271763">
      <w:pPr>
        <w:numPr>
          <w:ilvl w:val="1"/>
          <w:numId w:val="6"/>
        </w:numPr>
        <w:autoSpaceDE w:val="0"/>
        <w:autoSpaceDN w:val="0"/>
        <w:adjustRightInd w:val="0"/>
      </w:pPr>
      <w:r>
        <w:t>iPads: tablet PCs designed by Apple Inc.;</w:t>
      </w:r>
    </w:p>
    <w:p w14:paraId="4AA69102" w14:textId="77777777" w:rsidR="00271763" w:rsidRDefault="00271763" w:rsidP="00271763">
      <w:pPr>
        <w:numPr>
          <w:ilvl w:val="1"/>
          <w:numId w:val="6"/>
        </w:numPr>
        <w:autoSpaceDE w:val="0"/>
        <w:autoSpaceDN w:val="0"/>
        <w:adjustRightInd w:val="0"/>
      </w:pPr>
      <w:r>
        <w:t>e-readers: portable personal computing devices with a display size of 6" to 10" typically, with advanced computing capability and connectivity sufficient to enable users to shop for, purchase, download, and display text, designed primarily for the purpose of reading books, newspapers, and periodicals;</w:t>
      </w:r>
    </w:p>
    <w:p w14:paraId="7315CD7E" w14:textId="77777777" w:rsidR="00271763" w:rsidRDefault="00271763" w:rsidP="00271763">
      <w:pPr>
        <w:numPr>
          <w:ilvl w:val="1"/>
          <w:numId w:val="6"/>
        </w:numPr>
        <w:autoSpaceDE w:val="0"/>
        <w:autoSpaceDN w:val="0"/>
        <w:adjustRightInd w:val="0"/>
      </w:pPr>
      <w:r>
        <w:t>“air cards” (also referred to as “laptop cards”): portable wireless modems that enable personal computing devices to connect to a mobile wireless network in order to support and deliver voice, data, and video services;</w:t>
      </w:r>
    </w:p>
    <w:p w14:paraId="26795DD3" w14:textId="77777777" w:rsidR="00271763" w:rsidRDefault="00271763" w:rsidP="00271763">
      <w:pPr>
        <w:numPr>
          <w:ilvl w:val="1"/>
          <w:numId w:val="6"/>
        </w:numPr>
        <w:autoSpaceDE w:val="0"/>
        <w:autoSpaceDN w:val="0"/>
        <w:adjustRightInd w:val="0"/>
      </w:pPr>
      <w:r>
        <w:t>mobile hotspots devices: network routing devices that enable portable, Wi-Fi enabled handset and personal computing devices to connect to a mobile wireless network in order to support and deliver voice, data, and video services; and</w:t>
      </w:r>
    </w:p>
    <w:p w14:paraId="191135A8" w14:textId="77777777" w:rsidR="00271763" w:rsidRDefault="00271763" w:rsidP="00271763">
      <w:pPr>
        <w:numPr>
          <w:ilvl w:val="1"/>
          <w:numId w:val="6"/>
        </w:numPr>
        <w:autoSpaceDE w:val="0"/>
        <w:autoSpaceDN w:val="0"/>
        <w:adjustRightInd w:val="0"/>
      </w:pPr>
      <w:r>
        <w:t>other mobile wireless devices not listed above.  Describe the other devices included in this category.</w:t>
      </w:r>
    </w:p>
    <w:p w14:paraId="444424E1" w14:textId="77777777" w:rsidR="00271763" w:rsidRDefault="00271763" w:rsidP="00271763">
      <w:pPr>
        <w:autoSpaceDE w:val="0"/>
        <w:autoSpaceDN w:val="0"/>
        <w:adjustRightInd w:val="0"/>
      </w:pPr>
    </w:p>
    <w:p w14:paraId="0547A415" w14:textId="77777777" w:rsidR="00271763" w:rsidRDefault="00271763" w:rsidP="00271763">
      <w:pPr>
        <w:numPr>
          <w:ilvl w:val="0"/>
          <w:numId w:val="6"/>
        </w:numPr>
        <w:autoSpaceDE w:val="0"/>
        <w:autoSpaceDN w:val="0"/>
        <w:adjustRightInd w:val="0"/>
      </w:pPr>
      <w:r>
        <w:t xml:space="preserve">The term “relevant service” means (and </w:t>
      </w:r>
      <w:r>
        <w:rPr>
          <w:u w:val="single"/>
        </w:rPr>
        <w:t>information must be provided separately for,</w:t>
      </w:r>
      <w:r>
        <w:t xml:space="preserve"> any of the services identified below and using any of the following formats:  GSM, EDGE, CDMA, EV-DO, EV-DO Rev. A, UMTS only, HSPA, HSPA+, and LTE):</w:t>
      </w:r>
    </w:p>
    <w:p w14:paraId="286E7307" w14:textId="77777777" w:rsidR="00271763" w:rsidRDefault="00271763" w:rsidP="00271763">
      <w:pPr>
        <w:numPr>
          <w:ilvl w:val="1"/>
          <w:numId w:val="6"/>
        </w:numPr>
        <w:autoSpaceDE w:val="0"/>
        <w:autoSpaceDN w:val="0"/>
        <w:adjustRightInd w:val="0"/>
      </w:pPr>
      <w:r>
        <w:t>mobile wireless voice services;</w:t>
      </w:r>
    </w:p>
    <w:p w14:paraId="303F8C44" w14:textId="77777777" w:rsidR="00271763" w:rsidRDefault="00271763" w:rsidP="00271763">
      <w:pPr>
        <w:numPr>
          <w:ilvl w:val="1"/>
          <w:numId w:val="6"/>
        </w:numPr>
        <w:autoSpaceDE w:val="0"/>
        <w:autoSpaceDN w:val="0"/>
        <w:adjustRightInd w:val="0"/>
      </w:pPr>
      <w:r>
        <w:t>mobile wireless text services;</w:t>
      </w:r>
    </w:p>
    <w:p w14:paraId="10F4D370" w14:textId="77777777" w:rsidR="00271763" w:rsidRDefault="00271763" w:rsidP="00271763">
      <w:pPr>
        <w:numPr>
          <w:ilvl w:val="1"/>
          <w:numId w:val="6"/>
        </w:numPr>
        <w:autoSpaceDE w:val="0"/>
        <w:autoSpaceDN w:val="0"/>
        <w:adjustRightInd w:val="0"/>
      </w:pPr>
      <w:r>
        <w:t>mobile wireless data services; and</w:t>
      </w:r>
    </w:p>
    <w:p w14:paraId="1B603526" w14:textId="77777777" w:rsidR="00271763" w:rsidRDefault="00271763" w:rsidP="00271763">
      <w:pPr>
        <w:numPr>
          <w:ilvl w:val="1"/>
          <w:numId w:val="6"/>
        </w:numPr>
        <w:autoSpaceDE w:val="0"/>
        <w:autoSpaceDN w:val="0"/>
        <w:adjustRightInd w:val="0"/>
      </w:pPr>
      <w:r>
        <w:t>mobile wireless applications.</w:t>
      </w:r>
    </w:p>
    <w:p w14:paraId="54E3B4E4" w14:textId="77777777" w:rsidR="00271763" w:rsidRDefault="00271763" w:rsidP="00271763">
      <w:pPr>
        <w:autoSpaceDE w:val="0"/>
        <w:autoSpaceDN w:val="0"/>
        <w:adjustRightInd w:val="0"/>
        <w:ind w:left="720"/>
      </w:pPr>
    </w:p>
    <w:p w14:paraId="3E9F709C" w14:textId="77777777" w:rsidR="00271763" w:rsidRDefault="00271763" w:rsidP="00271763">
      <w:pPr>
        <w:pStyle w:val="ListParagraph"/>
        <w:numPr>
          <w:ilvl w:val="0"/>
          <w:numId w:val="6"/>
        </w:numPr>
        <w:autoSpaceDE w:val="0"/>
        <w:autoSpaceDN w:val="0"/>
        <w:adjustRightInd w:val="0"/>
      </w:pPr>
      <w:r>
        <w:t xml:space="preserve">The term “sales” means net sales in units or dollars, </w:t>
      </w:r>
      <w:r w:rsidRPr="006C24B5">
        <w:rPr>
          <w:i/>
        </w:rPr>
        <w:t>i.e.</w:t>
      </w:r>
      <w:r>
        <w:t>, total sales after deducting discounts, returns, allowances, and excise taxes.  “Sales” includes sales of the relevant service or product whether provided or manufactured by the company itself or purchased from sources outside the company and resold by the company in the same form as purchased.</w:t>
      </w:r>
    </w:p>
    <w:p w14:paraId="05AFEC17" w14:textId="77777777" w:rsidR="00271763" w:rsidRDefault="00271763" w:rsidP="00271763">
      <w:pPr>
        <w:pStyle w:val="ListParagraph"/>
        <w:autoSpaceDE w:val="0"/>
        <w:autoSpaceDN w:val="0"/>
        <w:adjustRightInd w:val="0"/>
      </w:pPr>
    </w:p>
    <w:p w14:paraId="4900D28C" w14:textId="77777777" w:rsidR="00271763" w:rsidRDefault="00271763" w:rsidP="00271763">
      <w:pPr>
        <w:pStyle w:val="Default"/>
        <w:numPr>
          <w:ilvl w:val="0"/>
          <w:numId w:val="6"/>
        </w:numPr>
        <w:rPr>
          <w:color w:val="auto"/>
          <w:sz w:val="22"/>
          <w:szCs w:val="22"/>
        </w:rPr>
      </w:pPr>
      <w:r>
        <w:rPr>
          <w:sz w:val="22"/>
          <w:szCs w:val="22"/>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14:paraId="3F9A146F" w14:textId="77777777" w:rsidR="00271763" w:rsidRDefault="00271763" w:rsidP="00271763">
      <w:pPr>
        <w:pStyle w:val="Default"/>
        <w:ind w:left="360"/>
        <w:rPr>
          <w:color w:val="auto"/>
          <w:sz w:val="22"/>
          <w:szCs w:val="22"/>
        </w:rPr>
      </w:pPr>
    </w:p>
    <w:p w14:paraId="150EBC6B" w14:textId="77777777" w:rsidR="00271763" w:rsidRDefault="00271763" w:rsidP="00271763">
      <w:pPr>
        <w:pStyle w:val="Default"/>
        <w:numPr>
          <w:ilvl w:val="0"/>
          <w:numId w:val="6"/>
        </w:numPr>
        <w:rPr>
          <w:color w:val="auto"/>
          <w:sz w:val="22"/>
          <w:szCs w:val="22"/>
        </w:rPr>
      </w:pPr>
      <w:r>
        <w:rPr>
          <w:sz w:val="22"/>
          <w:szCs w:val="22"/>
        </w:rPr>
        <w:t>The term “UMTS” means Universal Mobile Telecommunications System technology.</w:t>
      </w:r>
    </w:p>
    <w:p w14:paraId="715F2365" w14:textId="77777777" w:rsidR="00271763" w:rsidRDefault="00271763" w:rsidP="00271763">
      <w:pPr>
        <w:pStyle w:val="Default"/>
        <w:ind w:left="360"/>
        <w:rPr>
          <w:color w:val="auto"/>
          <w:sz w:val="22"/>
          <w:szCs w:val="22"/>
        </w:rPr>
      </w:pPr>
    </w:p>
    <w:p w14:paraId="69DDC151" w14:textId="77777777" w:rsidR="00271763" w:rsidRDefault="00271763" w:rsidP="00271763">
      <w:pPr>
        <w:numPr>
          <w:ilvl w:val="0"/>
          <w:numId w:val="6"/>
        </w:numPr>
        <w:autoSpaceDE w:val="0"/>
        <w:autoSpaceDN w:val="0"/>
        <w:adjustRightInd w:val="0"/>
      </w:pPr>
      <w:r>
        <w:t xml:space="preserve">“United States” or “U.S.” means the United States, its possessions, territories, and outlying areas. </w:t>
      </w:r>
    </w:p>
    <w:p w14:paraId="7B4E225B" w14:textId="77777777" w:rsidR="00271763" w:rsidRDefault="00271763" w:rsidP="00271763">
      <w:pPr>
        <w:autoSpaceDE w:val="0"/>
        <w:autoSpaceDN w:val="0"/>
        <w:adjustRightInd w:val="0"/>
        <w:ind w:left="360"/>
      </w:pPr>
    </w:p>
    <w:p w14:paraId="7F88E667" w14:textId="77777777" w:rsidR="00271763" w:rsidRDefault="00271763" w:rsidP="00271763">
      <w:pPr>
        <w:pStyle w:val="Heading1"/>
        <w:spacing w:before="0" w:after="0"/>
        <w:ind w:left="360"/>
        <w:jc w:val="center"/>
        <w:rPr>
          <w:rFonts w:ascii="Times New Roman" w:hAnsi="Times New Roman"/>
          <w:sz w:val="22"/>
          <w:szCs w:val="22"/>
          <w:u w:val="single"/>
        </w:rPr>
      </w:pPr>
      <w:r>
        <w:rPr>
          <w:sz w:val="22"/>
          <w:szCs w:val="22"/>
        </w:rPr>
        <w:br w:type="page"/>
      </w:r>
      <w:r>
        <w:rPr>
          <w:rFonts w:ascii="Times New Roman" w:hAnsi="Times New Roman"/>
          <w:sz w:val="22"/>
          <w:szCs w:val="22"/>
          <w:u w:val="single"/>
        </w:rPr>
        <w:t>Instructions</w:t>
      </w:r>
    </w:p>
    <w:p w14:paraId="41FC0C9B" w14:textId="77777777" w:rsidR="00271763" w:rsidRDefault="00271763" w:rsidP="00271763"/>
    <w:p w14:paraId="2A93ABB8" w14:textId="126CF88C" w:rsidR="00271763" w:rsidRPr="005363C1" w:rsidRDefault="00271763" w:rsidP="00271763">
      <w:pPr>
        <w:numPr>
          <w:ilvl w:val="0"/>
          <w:numId w:val="7"/>
        </w:numPr>
        <w:autoSpaceDE w:val="0"/>
        <w:autoSpaceDN w:val="0"/>
        <w:adjustRightInd w:val="0"/>
      </w:pPr>
      <w:r>
        <w:t xml:space="preserve">Unless otherwise specified, all Information and Document Requests cover the period from </w:t>
      </w:r>
      <w:r w:rsidR="000805EF">
        <w:t>January 1, 2014</w:t>
      </w:r>
      <w:r>
        <w:t xml:space="preserve"> </w:t>
      </w:r>
      <w:r w:rsidRPr="005363C1">
        <w:t xml:space="preserve">through </w:t>
      </w:r>
      <w:r w:rsidR="000805EF">
        <w:t>December 31</w:t>
      </w:r>
      <w:r w:rsidR="002814CB" w:rsidRPr="005363C1">
        <w:t>, 2014</w:t>
      </w:r>
      <w:r w:rsidRPr="005363C1">
        <w:t xml:space="preserve">. </w:t>
      </w:r>
    </w:p>
    <w:p w14:paraId="7E2F7A4C" w14:textId="77777777" w:rsidR="00271763" w:rsidRDefault="00271763" w:rsidP="00271763">
      <w:pPr>
        <w:autoSpaceDE w:val="0"/>
        <w:autoSpaceDN w:val="0"/>
        <w:adjustRightInd w:val="0"/>
      </w:pPr>
    </w:p>
    <w:p w14:paraId="7E73A83F" w14:textId="77777777" w:rsidR="00271763" w:rsidRDefault="00271763" w:rsidP="00271763">
      <w:pPr>
        <w:numPr>
          <w:ilvl w:val="0"/>
          <w:numId w:val="7"/>
        </w:numPr>
        <w:autoSpaceDE w:val="0"/>
        <w:autoSpaceDN w:val="0"/>
        <w:adjustRightInd w:val="0"/>
      </w:pPr>
      <w:r>
        <w:t>Corporations and other entities, including affiliated or subsidiary entities, shall be identified by the Central Index Key (“CIK”) assigned by the Securities and Exchange Commission (“SEC”).  A unique identifier should be used for each entity that has not been assigned a CIK by the SEC.</w:t>
      </w:r>
    </w:p>
    <w:p w14:paraId="360A75CB" w14:textId="77777777" w:rsidR="00271763" w:rsidRDefault="00271763" w:rsidP="00271763">
      <w:pPr>
        <w:autoSpaceDE w:val="0"/>
        <w:autoSpaceDN w:val="0"/>
        <w:adjustRightInd w:val="0"/>
        <w:ind w:left="360"/>
      </w:pPr>
      <w:r>
        <w:t xml:space="preserve"> </w:t>
      </w:r>
    </w:p>
    <w:p w14:paraId="4A55BECB" w14:textId="326507D3" w:rsidR="00271763" w:rsidRPr="005363C1" w:rsidRDefault="00444436" w:rsidP="00271763">
      <w:pPr>
        <w:numPr>
          <w:ilvl w:val="0"/>
          <w:numId w:val="7"/>
        </w:numPr>
        <w:autoSpaceDE w:val="0"/>
        <w:autoSpaceDN w:val="0"/>
        <w:adjustRightInd w:val="0"/>
      </w:pPr>
      <w:r w:rsidRPr="005363C1">
        <w:t xml:space="preserve">Contact Commission staff to discuss an acceptable format </w:t>
      </w:r>
      <w:r w:rsidR="00250BE6" w:rsidRPr="005363C1">
        <w:t xml:space="preserve">for </w:t>
      </w:r>
      <w:r w:rsidRPr="005363C1">
        <w:t>the submission of all documents</w:t>
      </w:r>
      <w:r w:rsidR="001E4DA0" w:rsidRPr="005363C1">
        <w:t xml:space="preserve"> and data</w:t>
      </w:r>
      <w:r w:rsidRPr="005363C1">
        <w:t>.</w:t>
      </w:r>
      <w:r w:rsidR="00271763" w:rsidRPr="005363C1">
        <w:t xml:space="preserve"> </w:t>
      </w:r>
    </w:p>
    <w:p w14:paraId="5685479D" w14:textId="77777777" w:rsidR="00271763" w:rsidRDefault="00271763" w:rsidP="00271763">
      <w:pPr>
        <w:autoSpaceDE w:val="0"/>
        <w:autoSpaceDN w:val="0"/>
        <w:adjustRightInd w:val="0"/>
      </w:pPr>
    </w:p>
    <w:p w14:paraId="52193204" w14:textId="77777777" w:rsidR="00271763" w:rsidRDefault="00271763" w:rsidP="00271763">
      <w:pPr>
        <w:numPr>
          <w:ilvl w:val="0"/>
          <w:numId w:val="7"/>
        </w:numPr>
        <w:autoSpaceDE w:val="0"/>
        <w:autoSpaceDN w:val="0"/>
        <w:adjustRightInd w:val="0"/>
      </w:pPr>
      <w:r>
        <w:t xml:space="preserve">Each requested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  Provide final versions of each document; however, if a final version does not exist, provide one copy of the latest draft of the document. </w:t>
      </w:r>
    </w:p>
    <w:p w14:paraId="2BA0B772" w14:textId="77777777" w:rsidR="00271763" w:rsidRDefault="00271763" w:rsidP="00271763">
      <w:pPr>
        <w:autoSpaceDE w:val="0"/>
        <w:autoSpaceDN w:val="0"/>
        <w:adjustRightInd w:val="0"/>
        <w:ind w:left="360"/>
      </w:pPr>
    </w:p>
    <w:p w14:paraId="4FAA4AC8" w14:textId="77777777" w:rsidR="00271763" w:rsidRDefault="00271763" w:rsidP="00271763">
      <w:pPr>
        <w:numPr>
          <w:ilvl w:val="0"/>
          <w:numId w:val="7"/>
        </w:numPr>
        <w:autoSpaceDE w:val="0"/>
        <w:autoSpaceDN w:val="0"/>
        <w:adjustRightInd w:val="0"/>
      </w:pPr>
      <w:r>
        <w:t xml:space="preserve">Those documents written in a language other than English must be translated into English; automated or machine translations are not permitted.  Submit the foreign language document, with the English translation attached thereto.  </w:t>
      </w:r>
    </w:p>
    <w:p w14:paraId="5303C79A" w14:textId="77777777" w:rsidR="00271763" w:rsidRDefault="00271763" w:rsidP="00271763">
      <w:pPr>
        <w:autoSpaceDE w:val="0"/>
        <w:autoSpaceDN w:val="0"/>
        <w:adjustRightInd w:val="0"/>
        <w:ind w:left="720"/>
      </w:pPr>
    </w:p>
    <w:p w14:paraId="530D3CD4" w14:textId="67E1ECEE" w:rsidR="00271763" w:rsidRDefault="00271763" w:rsidP="00271763">
      <w:pPr>
        <w:numPr>
          <w:ilvl w:val="0"/>
          <w:numId w:val="7"/>
        </w:numPr>
        <w:tabs>
          <w:tab w:val="num" w:pos="1800"/>
        </w:tabs>
        <w:autoSpaceDE w:val="0"/>
        <w:autoSpaceDN w:val="0"/>
        <w:adjustRightInd w:val="0"/>
      </w:pPr>
      <w:r>
        <w:t xml:space="preserve">Unless otherwise specified, provide data and interrogatory responses </w:t>
      </w:r>
      <w:r>
        <w:rPr>
          <w:u w:val="single"/>
        </w:rPr>
        <w:t>separately</w:t>
      </w:r>
      <w:r>
        <w:t xml:space="preserve"> for prepaid, post-paid, wholesale, and all mobile wireless services.  The Company should provide a separate response for interrogatory, data, and documents (</w:t>
      </w:r>
      <w:r w:rsidRPr="006C24B5">
        <w:rPr>
          <w:i/>
        </w:rPr>
        <w:t>i.e.</w:t>
      </w:r>
      <w:r>
        <w:t xml:space="preserve">, please submit the Company’s interrogatory </w:t>
      </w:r>
      <w:r w:rsidR="005363C1">
        <w:t xml:space="preserve">responses </w:t>
      </w:r>
      <w:r w:rsidR="00BC1680">
        <w:t xml:space="preserve">on one disc </w:t>
      </w:r>
      <w:r>
        <w:t xml:space="preserve">and data responses on </w:t>
      </w:r>
      <w:r w:rsidR="00BC1680">
        <w:t>a separate</w:t>
      </w:r>
      <w:r>
        <w:t xml:space="preserve"> disc). </w:t>
      </w:r>
    </w:p>
    <w:p w14:paraId="3DE381B5" w14:textId="77777777" w:rsidR="00271763" w:rsidRDefault="00271763" w:rsidP="00271763">
      <w:pPr>
        <w:tabs>
          <w:tab w:val="num" w:pos="1800"/>
        </w:tabs>
        <w:autoSpaceDE w:val="0"/>
        <w:autoSpaceDN w:val="0"/>
        <w:adjustRightInd w:val="0"/>
        <w:ind w:left="360"/>
      </w:pPr>
    </w:p>
    <w:p w14:paraId="5BF3DDC9" w14:textId="77777777" w:rsidR="00271763" w:rsidRDefault="00271763" w:rsidP="00271763">
      <w:pPr>
        <w:numPr>
          <w:ilvl w:val="0"/>
          <w:numId w:val="7"/>
        </w:numPr>
        <w:tabs>
          <w:tab w:val="num" w:pos="1800"/>
        </w:tabs>
        <w:autoSpaceDE w:val="0"/>
        <w:autoSpaceDN w:val="0"/>
        <w:adjustRightInd w:val="0"/>
      </w:pPr>
      <w:r>
        <w:t>Data provided in response to this Request should include a list of all parameters/assumptions on which the data are based.</w:t>
      </w:r>
    </w:p>
    <w:p w14:paraId="35904A7A" w14:textId="77777777" w:rsidR="00271763" w:rsidRDefault="00271763" w:rsidP="00271763">
      <w:pPr>
        <w:tabs>
          <w:tab w:val="num" w:pos="1800"/>
        </w:tabs>
        <w:autoSpaceDE w:val="0"/>
        <w:autoSpaceDN w:val="0"/>
        <w:adjustRightInd w:val="0"/>
      </w:pPr>
    </w:p>
    <w:p w14:paraId="7B85F7B8" w14:textId="77777777" w:rsidR="00271763" w:rsidRDefault="00271763" w:rsidP="00271763">
      <w:pPr>
        <w:numPr>
          <w:ilvl w:val="0"/>
          <w:numId w:val="7"/>
        </w:numPr>
        <w:tabs>
          <w:tab w:val="num" w:pos="1800"/>
        </w:tabs>
        <w:autoSpaceDE w:val="0"/>
        <w:autoSpaceDN w:val="0"/>
        <w:adjustRightInd w:val="0"/>
      </w:pPr>
      <w:r>
        <w:t>Unless otherwise agreed to by the Commission, requests for the production of documents (and any particular type of document) require the production of all responsive documents in the possession, custody, or control of the Company.</w:t>
      </w:r>
    </w:p>
    <w:p w14:paraId="5D7D4008" w14:textId="77777777" w:rsidR="00271763" w:rsidRDefault="00271763" w:rsidP="00271763">
      <w:pPr>
        <w:autoSpaceDE w:val="0"/>
        <w:autoSpaceDN w:val="0"/>
        <w:adjustRightInd w:val="0"/>
        <w:ind w:left="360"/>
      </w:pPr>
    </w:p>
    <w:p w14:paraId="295A56BE" w14:textId="349089F7" w:rsidR="00271763" w:rsidRDefault="00677A34" w:rsidP="00444436">
      <w:pPr>
        <w:numPr>
          <w:ilvl w:val="0"/>
          <w:numId w:val="7"/>
        </w:numPr>
        <w:tabs>
          <w:tab w:val="num" w:pos="1800"/>
        </w:tabs>
        <w:autoSpaceDE w:val="0"/>
        <w:autoSpaceDN w:val="0"/>
        <w:adjustRightInd w:val="0"/>
      </w:pPr>
      <w:r w:rsidRPr="00677A34">
        <w:t>Documents must be uniquely and sequentially number</w:t>
      </w:r>
      <w:r>
        <w:t xml:space="preserve">ed across the entire production.  </w:t>
      </w:r>
      <w:r w:rsidR="00271763">
        <w:t>For each document or statement submitted in response to the requests, indicate, by number and subsection, the request to which it is responsive and, for documents, identify the Person(s) from whose files the document was retrieved (</w:t>
      </w:r>
      <w:r w:rsidR="00271763" w:rsidRPr="00444436">
        <w:rPr>
          <w:i/>
        </w:rPr>
        <w:t>i.e</w:t>
      </w:r>
      <w:r w:rsidR="00271763">
        <w:t xml:space="preserve">., custodian).  Group submitted materials according to the request number to which they are responsive and then, within each of those request-number groupings, by the appropriate custodian.  </w:t>
      </w:r>
    </w:p>
    <w:p w14:paraId="1CCFAD64" w14:textId="77777777" w:rsidR="00444436" w:rsidRDefault="00444436" w:rsidP="00444436">
      <w:pPr>
        <w:pStyle w:val="ListParagraph"/>
      </w:pPr>
    </w:p>
    <w:p w14:paraId="09BE8BEC" w14:textId="77777777" w:rsidR="00271763" w:rsidRDefault="00271763" w:rsidP="00271763">
      <w:pPr>
        <w:numPr>
          <w:ilvl w:val="0"/>
          <w:numId w:val="7"/>
        </w:numPr>
        <w:autoSpaceDE w:val="0"/>
        <w:autoSpaceDN w:val="0"/>
        <w:adjustRightInd w:val="0"/>
      </w:pPr>
      <w:r>
        <w:t>If search terms were used to conduct all or any part of a search conducted in response to this Information Request, provide a list of search terms used, along with a glossary of industry and company terminology.  In addition, describe the search methodologies and the applications used to execute the search.</w:t>
      </w:r>
      <w:r>
        <w:rPr>
          <w:b/>
          <w:bCs/>
        </w:rPr>
        <w:t> </w:t>
      </w:r>
    </w:p>
    <w:p w14:paraId="6E0A887D" w14:textId="77777777" w:rsidR="00271763" w:rsidRDefault="00271763" w:rsidP="00271763">
      <w:pPr>
        <w:autoSpaceDE w:val="0"/>
        <w:autoSpaceDN w:val="0"/>
        <w:adjustRightInd w:val="0"/>
        <w:ind w:left="360"/>
        <w:jc w:val="center"/>
      </w:pPr>
    </w:p>
    <w:p w14:paraId="2523269D" w14:textId="77777777" w:rsidR="00271763" w:rsidRDefault="00271763" w:rsidP="00271763">
      <w:pPr>
        <w:numPr>
          <w:ilvl w:val="0"/>
          <w:numId w:val="7"/>
        </w:numPr>
        <w:autoSpaceDE w:val="0"/>
        <w:autoSpaceDN w:val="0"/>
        <w:adjustRightInd w:val="0"/>
      </w:pPr>
      <w:r>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14:paraId="508D0A9C" w14:textId="77777777" w:rsidR="00271763" w:rsidRDefault="00271763" w:rsidP="00271763">
      <w:pPr>
        <w:autoSpaceDE w:val="0"/>
        <w:autoSpaceDN w:val="0"/>
        <w:adjustRightInd w:val="0"/>
      </w:pPr>
    </w:p>
    <w:p w14:paraId="3C8B8F54" w14:textId="37813C69" w:rsidR="005529F4" w:rsidRDefault="00271763" w:rsidP="005529F4">
      <w:pPr>
        <w:numPr>
          <w:ilvl w:val="0"/>
          <w:numId w:val="7"/>
        </w:numPr>
        <w:autoSpaceDE w:val="0"/>
        <w:autoSpaceDN w:val="0"/>
        <w:adjustRightInd w:val="0"/>
      </w:pPr>
      <w:r>
        <w:t xml:space="preserve">Any documents that are withheld in whole or in part from production based on a claim of privilege shall be assigned document control numbers (with unique consecutive numbers for each page of each document).  </w:t>
      </w:r>
    </w:p>
    <w:p w14:paraId="1E2640AB" w14:textId="77777777" w:rsidR="005529F4" w:rsidRDefault="005529F4" w:rsidP="005529F4">
      <w:pPr>
        <w:autoSpaceDE w:val="0"/>
        <w:autoSpaceDN w:val="0"/>
        <w:adjustRightInd w:val="0"/>
        <w:ind w:left="720"/>
      </w:pPr>
    </w:p>
    <w:p w14:paraId="1BE683D7" w14:textId="77777777" w:rsidR="00271763" w:rsidRDefault="00271763" w:rsidP="00271763">
      <w:pPr>
        <w:numPr>
          <w:ilvl w:val="0"/>
          <w:numId w:val="7"/>
        </w:numPr>
        <w:autoSpaceDE w:val="0"/>
        <w:autoSpaceDN w:val="0"/>
        <w:adjustRightInd w:val="0"/>
      </w:pPr>
      <w:r>
        <w:t>For each Document identified on the Company privilege log:</w:t>
      </w:r>
    </w:p>
    <w:p w14:paraId="755C84FA" w14:textId="77777777" w:rsidR="00271763" w:rsidRDefault="00271763" w:rsidP="00271763">
      <w:pPr>
        <w:autoSpaceDE w:val="0"/>
        <w:autoSpaceDN w:val="0"/>
        <w:adjustRightInd w:val="0"/>
      </w:pPr>
    </w:p>
    <w:p w14:paraId="79665BA9" w14:textId="77777777" w:rsidR="00271763" w:rsidRDefault="00271763" w:rsidP="00271763">
      <w:pPr>
        <w:numPr>
          <w:ilvl w:val="1"/>
          <w:numId w:val="7"/>
        </w:numPr>
        <w:autoSpaceDE w:val="0"/>
        <w:autoSpaceDN w:val="0"/>
        <w:adjustRightInd w:val="0"/>
      </w:pPr>
      <w:r>
        <w:t>Provide the document control number(s);</w:t>
      </w:r>
    </w:p>
    <w:p w14:paraId="66D75183" w14:textId="77777777" w:rsidR="00271763" w:rsidRDefault="00271763" w:rsidP="00271763">
      <w:pPr>
        <w:numPr>
          <w:ilvl w:val="1"/>
          <w:numId w:val="7"/>
        </w:numPr>
        <w:autoSpaceDE w:val="0"/>
        <w:autoSpaceDN w:val="0"/>
        <w:adjustRightInd w:val="0"/>
      </w:pPr>
      <w:r>
        <w:t>Identify all authors of the document;</w:t>
      </w:r>
    </w:p>
    <w:p w14:paraId="6D5EF6D0" w14:textId="77777777" w:rsidR="00271763" w:rsidRDefault="00271763" w:rsidP="00271763">
      <w:pPr>
        <w:numPr>
          <w:ilvl w:val="1"/>
          <w:numId w:val="7"/>
        </w:numPr>
        <w:autoSpaceDE w:val="0"/>
        <w:autoSpaceDN w:val="0"/>
        <w:adjustRightInd w:val="0"/>
      </w:pPr>
      <w:r>
        <w:t>Identify all addressees of the document;</w:t>
      </w:r>
    </w:p>
    <w:p w14:paraId="6F2F7CCD" w14:textId="77777777" w:rsidR="00271763" w:rsidRDefault="00271763" w:rsidP="00271763">
      <w:pPr>
        <w:numPr>
          <w:ilvl w:val="1"/>
          <w:numId w:val="7"/>
        </w:numPr>
        <w:autoSpaceDE w:val="0"/>
        <w:autoSpaceDN w:val="0"/>
        <w:adjustRightInd w:val="0"/>
      </w:pPr>
      <w:r w:rsidRPr="006B0CD3">
        <w:t xml:space="preserve">Identify all recipients of the document or of any copies of the document, to the extent not included among the document’s addressees; </w:t>
      </w:r>
    </w:p>
    <w:p w14:paraId="0BD3AC67" w14:textId="77777777" w:rsidR="00271763" w:rsidRPr="006B0CD3" w:rsidRDefault="00271763" w:rsidP="00271763">
      <w:pPr>
        <w:numPr>
          <w:ilvl w:val="1"/>
          <w:numId w:val="7"/>
        </w:numPr>
        <w:autoSpaceDE w:val="0"/>
        <w:autoSpaceDN w:val="0"/>
        <w:adjustRightInd w:val="0"/>
      </w:pPr>
      <w:r w:rsidRPr="006B0CD3">
        <w:t>Provide the date of the document;</w:t>
      </w:r>
    </w:p>
    <w:p w14:paraId="52899C7F" w14:textId="77777777" w:rsidR="00271763" w:rsidRDefault="00271763" w:rsidP="00271763">
      <w:pPr>
        <w:numPr>
          <w:ilvl w:val="1"/>
          <w:numId w:val="7"/>
        </w:numPr>
        <w:autoSpaceDE w:val="0"/>
        <w:autoSpaceDN w:val="0"/>
        <w:adjustRightInd w:val="0"/>
      </w:pPr>
      <w:r>
        <w:t>Provide a description of the subject matter of the document;</w:t>
      </w:r>
    </w:p>
    <w:p w14:paraId="04458D01" w14:textId="77777777" w:rsidR="00271763" w:rsidRDefault="00271763" w:rsidP="00271763">
      <w:pPr>
        <w:numPr>
          <w:ilvl w:val="1"/>
          <w:numId w:val="7"/>
        </w:numPr>
        <w:autoSpaceDE w:val="0"/>
        <w:autoSpaceDN w:val="0"/>
        <w:adjustRightInd w:val="0"/>
      </w:pPr>
      <w:r>
        <w:t>State the nature or type of the privilege that the Company is asserting for the document (</w:t>
      </w:r>
      <w:r w:rsidRPr="006C24B5">
        <w:rPr>
          <w:i/>
          <w:iCs/>
        </w:rPr>
        <w:t>e.g.</w:t>
      </w:r>
      <w:r>
        <w:t>, “attorney-client privilege”);</w:t>
      </w:r>
    </w:p>
    <w:p w14:paraId="7B3F232C" w14:textId="77777777" w:rsidR="00271763" w:rsidRDefault="00271763" w:rsidP="00271763">
      <w:pPr>
        <w:numPr>
          <w:ilvl w:val="1"/>
          <w:numId w:val="7"/>
        </w:numPr>
        <w:autoSpaceDE w:val="0"/>
        <w:autoSpaceDN w:val="0"/>
        <w:adjustRightInd w:val="0"/>
      </w:pPr>
      <w:r>
        <w:t>Provide the number(s) of the Request to which the document is responsive;</w:t>
      </w:r>
    </w:p>
    <w:p w14:paraId="40353796" w14:textId="77777777" w:rsidR="00271763" w:rsidRDefault="00271763" w:rsidP="00271763">
      <w:pPr>
        <w:numPr>
          <w:ilvl w:val="1"/>
          <w:numId w:val="7"/>
        </w:numPr>
        <w:autoSpaceDE w:val="0"/>
        <w:autoSpaceDN w:val="0"/>
        <w:adjustRightInd w:val="0"/>
      </w:pPr>
      <w:r>
        <w:t>Provide the document control number(s) of any attachments to the document, regardless of whether any privilege is being asserted for such attachment(s); and</w:t>
      </w:r>
    </w:p>
    <w:p w14:paraId="54A23ED9" w14:textId="77777777" w:rsidR="00271763" w:rsidRDefault="00271763" w:rsidP="00271763">
      <w:pPr>
        <w:numPr>
          <w:ilvl w:val="1"/>
          <w:numId w:val="7"/>
        </w:numPr>
        <w:autoSpaceDE w:val="0"/>
        <w:autoSpaceDN w:val="0"/>
        <w:adjustRightInd w:val="0"/>
      </w:pPr>
      <w:r>
        <w:t xml:space="preserve">State whether the document has been produced in redacted form, and include the range of Document ID labels for those produced documents. </w:t>
      </w:r>
    </w:p>
    <w:p w14:paraId="6F51DE00" w14:textId="77777777" w:rsidR="00271763" w:rsidRDefault="00271763" w:rsidP="006949DD"/>
    <w:p w14:paraId="32BE97AB" w14:textId="723D8D9B" w:rsidR="00271763" w:rsidRDefault="00271763" w:rsidP="006949DD">
      <w:pPr>
        <w:pStyle w:val="ListParagraph"/>
        <w:numPr>
          <w:ilvl w:val="0"/>
          <w:numId w:val="7"/>
        </w:numPr>
      </w:pPr>
      <w:r>
        <w:t>The Company’s privilege log shall also conform with all of the following requirements:</w:t>
      </w:r>
    </w:p>
    <w:p w14:paraId="54CD43BA" w14:textId="77777777" w:rsidR="00271763" w:rsidRDefault="00271763" w:rsidP="006949DD"/>
    <w:p w14:paraId="61AC10C8" w14:textId="77777777" w:rsidR="00271763" w:rsidRDefault="00271763" w:rsidP="00271763">
      <w:pPr>
        <w:numPr>
          <w:ilvl w:val="1"/>
          <w:numId w:val="7"/>
        </w:numPr>
        <w:autoSpaceDE w:val="0"/>
        <w:autoSpaceDN w:val="0"/>
        <w:adjustRightInd w:val="0"/>
      </w:pPr>
      <w:r>
        <w:t>Provide a separate legend identifying each author, addressee, and recipient identified on the Company’s privilege log.</w:t>
      </w:r>
    </w:p>
    <w:p w14:paraId="210CBD2C" w14:textId="77777777" w:rsidR="00271763" w:rsidRDefault="00271763" w:rsidP="00271763">
      <w:pPr>
        <w:numPr>
          <w:ilvl w:val="1"/>
          <w:numId w:val="7"/>
        </w:numPr>
        <w:autoSpaceDE w:val="0"/>
        <w:autoSpaceDN w:val="0"/>
        <w:adjustRightInd w:val="0"/>
      </w:pPr>
      <w:r>
        <w:t>Identify on the privilege log, and denote with an asterisk, all attorneys acting in a legal capacity with respect to the withheld document or communication.</w:t>
      </w:r>
    </w:p>
    <w:p w14:paraId="00C205C6" w14:textId="77777777" w:rsidR="00271763" w:rsidRDefault="00271763" w:rsidP="00271763">
      <w:pPr>
        <w:numPr>
          <w:ilvl w:val="1"/>
          <w:numId w:val="7"/>
        </w:numPr>
        <w:autoSpaceDE w:val="0"/>
        <w:autoSpaceDN w:val="0"/>
        <w:adjustRightInd w:val="0"/>
      </w:pPr>
      <w:r>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14:paraId="2E6426AB" w14:textId="77777777" w:rsidR="00271763" w:rsidRDefault="00271763" w:rsidP="00271763">
      <w:pPr>
        <w:numPr>
          <w:ilvl w:val="1"/>
          <w:numId w:val="7"/>
        </w:numPr>
        <w:autoSpaceDE w:val="0"/>
        <w:autoSpaceDN w:val="0"/>
        <w:adjustRightInd w:val="0"/>
      </w:pPr>
      <w:r>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14:paraId="532C2844" w14:textId="77777777" w:rsidR="00271763" w:rsidRDefault="00271763" w:rsidP="00271763">
      <w:pPr>
        <w:numPr>
          <w:ilvl w:val="1"/>
          <w:numId w:val="7"/>
        </w:numPr>
        <w:autoSpaceDE w:val="0"/>
        <w:autoSpaceDN w:val="0"/>
        <w:adjustRightInd w:val="0"/>
      </w:pPr>
      <w:r>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14:paraId="60119C3E" w14:textId="77777777" w:rsidR="00271763" w:rsidRDefault="00271763" w:rsidP="00271763">
      <w:pPr>
        <w:numPr>
          <w:ilvl w:val="1"/>
          <w:numId w:val="7"/>
        </w:numPr>
        <w:autoSpaceDE w:val="0"/>
        <w:autoSpaceDN w:val="0"/>
        <w:adjustRightInd w:val="0"/>
      </w:pPr>
      <w:r>
        <w:t>The privilege log shall be produced in both hardcopy and electronic form, the electronic form of which shall be both searchable and sortable.</w:t>
      </w:r>
    </w:p>
    <w:p w14:paraId="1EA3EF76" w14:textId="77777777" w:rsidR="00271763" w:rsidRDefault="00271763" w:rsidP="00271763">
      <w:pPr>
        <w:numPr>
          <w:ilvl w:val="1"/>
          <w:numId w:val="7"/>
        </w:numPr>
        <w:autoSpaceDE w:val="0"/>
        <w:autoSpaceDN w:val="0"/>
        <w:adjustRightInd w:val="0"/>
      </w:pPr>
      <w:r>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14:paraId="17E19C6A" w14:textId="121D57DA" w:rsidR="00271763" w:rsidRPr="00502B40" w:rsidRDefault="00271763" w:rsidP="00035BF8">
      <w:pPr>
        <w:autoSpaceDE w:val="0"/>
        <w:autoSpaceDN w:val="0"/>
        <w:adjustRightInd w:val="0"/>
        <w:ind w:left="720"/>
        <w:rPr>
          <w:snapToGrid/>
        </w:rPr>
      </w:pPr>
    </w:p>
    <w:sectPr w:rsidR="00271763" w:rsidRPr="00502B40" w:rsidSect="00E76C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0B64" w14:textId="77777777" w:rsidR="00800F29" w:rsidRDefault="00800F29" w:rsidP="00E822FC">
      <w:r>
        <w:separator/>
      </w:r>
    </w:p>
  </w:endnote>
  <w:endnote w:type="continuationSeparator" w:id="0">
    <w:p w14:paraId="2858A334" w14:textId="77777777" w:rsidR="00800F29" w:rsidRDefault="00800F29" w:rsidP="00E8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1FD6" w14:textId="77777777" w:rsidR="0070035A" w:rsidRDefault="00700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46628"/>
      <w:docPartObj>
        <w:docPartGallery w:val="Page Numbers (Bottom of Page)"/>
        <w:docPartUnique/>
      </w:docPartObj>
    </w:sdtPr>
    <w:sdtEndPr>
      <w:rPr>
        <w:noProof/>
      </w:rPr>
    </w:sdtEndPr>
    <w:sdtContent>
      <w:p w14:paraId="637C345B" w14:textId="00F07D43" w:rsidR="00E76C5D" w:rsidRDefault="00E76C5D">
        <w:pPr>
          <w:pStyle w:val="Footer"/>
          <w:jc w:val="center"/>
        </w:pPr>
        <w:r>
          <w:fldChar w:fldCharType="begin"/>
        </w:r>
        <w:r>
          <w:instrText xml:space="preserve"> PAGE   \* MERGEFORMAT </w:instrText>
        </w:r>
        <w:r>
          <w:fldChar w:fldCharType="separate"/>
        </w:r>
        <w:r w:rsidR="004566A1">
          <w:rPr>
            <w:noProof/>
          </w:rPr>
          <w:t>2</w:t>
        </w:r>
        <w:r>
          <w:rPr>
            <w:noProof/>
          </w:rPr>
          <w:fldChar w:fldCharType="end"/>
        </w:r>
      </w:p>
    </w:sdtContent>
  </w:sdt>
  <w:p w14:paraId="193421FC" w14:textId="77777777" w:rsidR="00E76C5D" w:rsidRDefault="00E76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5E37" w14:textId="77777777" w:rsidR="0070035A" w:rsidRDefault="0070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6C550" w14:textId="77777777" w:rsidR="00800F29" w:rsidRDefault="00800F29" w:rsidP="00E822FC">
      <w:r>
        <w:separator/>
      </w:r>
    </w:p>
  </w:footnote>
  <w:footnote w:type="continuationSeparator" w:id="0">
    <w:p w14:paraId="7C1A1197" w14:textId="77777777" w:rsidR="00800F29" w:rsidRDefault="00800F29" w:rsidP="00E8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EBB" w14:textId="77777777" w:rsidR="0070035A" w:rsidRDefault="00700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156" w14:textId="77777777" w:rsidR="0070035A" w:rsidRDefault="00700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99AA" w14:textId="77777777" w:rsidR="0070035A" w:rsidRDefault="00700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555"/>
    <w:multiLevelType w:val="hybridMultilevel"/>
    <w:tmpl w:val="CA34C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1934A46"/>
    <w:multiLevelType w:val="hybridMultilevel"/>
    <w:tmpl w:val="03042906"/>
    <w:lvl w:ilvl="0" w:tplc="5BD214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BE23D6"/>
    <w:multiLevelType w:val="hybridMultilevel"/>
    <w:tmpl w:val="BFE68E56"/>
    <w:lvl w:ilvl="0" w:tplc="FCA61854">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471DA0"/>
    <w:multiLevelType w:val="hybridMultilevel"/>
    <w:tmpl w:val="0570F6E8"/>
    <w:lvl w:ilvl="0" w:tplc="C332E2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E1803"/>
    <w:multiLevelType w:val="hybridMultilevel"/>
    <w:tmpl w:val="AAF2AA1A"/>
    <w:lvl w:ilvl="0" w:tplc="252C795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34649C"/>
    <w:multiLevelType w:val="multilevel"/>
    <w:tmpl w:val="49A4AB4C"/>
    <w:lvl w:ilvl="0">
      <w:start w:val="1"/>
      <w:numFmt w:val="decimal"/>
      <w:lvlText w:val="%1."/>
      <w:lvlJc w:val="left"/>
      <w:pPr>
        <w:tabs>
          <w:tab w:val="num" w:pos="648"/>
        </w:tabs>
        <w:ind w:left="648" w:hanging="648"/>
      </w:pPr>
      <w:rPr>
        <w:rFonts w:hint="default"/>
        <w:b w:val="0"/>
      </w:rPr>
    </w:lvl>
    <w:lvl w:ilvl="1">
      <w:start w:val="1"/>
      <w:numFmt w:val="lowerLetter"/>
      <w:pStyle w:val="Normalandblack"/>
      <w:lvlText w:val="%2."/>
      <w:lvlJc w:val="left"/>
      <w:pPr>
        <w:tabs>
          <w:tab w:val="num" w:pos="1350"/>
        </w:tabs>
        <w:ind w:left="135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4A0AE1"/>
    <w:multiLevelType w:val="hybridMultilevel"/>
    <w:tmpl w:val="BFE68E56"/>
    <w:lvl w:ilvl="0" w:tplc="FCA61854">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DD0ED3"/>
    <w:multiLevelType w:val="hybridMultilevel"/>
    <w:tmpl w:val="FA3A4058"/>
    <w:lvl w:ilvl="0" w:tplc="C172A770">
      <w:start w:val="2"/>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782816"/>
    <w:multiLevelType w:val="hybridMultilevel"/>
    <w:tmpl w:val="7136B572"/>
    <w:lvl w:ilvl="0" w:tplc="02420AE0">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816C42"/>
    <w:multiLevelType w:val="hybridMultilevel"/>
    <w:tmpl w:val="A7D2C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A67EC5"/>
    <w:multiLevelType w:val="hybridMultilevel"/>
    <w:tmpl w:val="CAC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350D9"/>
    <w:multiLevelType w:val="hybridMultilevel"/>
    <w:tmpl w:val="7EFCF188"/>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9">
      <w:start w:val="1"/>
      <w:numFmt w:val="lowerLetter"/>
      <w:lvlText w:val="%3."/>
      <w:lvlJc w:val="lef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2146EAF"/>
    <w:multiLevelType w:val="hybridMultilevel"/>
    <w:tmpl w:val="EA382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E9F1D57"/>
    <w:multiLevelType w:val="hybridMultilevel"/>
    <w:tmpl w:val="F656E7D4"/>
    <w:lvl w:ilvl="0" w:tplc="CC9E73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4AF39FC"/>
    <w:multiLevelType w:val="hybridMultilevel"/>
    <w:tmpl w:val="846215DC"/>
    <w:lvl w:ilvl="0" w:tplc="2CC27C8E">
      <w:start w:val="13"/>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ECD665E6">
      <w:start w:val="2"/>
      <w:numFmt w:val="lowerRoman"/>
      <w:lvlText w:val="%3."/>
      <w:lvlJc w:val="lef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A55D3"/>
    <w:multiLevelType w:val="hybridMultilevel"/>
    <w:tmpl w:val="0D3A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C1FCA"/>
    <w:multiLevelType w:val="hybridMultilevel"/>
    <w:tmpl w:val="182E181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C1AEDC32">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728BD70">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97839"/>
    <w:multiLevelType w:val="hybridMultilevel"/>
    <w:tmpl w:val="E93E96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11"/>
  </w:num>
  <w:num w:numId="4">
    <w:abstractNumId w:val="12"/>
  </w:num>
  <w:num w:numId="5">
    <w:abstractNumId w:val="14"/>
  </w:num>
  <w:num w:numId="6">
    <w:abstractNumId w:val="16"/>
  </w:num>
  <w:num w:numId="7">
    <w:abstractNumId w:val="1"/>
  </w:num>
  <w:num w:numId="8">
    <w:abstractNumId w:val="10"/>
  </w:num>
  <w:num w:numId="9">
    <w:abstractNumId w:val="13"/>
  </w:num>
  <w:num w:numId="10">
    <w:abstractNumId w:val="0"/>
  </w:num>
  <w:num w:numId="11">
    <w:abstractNumId w:val="19"/>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5"/>
  </w:num>
  <w:num w:numId="15">
    <w:abstractNumId w:val="9"/>
  </w:num>
  <w:num w:numId="16">
    <w:abstractNumId w:val="8"/>
  </w:num>
  <w:num w:numId="17">
    <w:abstractNumId w:val="2"/>
  </w:num>
  <w:num w:numId="18">
    <w:abstractNumId w:val="5"/>
  </w:num>
  <w:num w:numId="19">
    <w:abstractNumId w:val="3"/>
  </w:num>
  <w:num w:numId="20">
    <w:abstractNumId w:val="7"/>
  </w:num>
  <w:num w:numId="21">
    <w:abstractNumId w:val="20"/>
  </w:num>
  <w:num w:numId="22">
    <w:abstractNumId w:val="4"/>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76"/>
    <w:rsid w:val="000023BD"/>
    <w:rsid w:val="00010B2C"/>
    <w:rsid w:val="00035BF8"/>
    <w:rsid w:val="00036CA6"/>
    <w:rsid w:val="00042D4C"/>
    <w:rsid w:val="00043419"/>
    <w:rsid w:val="00052DCD"/>
    <w:rsid w:val="000563B3"/>
    <w:rsid w:val="000641EB"/>
    <w:rsid w:val="000805EF"/>
    <w:rsid w:val="000921EC"/>
    <w:rsid w:val="00096859"/>
    <w:rsid w:val="000A10BE"/>
    <w:rsid w:val="000B1F60"/>
    <w:rsid w:val="000B6374"/>
    <w:rsid w:val="000C00D8"/>
    <w:rsid w:val="000D575B"/>
    <w:rsid w:val="000D79CA"/>
    <w:rsid w:val="000E67FC"/>
    <w:rsid w:val="0011338D"/>
    <w:rsid w:val="0014568E"/>
    <w:rsid w:val="00170F6F"/>
    <w:rsid w:val="001842E3"/>
    <w:rsid w:val="00191366"/>
    <w:rsid w:val="001A5F69"/>
    <w:rsid w:val="001E4DA0"/>
    <w:rsid w:val="001E5C49"/>
    <w:rsid w:val="00226B4F"/>
    <w:rsid w:val="0022724A"/>
    <w:rsid w:val="0023677A"/>
    <w:rsid w:val="00245304"/>
    <w:rsid w:val="00250BE6"/>
    <w:rsid w:val="00271763"/>
    <w:rsid w:val="0028079F"/>
    <w:rsid w:val="002814CB"/>
    <w:rsid w:val="00283440"/>
    <w:rsid w:val="00284FB7"/>
    <w:rsid w:val="002851EB"/>
    <w:rsid w:val="002904C7"/>
    <w:rsid w:val="002A197D"/>
    <w:rsid w:val="002A5B80"/>
    <w:rsid w:val="002B12A6"/>
    <w:rsid w:val="002B181F"/>
    <w:rsid w:val="002C3676"/>
    <w:rsid w:val="002C717E"/>
    <w:rsid w:val="002E50E3"/>
    <w:rsid w:val="003138C3"/>
    <w:rsid w:val="0035767B"/>
    <w:rsid w:val="00366C03"/>
    <w:rsid w:val="00381D13"/>
    <w:rsid w:val="00394B12"/>
    <w:rsid w:val="003F0E64"/>
    <w:rsid w:val="00406074"/>
    <w:rsid w:val="00410579"/>
    <w:rsid w:val="00417173"/>
    <w:rsid w:val="00444436"/>
    <w:rsid w:val="004566A1"/>
    <w:rsid w:val="004708F2"/>
    <w:rsid w:val="00482541"/>
    <w:rsid w:val="004A045E"/>
    <w:rsid w:val="004A099A"/>
    <w:rsid w:val="004A31E7"/>
    <w:rsid w:val="004B622A"/>
    <w:rsid w:val="004B6F24"/>
    <w:rsid w:val="004F1EF0"/>
    <w:rsid w:val="004F6489"/>
    <w:rsid w:val="00501BF4"/>
    <w:rsid w:val="00502FDA"/>
    <w:rsid w:val="00513298"/>
    <w:rsid w:val="00514CA9"/>
    <w:rsid w:val="00523DFE"/>
    <w:rsid w:val="005363C1"/>
    <w:rsid w:val="005366E2"/>
    <w:rsid w:val="00542A2A"/>
    <w:rsid w:val="005529F4"/>
    <w:rsid w:val="0058189A"/>
    <w:rsid w:val="00586EDA"/>
    <w:rsid w:val="005B7A70"/>
    <w:rsid w:val="005C0965"/>
    <w:rsid w:val="005E1FD7"/>
    <w:rsid w:val="005E3871"/>
    <w:rsid w:val="00604A8C"/>
    <w:rsid w:val="006113FD"/>
    <w:rsid w:val="00620645"/>
    <w:rsid w:val="00620B21"/>
    <w:rsid w:val="00670C36"/>
    <w:rsid w:val="00677A34"/>
    <w:rsid w:val="006949DD"/>
    <w:rsid w:val="006A7169"/>
    <w:rsid w:val="006B08CB"/>
    <w:rsid w:val="006B2D50"/>
    <w:rsid w:val="006E437F"/>
    <w:rsid w:val="006E644F"/>
    <w:rsid w:val="0070035A"/>
    <w:rsid w:val="0071150F"/>
    <w:rsid w:val="00723F82"/>
    <w:rsid w:val="00733200"/>
    <w:rsid w:val="00741571"/>
    <w:rsid w:val="007569FE"/>
    <w:rsid w:val="00766709"/>
    <w:rsid w:val="007707E6"/>
    <w:rsid w:val="007B022A"/>
    <w:rsid w:val="007B4C7A"/>
    <w:rsid w:val="007B7103"/>
    <w:rsid w:val="007F5C6D"/>
    <w:rsid w:val="00800F29"/>
    <w:rsid w:val="00801938"/>
    <w:rsid w:val="008310B7"/>
    <w:rsid w:val="00853376"/>
    <w:rsid w:val="0085478C"/>
    <w:rsid w:val="008711A3"/>
    <w:rsid w:val="00871A33"/>
    <w:rsid w:val="00882B10"/>
    <w:rsid w:val="00896288"/>
    <w:rsid w:val="0092205B"/>
    <w:rsid w:val="00927CAB"/>
    <w:rsid w:val="00931D8A"/>
    <w:rsid w:val="0093419F"/>
    <w:rsid w:val="00954111"/>
    <w:rsid w:val="00954C86"/>
    <w:rsid w:val="009668A3"/>
    <w:rsid w:val="00967DE7"/>
    <w:rsid w:val="009A157C"/>
    <w:rsid w:val="009C599C"/>
    <w:rsid w:val="009D1C38"/>
    <w:rsid w:val="009D26EC"/>
    <w:rsid w:val="009D574F"/>
    <w:rsid w:val="00A01B2F"/>
    <w:rsid w:val="00A60BC0"/>
    <w:rsid w:val="00A912BA"/>
    <w:rsid w:val="00A938AE"/>
    <w:rsid w:val="00AA1EAC"/>
    <w:rsid w:val="00AB49B0"/>
    <w:rsid w:val="00AB4FA0"/>
    <w:rsid w:val="00AC7E2D"/>
    <w:rsid w:val="00AD082A"/>
    <w:rsid w:val="00AD251E"/>
    <w:rsid w:val="00AE443D"/>
    <w:rsid w:val="00B044CE"/>
    <w:rsid w:val="00B21A60"/>
    <w:rsid w:val="00B22842"/>
    <w:rsid w:val="00B26FED"/>
    <w:rsid w:val="00B41EAF"/>
    <w:rsid w:val="00B500A0"/>
    <w:rsid w:val="00B56618"/>
    <w:rsid w:val="00B61806"/>
    <w:rsid w:val="00B726DD"/>
    <w:rsid w:val="00B8671A"/>
    <w:rsid w:val="00B9608F"/>
    <w:rsid w:val="00BC1680"/>
    <w:rsid w:val="00BC747B"/>
    <w:rsid w:val="00C102AB"/>
    <w:rsid w:val="00C17C2E"/>
    <w:rsid w:val="00C24FE0"/>
    <w:rsid w:val="00C537FA"/>
    <w:rsid w:val="00C726F5"/>
    <w:rsid w:val="00C76190"/>
    <w:rsid w:val="00CE46C7"/>
    <w:rsid w:val="00D03E74"/>
    <w:rsid w:val="00D11114"/>
    <w:rsid w:val="00D17600"/>
    <w:rsid w:val="00D17DEB"/>
    <w:rsid w:val="00D24744"/>
    <w:rsid w:val="00D5790A"/>
    <w:rsid w:val="00D80AD6"/>
    <w:rsid w:val="00D83537"/>
    <w:rsid w:val="00D85D9F"/>
    <w:rsid w:val="00DC28E3"/>
    <w:rsid w:val="00DC3DD8"/>
    <w:rsid w:val="00DC575B"/>
    <w:rsid w:val="00DE2E06"/>
    <w:rsid w:val="00E01D05"/>
    <w:rsid w:val="00E1785A"/>
    <w:rsid w:val="00E25AD6"/>
    <w:rsid w:val="00E25B6F"/>
    <w:rsid w:val="00E33158"/>
    <w:rsid w:val="00E36206"/>
    <w:rsid w:val="00E5135E"/>
    <w:rsid w:val="00E52376"/>
    <w:rsid w:val="00E52990"/>
    <w:rsid w:val="00E56328"/>
    <w:rsid w:val="00E671C0"/>
    <w:rsid w:val="00E76C5D"/>
    <w:rsid w:val="00E822FC"/>
    <w:rsid w:val="00E84684"/>
    <w:rsid w:val="00E84CA5"/>
    <w:rsid w:val="00EC204A"/>
    <w:rsid w:val="00EE4A1A"/>
    <w:rsid w:val="00EE65D7"/>
    <w:rsid w:val="00F133CF"/>
    <w:rsid w:val="00F1664F"/>
    <w:rsid w:val="00F26CB1"/>
    <w:rsid w:val="00F36643"/>
    <w:rsid w:val="00F409A1"/>
    <w:rsid w:val="00F41DCB"/>
    <w:rsid w:val="00F527BC"/>
    <w:rsid w:val="00F5615B"/>
    <w:rsid w:val="00F6611A"/>
    <w:rsid w:val="00F67EBC"/>
    <w:rsid w:val="00F80888"/>
    <w:rsid w:val="00F84C2E"/>
    <w:rsid w:val="00F85E89"/>
    <w:rsid w:val="00F9702E"/>
    <w:rsid w:val="00FA6536"/>
    <w:rsid w:val="00FC516C"/>
    <w:rsid w:val="00FD64CF"/>
    <w:rsid w:val="00FE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D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76"/>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271763"/>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376"/>
    <w:pPr>
      <w:ind w:left="720"/>
      <w:contextualSpacing/>
    </w:pPr>
  </w:style>
  <w:style w:type="paragraph" w:customStyle="1" w:styleId="Normalandblack">
    <w:name w:val="Normal and black"/>
    <w:basedOn w:val="Normal"/>
    <w:uiPriority w:val="99"/>
    <w:rsid w:val="00853376"/>
    <w:pPr>
      <w:numPr>
        <w:ilvl w:val="1"/>
        <w:numId w:val="1"/>
      </w:numPr>
    </w:pPr>
  </w:style>
  <w:style w:type="paragraph" w:styleId="Header">
    <w:name w:val="header"/>
    <w:basedOn w:val="Normal"/>
    <w:link w:val="HeaderChar"/>
    <w:uiPriority w:val="99"/>
    <w:unhideWhenUsed/>
    <w:rsid w:val="00E822FC"/>
    <w:pPr>
      <w:tabs>
        <w:tab w:val="center" w:pos="4680"/>
        <w:tab w:val="right" w:pos="9360"/>
      </w:tabs>
    </w:pPr>
  </w:style>
  <w:style w:type="character" w:customStyle="1" w:styleId="HeaderChar">
    <w:name w:val="Header Char"/>
    <w:basedOn w:val="DefaultParagraphFont"/>
    <w:link w:val="Header"/>
    <w:uiPriority w:val="99"/>
    <w:rsid w:val="00E822FC"/>
    <w:rPr>
      <w:rFonts w:ascii="Times New Roman" w:eastAsia="Times New Roman" w:hAnsi="Times New Roman" w:cs="Times New Roman"/>
      <w:snapToGrid w:val="0"/>
    </w:rPr>
  </w:style>
  <w:style w:type="paragraph" w:styleId="Footer">
    <w:name w:val="footer"/>
    <w:basedOn w:val="Normal"/>
    <w:link w:val="FooterChar"/>
    <w:uiPriority w:val="99"/>
    <w:unhideWhenUsed/>
    <w:rsid w:val="00E822FC"/>
    <w:pPr>
      <w:tabs>
        <w:tab w:val="center" w:pos="4680"/>
        <w:tab w:val="right" w:pos="9360"/>
      </w:tabs>
    </w:pPr>
  </w:style>
  <w:style w:type="character" w:customStyle="1" w:styleId="FooterChar">
    <w:name w:val="Footer Char"/>
    <w:basedOn w:val="DefaultParagraphFont"/>
    <w:link w:val="Footer"/>
    <w:uiPriority w:val="99"/>
    <w:rsid w:val="00E822FC"/>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E822FC"/>
    <w:rPr>
      <w:rFonts w:ascii="Tahoma" w:hAnsi="Tahoma" w:cs="Tahoma"/>
      <w:sz w:val="16"/>
      <w:szCs w:val="16"/>
    </w:rPr>
  </w:style>
  <w:style w:type="character" w:customStyle="1" w:styleId="BalloonTextChar">
    <w:name w:val="Balloon Text Char"/>
    <w:basedOn w:val="DefaultParagraphFont"/>
    <w:link w:val="BalloonText"/>
    <w:uiPriority w:val="99"/>
    <w:semiHidden/>
    <w:rsid w:val="00E822F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042D4C"/>
    <w:rPr>
      <w:sz w:val="16"/>
      <w:szCs w:val="16"/>
    </w:rPr>
  </w:style>
  <w:style w:type="paragraph" w:styleId="CommentText">
    <w:name w:val="annotation text"/>
    <w:basedOn w:val="Normal"/>
    <w:link w:val="CommentTextChar"/>
    <w:uiPriority w:val="99"/>
    <w:semiHidden/>
    <w:unhideWhenUsed/>
    <w:rsid w:val="00042D4C"/>
    <w:rPr>
      <w:sz w:val="20"/>
      <w:szCs w:val="20"/>
    </w:rPr>
  </w:style>
  <w:style w:type="character" w:customStyle="1" w:styleId="CommentTextChar">
    <w:name w:val="Comment Text Char"/>
    <w:basedOn w:val="DefaultParagraphFont"/>
    <w:link w:val="CommentText"/>
    <w:uiPriority w:val="99"/>
    <w:semiHidden/>
    <w:rsid w:val="00042D4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42D4C"/>
    <w:rPr>
      <w:b/>
      <w:bCs/>
    </w:rPr>
  </w:style>
  <w:style w:type="character" w:customStyle="1" w:styleId="CommentSubjectChar">
    <w:name w:val="Comment Subject Char"/>
    <w:basedOn w:val="CommentTextChar"/>
    <w:link w:val="CommentSubject"/>
    <w:uiPriority w:val="99"/>
    <w:semiHidden/>
    <w:rsid w:val="00042D4C"/>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271763"/>
    <w:rPr>
      <w:rFonts w:ascii="Cambria" w:eastAsia="Times New Roman" w:hAnsi="Cambria" w:cs="Times New Roman"/>
      <w:b/>
      <w:bCs/>
      <w:kern w:val="32"/>
      <w:sz w:val="32"/>
      <w:szCs w:val="32"/>
    </w:rPr>
  </w:style>
  <w:style w:type="paragraph" w:customStyle="1" w:styleId="Default">
    <w:name w:val="Default"/>
    <w:uiPriority w:val="99"/>
    <w:rsid w:val="002717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67EBC"/>
    <w:pPr>
      <w:spacing w:after="0" w:line="240" w:lineRule="auto"/>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76"/>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271763"/>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376"/>
    <w:pPr>
      <w:ind w:left="720"/>
      <w:contextualSpacing/>
    </w:pPr>
  </w:style>
  <w:style w:type="paragraph" w:customStyle="1" w:styleId="Normalandblack">
    <w:name w:val="Normal and black"/>
    <w:basedOn w:val="Normal"/>
    <w:uiPriority w:val="99"/>
    <w:rsid w:val="00853376"/>
    <w:pPr>
      <w:numPr>
        <w:ilvl w:val="1"/>
        <w:numId w:val="1"/>
      </w:numPr>
    </w:pPr>
  </w:style>
  <w:style w:type="paragraph" w:styleId="Header">
    <w:name w:val="header"/>
    <w:basedOn w:val="Normal"/>
    <w:link w:val="HeaderChar"/>
    <w:uiPriority w:val="99"/>
    <w:unhideWhenUsed/>
    <w:rsid w:val="00E822FC"/>
    <w:pPr>
      <w:tabs>
        <w:tab w:val="center" w:pos="4680"/>
        <w:tab w:val="right" w:pos="9360"/>
      </w:tabs>
    </w:pPr>
  </w:style>
  <w:style w:type="character" w:customStyle="1" w:styleId="HeaderChar">
    <w:name w:val="Header Char"/>
    <w:basedOn w:val="DefaultParagraphFont"/>
    <w:link w:val="Header"/>
    <w:uiPriority w:val="99"/>
    <w:rsid w:val="00E822FC"/>
    <w:rPr>
      <w:rFonts w:ascii="Times New Roman" w:eastAsia="Times New Roman" w:hAnsi="Times New Roman" w:cs="Times New Roman"/>
      <w:snapToGrid w:val="0"/>
    </w:rPr>
  </w:style>
  <w:style w:type="paragraph" w:styleId="Footer">
    <w:name w:val="footer"/>
    <w:basedOn w:val="Normal"/>
    <w:link w:val="FooterChar"/>
    <w:uiPriority w:val="99"/>
    <w:unhideWhenUsed/>
    <w:rsid w:val="00E822FC"/>
    <w:pPr>
      <w:tabs>
        <w:tab w:val="center" w:pos="4680"/>
        <w:tab w:val="right" w:pos="9360"/>
      </w:tabs>
    </w:pPr>
  </w:style>
  <w:style w:type="character" w:customStyle="1" w:styleId="FooterChar">
    <w:name w:val="Footer Char"/>
    <w:basedOn w:val="DefaultParagraphFont"/>
    <w:link w:val="Footer"/>
    <w:uiPriority w:val="99"/>
    <w:rsid w:val="00E822FC"/>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E822FC"/>
    <w:rPr>
      <w:rFonts w:ascii="Tahoma" w:hAnsi="Tahoma" w:cs="Tahoma"/>
      <w:sz w:val="16"/>
      <w:szCs w:val="16"/>
    </w:rPr>
  </w:style>
  <w:style w:type="character" w:customStyle="1" w:styleId="BalloonTextChar">
    <w:name w:val="Balloon Text Char"/>
    <w:basedOn w:val="DefaultParagraphFont"/>
    <w:link w:val="BalloonText"/>
    <w:uiPriority w:val="99"/>
    <w:semiHidden/>
    <w:rsid w:val="00E822F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042D4C"/>
    <w:rPr>
      <w:sz w:val="16"/>
      <w:szCs w:val="16"/>
    </w:rPr>
  </w:style>
  <w:style w:type="paragraph" w:styleId="CommentText">
    <w:name w:val="annotation text"/>
    <w:basedOn w:val="Normal"/>
    <w:link w:val="CommentTextChar"/>
    <w:uiPriority w:val="99"/>
    <w:semiHidden/>
    <w:unhideWhenUsed/>
    <w:rsid w:val="00042D4C"/>
    <w:rPr>
      <w:sz w:val="20"/>
      <w:szCs w:val="20"/>
    </w:rPr>
  </w:style>
  <w:style w:type="character" w:customStyle="1" w:styleId="CommentTextChar">
    <w:name w:val="Comment Text Char"/>
    <w:basedOn w:val="DefaultParagraphFont"/>
    <w:link w:val="CommentText"/>
    <w:uiPriority w:val="99"/>
    <w:semiHidden/>
    <w:rsid w:val="00042D4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42D4C"/>
    <w:rPr>
      <w:b/>
      <w:bCs/>
    </w:rPr>
  </w:style>
  <w:style w:type="character" w:customStyle="1" w:styleId="CommentSubjectChar">
    <w:name w:val="Comment Subject Char"/>
    <w:basedOn w:val="CommentTextChar"/>
    <w:link w:val="CommentSubject"/>
    <w:uiPriority w:val="99"/>
    <w:semiHidden/>
    <w:rsid w:val="00042D4C"/>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271763"/>
    <w:rPr>
      <w:rFonts w:ascii="Cambria" w:eastAsia="Times New Roman" w:hAnsi="Cambria" w:cs="Times New Roman"/>
      <w:b/>
      <w:bCs/>
      <w:kern w:val="32"/>
      <w:sz w:val="32"/>
      <w:szCs w:val="32"/>
    </w:rPr>
  </w:style>
  <w:style w:type="paragraph" w:customStyle="1" w:styleId="Default">
    <w:name w:val="Default"/>
    <w:uiPriority w:val="99"/>
    <w:rsid w:val="002717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67EBC"/>
    <w:pPr>
      <w:spacing w:after="0" w:line="240" w:lineRule="auto"/>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3455</Words>
  <Characters>19519</Characters>
  <Application>Microsoft Office Word</Application>
  <DocSecurity>0</DocSecurity>
  <Lines>418</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2014-09-22T16:49:00Z</cp:lastPrinted>
  <dcterms:created xsi:type="dcterms:W3CDTF">2015-01-21T20:24:00Z</dcterms:created>
  <dcterms:modified xsi:type="dcterms:W3CDTF">2015-01-21T20:24:00Z</dcterms:modified>
  <cp:category> </cp:category>
  <cp:contentStatus> </cp:contentStatus>
</cp:coreProperties>
</file>