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EDD" w:rsidRPr="00944EA9" w:rsidRDefault="000E7EDD" w:rsidP="000E7EDD">
      <w:pPr>
        <w:spacing w:after="240"/>
        <w:jc w:val="center"/>
        <w:rPr>
          <w:rFonts w:cs="Times New Roman"/>
          <w:b/>
        </w:rPr>
      </w:pPr>
      <w:bookmarkStart w:id="0" w:name="_GoBack"/>
      <w:bookmarkEnd w:id="0"/>
      <w:r w:rsidRPr="00944EA9">
        <w:rPr>
          <w:rFonts w:cs="Times New Roman"/>
          <w:b/>
        </w:rPr>
        <w:t>DISSENTING STATEMENT OF</w:t>
      </w:r>
      <w:r w:rsidRPr="00944EA9">
        <w:rPr>
          <w:rFonts w:cs="Times New Roman"/>
          <w:b/>
        </w:rPr>
        <w:br/>
        <w:t>COMMISSIONER AJIT PAI</w:t>
      </w:r>
    </w:p>
    <w:p w:rsidR="000E7EDD" w:rsidRPr="00944EA9" w:rsidRDefault="000E7EDD" w:rsidP="00920FE9">
      <w:pPr>
        <w:spacing w:after="240"/>
        <w:ind w:left="720" w:hanging="720"/>
        <w:rPr>
          <w:rFonts w:cs="Times New Roman"/>
        </w:rPr>
      </w:pPr>
      <w:r w:rsidRPr="00944EA9">
        <w:rPr>
          <w:rFonts w:cs="Times New Roman"/>
        </w:rPr>
        <w:t>Re:</w:t>
      </w:r>
      <w:r w:rsidRPr="00944EA9">
        <w:rPr>
          <w:rFonts w:cs="Times New Roman"/>
        </w:rPr>
        <w:tab/>
      </w:r>
      <w:r w:rsidRPr="00944EA9">
        <w:rPr>
          <w:rFonts w:cs="Times New Roman"/>
          <w:i/>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rsidRPr="00944EA9">
        <w:rPr>
          <w:rFonts w:cs="Times New Roman"/>
        </w:rPr>
        <w:t>, GN Docket No. 14-126.</w:t>
      </w:r>
    </w:p>
    <w:p w:rsidR="000E7EDD" w:rsidRPr="00944EA9" w:rsidRDefault="000E7EDD" w:rsidP="000E7EDD">
      <w:pPr>
        <w:ind w:firstLine="720"/>
        <w:rPr>
          <w:rFonts w:cs="Times New Roman"/>
        </w:rPr>
      </w:pPr>
      <w:r w:rsidRPr="006823F7">
        <w:rPr>
          <w:rFonts w:cs="Times New Roman"/>
        </w:rPr>
        <w:t xml:space="preserve">Before Humpty Dumpty </w:t>
      </w:r>
      <w:r>
        <w:rPr>
          <w:rFonts w:cs="Times New Roman"/>
        </w:rPr>
        <w:t xml:space="preserve">had a great </w:t>
      </w:r>
      <w:r w:rsidRPr="006823F7">
        <w:rPr>
          <w:rFonts w:cs="Times New Roman"/>
        </w:rPr>
        <w:t>fall</w:t>
      </w:r>
      <w:r w:rsidRPr="006E2D56">
        <w:rPr>
          <w:rFonts w:cs="Times New Roman"/>
        </w:rPr>
        <w:t xml:space="preserve"> </w:t>
      </w:r>
      <w:r w:rsidRPr="006823F7">
        <w:rPr>
          <w:rFonts w:cs="Times New Roman"/>
        </w:rPr>
        <w:t xml:space="preserve">in </w:t>
      </w:r>
      <w:r w:rsidRPr="00944EA9">
        <w:rPr>
          <w:rFonts w:cs="Times New Roman"/>
          <w:i/>
        </w:rPr>
        <w:t>Through the Looking-Glass</w:t>
      </w:r>
      <w:r w:rsidRPr="006823F7">
        <w:rPr>
          <w:rFonts w:cs="Times New Roman"/>
        </w:rPr>
        <w:t>, he told Alice</w:t>
      </w:r>
      <w:r>
        <w:rPr>
          <w:rFonts w:cs="Times New Roman"/>
        </w:rPr>
        <w:t>,</w:t>
      </w:r>
      <w:r w:rsidRPr="006823F7">
        <w:rPr>
          <w:rFonts w:cs="Times New Roman"/>
        </w:rPr>
        <w:t xml:space="preserve"> </w:t>
      </w:r>
      <w:r>
        <w:rPr>
          <w:rFonts w:cs="Times New Roman"/>
        </w:rPr>
        <w:t xml:space="preserve">“When I use a word, . . . </w:t>
      </w:r>
      <w:r w:rsidRPr="00944EA9">
        <w:rPr>
          <w:rFonts w:cs="Times New Roman"/>
        </w:rPr>
        <w:t>it means just what I choose it to mean—neither more nor less.”</w:t>
      </w:r>
      <w:r w:rsidRPr="00944EA9">
        <w:rPr>
          <w:rStyle w:val="FootnoteReference"/>
          <w:rFonts w:cs="Times New Roman"/>
        </w:rPr>
        <w:footnoteReference w:id="1"/>
      </w:r>
      <w:r w:rsidRPr="00944EA9">
        <w:rPr>
          <w:rFonts w:cs="Times New Roman"/>
        </w:rPr>
        <w:t xml:space="preserve">  So too, apparently, at the FCC.  </w:t>
      </w:r>
      <w:r>
        <w:rPr>
          <w:rFonts w:cs="Times New Roman"/>
        </w:rPr>
        <w:t xml:space="preserve">For today’s report declares that </w:t>
      </w:r>
      <w:r w:rsidRPr="00944EA9">
        <w:rPr>
          <w:rFonts w:cs="Times New Roman"/>
        </w:rPr>
        <w:t>10 Mbps Internet access service is no longer broadband</w:t>
      </w:r>
      <w:r>
        <w:rPr>
          <w:rFonts w:cs="Times New Roman"/>
        </w:rPr>
        <w:t>.  O</w:t>
      </w:r>
      <w:r w:rsidRPr="00944EA9">
        <w:rPr>
          <w:rFonts w:cs="Times New Roman"/>
        </w:rPr>
        <w:t xml:space="preserve">nly 25 Mbps </w:t>
      </w:r>
      <w:r>
        <w:rPr>
          <w:rFonts w:cs="Times New Roman"/>
        </w:rPr>
        <w:t xml:space="preserve">or more </w:t>
      </w:r>
      <w:r w:rsidRPr="00944EA9">
        <w:rPr>
          <w:rFonts w:cs="Times New Roman"/>
        </w:rPr>
        <w:t>counts.</w:t>
      </w:r>
    </w:p>
    <w:p w:rsidR="000E7EDD" w:rsidRPr="00944EA9" w:rsidRDefault="000E7EDD" w:rsidP="000E7EDD">
      <w:pPr>
        <w:ind w:firstLine="720"/>
        <w:rPr>
          <w:rFonts w:cs="Times New Roman"/>
        </w:rPr>
      </w:pPr>
      <w:r>
        <w:rPr>
          <w:rFonts w:cs="Times New Roman"/>
        </w:rPr>
        <w:t xml:space="preserve">This </w:t>
      </w:r>
      <w:r w:rsidRPr="00944EA9">
        <w:rPr>
          <w:rFonts w:cs="Times New Roman"/>
        </w:rPr>
        <w:t xml:space="preserve">decision </w:t>
      </w:r>
      <w:r>
        <w:rPr>
          <w:rFonts w:cs="Times New Roman"/>
        </w:rPr>
        <w:t>sh</w:t>
      </w:r>
      <w:r w:rsidRPr="00944EA9">
        <w:rPr>
          <w:rFonts w:cs="Times New Roman"/>
        </w:rPr>
        <w:t>ould surprise American consumer</w:t>
      </w:r>
      <w:r>
        <w:rPr>
          <w:rFonts w:cs="Times New Roman"/>
        </w:rPr>
        <w:t>s</w:t>
      </w:r>
      <w:r w:rsidR="002D268A">
        <w:rPr>
          <w:rFonts w:cs="Times New Roman"/>
        </w:rPr>
        <w:t xml:space="preserve">.  71% </w:t>
      </w:r>
      <w:r w:rsidRPr="00944EA9">
        <w:rPr>
          <w:rFonts w:cs="Times New Roman"/>
        </w:rPr>
        <w:t xml:space="preserve">of consumers </w:t>
      </w:r>
      <w:r>
        <w:rPr>
          <w:rFonts w:cs="Times New Roman"/>
        </w:rPr>
        <w:t>who can</w:t>
      </w:r>
      <w:r w:rsidRPr="00944EA9">
        <w:rPr>
          <w:rFonts w:cs="Times New Roman"/>
        </w:rPr>
        <w:t xml:space="preserve"> purchase fixed 25 Mbps service—over 70 million households—choose not to.</w:t>
      </w:r>
      <w:r w:rsidRPr="00944EA9">
        <w:rPr>
          <w:rStyle w:val="FootnoteReference"/>
          <w:rFonts w:cs="Times New Roman"/>
        </w:rPr>
        <w:footnoteReference w:id="2"/>
      </w:r>
      <w:r>
        <w:rPr>
          <w:rFonts w:cs="Times New Roman"/>
        </w:rPr>
        <w:t xml:space="preserve">  And b</w:t>
      </w:r>
      <w:r w:rsidRPr="00944EA9">
        <w:rPr>
          <w:rFonts w:cs="Times New Roman"/>
        </w:rPr>
        <w:t>efore today, 58 million Americans thought they had subscribed to mobile broadband</w:t>
      </w:r>
      <w:r>
        <w:rPr>
          <w:rFonts w:cs="Times New Roman"/>
        </w:rPr>
        <w:t>.</w:t>
      </w:r>
      <w:r w:rsidRPr="00944EA9">
        <w:rPr>
          <w:rStyle w:val="FootnoteReference"/>
          <w:rFonts w:cs="Times New Roman"/>
        </w:rPr>
        <w:footnoteReference w:id="3"/>
      </w:r>
      <w:r>
        <w:rPr>
          <w:rFonts w:cs="Times New Roman"/>
        </w:rPr>
        <w:t xml:space="preserve"> </w:t>
      </w:r>
      <w:r w:rsidRPr="00944EA9">
        <w:rPr>
          <w:rFonts w:cs="Times New Roman"/>
        </w:rPr>
        <w:t xml:space="preserve"> </w:t>
      </w:r>
      <w:r>
        <w:rPr>
          <w:rFonts w:cs="Times New Roman"/>
        </w:rPr>
        <w:t>B</w:t>
      </w:r>
      <w:r w:rsidRPr="00944EA9">
        <w:rPr>
          <w:rFonts w:cs="Times New Roman"/>
        </w:rPr>
        <w:t>ut now the FCC says they’re getting something</w:t>
      </w:r>
      <w:r>
        <w:rPr>
          <w:rFonts w:cs="Times New Roman"/>
        </w:rPr>
        <w:t xml:space="preserve"> </w:t>
      </w:r>
      <w:r w:rsidRPr="00944EA9">
        <w:rPr>
          <w:rFonts w:cs="Times New Roman"/>
        </w:rPr>
        <w:t>else.</w:t>
      </w:r>
    </w:p>
    <w:p w:rsidR="000E7EDD" w:rsidRDefault="000E7EDD" w:rsidP="000E7EDD">
      <w:pPr>
        <w:ind w:firstLine="720"/>
        <w:rPr>
          <w:rFonts w:cs="Times New Roman"/>
        </w:rPr>
      </w:pPr>
      <w:r>
        <w:rPr>
          <w:rFonts w:cs="Times New Roman"/>
        </w:rPr>
        <w:t xml:space="preserve">This </w:t>
      </w:r>
      <w:r w:rsidRPr="00944EA9">
        <w:rPr>
          <w:rFonts w:cs="Times New Roman"/>
        </w:rPr>
        <w:t xml:space="preserve">decision should also surprise the </w:t>
      </w:r>
      <w:r>
        <w:rPr>
          <w:rFonts w:cs="Times New Roman"/>
        </w:rPr>
        <w:t>FCC itself</w:t>
      </w:r>
      <w:r w:rsidRPr="00944EA9">
        <w:rPr>
          <w:rFonts w:cs="Times New Roman"/>
        </w:rPr>
        <w:t xml:space="preserve">.  Just last month, the </w:t>
      </w:r>
      <w:r>
        <w:rPr>
          <w:rFonts w:cs="Times New Roman"/>
        </w:rPr>
        <w:t xml:space="preserve">agency voted </w:t>
      </w:r>
      <w:r w:rsidRPr="00944EA9">
        <w:rPr>
          <w:rFonts w:cs="Times New Roman"/>
        </w:rPr>
        <w:t xml:space="preserve">to spend $10.8 billion over the next six years </w:t>
      </w:r>
      <w:r w:rsidRPr="006823F7">
        <w:rPr>
          <w:rFonts w:cs="Times New Roman"/>
        </w:rPr>
        <w:t xml:space="preserve">to deploy what it called 10 Mbps </w:t>
      </w:r>
      <w:r>
        <w:rPr>
          <w:rFonts w:cs="Times New Roman"/>
        </w:rPr>
        <w:t>“</w:t>
      </w:r>
      <w:r w:rsidRPr="006823F7">
        <w:rPr>
          <w:rFonts w:cs="Times New Roman"/>
        </w:rPr>
        <w:t>broadband</w:t>
      </w:r>
      <w:r>
        <w:rPr>
          <w:rFonts w:cs="Times New Roman"/>
        </w:rPr>
        <w:t>”</w:t>
      </w:r>
      <w:r w:rsidRPr="006823F7">
        <w:rPr>
          <w:rFonts w:cs="Times New Roman"/>
        </w:rPr>
        <w:t xml:space="preserve"> so that </w:t>
      </w:r>
      <w:r w:rsidRPr="00944EA9">
        <w:rPr>
          <w:rFonts w:cs="Times New Roman"/>
        </w:rPr>
        <w:t xml:space="preserve">millions of rural Americans could enjoy </w:t>
      </w:r>
      <w:r>
        <w:rPr>
          <w:rFonts w:cs="Times New Roman"/>
        </w:rPr>
        <w:t>“</w:t>
      </w:r>
      <w:r w:rsidRPr="00CB4D11">
        <w:rPr>
          <w:rFonts w:cs="Times New Roman"/>
        </w:rPr>
        <w:t xml:space="preserve">access to </w:t>
      </w:r>
      <w:r w:rsidRPr="006076D4">
        <w:rPr>
          <w:rFonts w:cs="Times New Roman"/>
          <w:i/>
        </w:rPr>
        <w:t>advanced</w:t>
      </w:r>
      <w:r w:rsidRPr="00CB4D11">
        <w:rPr>
          <w:rFonts w:cs="Times New Roman"/>
        </w:rPr>
        <w:t xml:space="preserve"> telecommunications</w:t>
      </w:r>
      <w:r>
        <w:rPr>
          <w:rFonts w:cs="Times New Roman"/>
        </w:rPr>
        <w:t xml:space="preserve"> </w:t>
      </w:r>
      <w:r w:rsidRPr="00CB4D11">
        <w:rPr>
          <w:rFonts w:cs="Times New Roman"/>
        </w:rPr>
        <w:t>and information services</w:t>
      </w:r>
      <w:r>
        <w:rPr>
          <w:rFonts w:cs="Times New Roman"/>
        </w:rPr>
        <w:t>.</w:t>
      </w:r>
      <w:r w:rsidRPr="00944EA9">
        <w:rPr>
          <w:rFonts w:cs="Times New Roman"/>
        </w:rPr>
        <w:t>”</w:t>
      </w:r>
      <w:r w:rsidRPr="00944EA9">
        <w:rPr>
          <w:rStyle w:val="FootnoteReference"/>
          <w:rFonts w:cs="Times New Roman"/>
        </w:rPr>
        <w:footnoteReference w:id="4"/>
      </w:r>
      <w:r w:rsidRPr="00944EA9">
        <w:rPr>
          <w:rFonts w:cs="Times New Roman"/>
        </w:rPr>
        <w:t xml:space="preserve">  That’s billions of dollars that may help Americans get the Internet access services they </w:t>
      </w:r>
      <w:r>
        <w:rPr>
          <w:rFonts w:cs="Times New Roman"/>
        </w:rPr>
        <w:t xml:space="preserve">actually </w:t>
      </w:r>
      <w:r w:rsidRPr="00944EA9">
        <w:rPr>
          <w:rFonts w:cs="Times New Roman"/>
        </w:rPr>
        <w:t>want</w:t>
      </w:r>
      <w:r>
        <w:rPr>
          <w:rFonts w:cs="Times New Roman"/>
        </w:rPr>
        <w:t>.  B</w:t>
      </w:r>
      <w:r w:rsidRPr="00944EA9">
        <w:rPr>
          <w:rFonts w:cs="Times New Roman"/>
        </w:rPr>
        <w:t>ut apparently that funding won’t be supporting broadband</w:t>
      </w:r>
      <w:r>
        <w:rPr>
          <w:rFonts w:cs="Times New Roman"/>
        </w:rPr>
        <w:t>, even though last month’s item, in fact, used that term no fewer than 320 times.</w:t>
      </w:r>
    </w:p>
    <w:p w:rsidR="000E7EDD" w:rsidRPr="00944EA9" w:rsidRDefault="000E7EDD" w:rsidP="000E7EDD">
      <w:pPr>
        <w:ind w:firstLine="720"/>
        <w:rPr>
          <w:rFonts w:cs="Times New Roman"/>
        </w:rPr>
      </w:pPr>
      <w:r>
        <w:rPr>
          <w:rFonts w:cs="Times New Roman"/>
        </w:rPr>
        <w:t>Indeed, today’s report raises the question:  Why are we spending over $10 billion to deploy something that isn’t broadband?  Don’t those in rural America deserve broadband access?  Taken together, our decision last month and our decision today are incoherent.</w:t>
      </w:r>
    </w:p>
    <w:p w:rsidR="000E7EDD" w:rsidRDefault="000E7EDD" w:rsidP="000E7EDD">
      <w:pPr>
        <w:ind w:firstLine="720"/>
        <w:rPr>
          <w:rFonts w:cs="Times New Roman"/>
        </w:rPr>
      </w:pPr>
      <w:r>
        <w:rPr>
          <w:rFonts w:cs="Times New Roman"/>
        </w:rPr>
        <w:t>Unfortunately, rather than “</w:t>
      </w:r>
      <w:r w:rsidRPr="00944EA9">
        <w:rPr>
          <w:rFonts w:cs="Times New Roman"/>
        </w:rPr>
        <w:t>assessing common household broadband uses or relying on broadband</w:t>
      </w:r>
      <w:r>
        <w:rPr>
          <w:rFonts w:cs="Times New Roman"/>
        </w:rPr>
        <w:t xml:space="preserve"> </w:t>
      </w:r>
      <w:r w:rsidRPr="00944EA9">
        <w:rPr>
          <w:rFonts w:cs="Times New Roman"/>
        </w:rPr>
        <w:t>adoption rates as bases for establishing a speed benchmark</w:t>
      </w:r>
      <w:r>
        <w:rPr>
          <w:rFonts w:cs="Times New Roman"/>
        </w:rPr>
        <w:t>,” as we proposed to do last summer,</w:t>
      </w:r>
      <w:r>
        <w:rPr>
          <w:rStyle w:val="FootnoteReference"/>
          <w:rFonts w:cs="Times New Roman"/>
        </w:rPr>
        <w:footnoteReference w:id="5"/>
      </w:r>
      <w:r>
        <w:rPr>
          <w:rFonts w:cs="Times New Roman"/>
        </w:rPr>
        <w:t xml:space="preserve"> the Commission picks an arbitrary 25 Mbps threshold.  It does this by looking at ISPs’ marketing materials,</w:t>
      </w:r>
      <w:r>
        <w:rPr>
          <w:rStyle w:val="FootnoteReference"/>
          <w:rFonts w:cs="Times New Roman"/>
        </w:rPr>
        <w:footnoteReference w:id="6"/>
      </w:r>
      <w:r>
        <w:rPr>
          <w:rFonts w:cs="Times New Roman"/>
        </w:rPr>
        <w:t xml:space="preserve"> asking what speed is needed to stream 4K video that few actually watch,</w:t>
      </w:r>
      <w:r>
        <w:rPr>
          <w:rStyle w:val="FootnoteReference"/>
          <w:rFonts w:cs="Times New Roman"/>
        </w:rPr>
        <w:footnoteReference w:id="7"/>
      </w:r>
      <w:r>
        <w:rPr>
          <w:rFonts w:cs="Times New Roman"/>
        </w:rPr>
        <w:t xml:space="preserve"> and italicizing the word </w:t>
      </w:r>
      <w:r>
        <w:rPr>
          <w:rFonts w:cs="Times New Roman"/>
          <w:i/>
        </w:rPr>
        <w:t>advanced</w:t>
      </w:r>
      <w:r>
        <w:rPr>
          <w:rFonts w:cs="Times New Roman"/>
        </w:rPr>
        <w:t xml:space="preserve"> nine separate times.</w:t>
      </w:r>
      <w:r>
        <w:rPr>
          <w:rStyle w:val="FootnoteReference"/>
          <w:rFonts w:cs="Times New Roman"/>
        </w:rPr>
        <w:footnoteReference w:id="8"/>
      </w:r>
      <w:r>
        <w:rPr>
          <w:rFonts w:cs="Times New Roman"/>
        </w:rPr>
        <w:t xml:space="preserve">  Random factors like these are hardly a compelling basis for policymaking.</w:t>
      </w:r>
    </w:p>
    <w:p w:rsidR="000E7EDD" w:rsidRPr="00944EA9" w:rsidRDefault="000E7EDD" w:rsidP="000E7EDD">
      <w:pPr>
        <w:ind w:firstLine="720"/>
        <w:rPr>
          <w:rFonts w:cs="Times New Roman"/>
        </w:rPr>
      </w:pPr>
      <w:r>
        <w:rPr>
          <w:rFonts w:cs="Times New Roman"/>
        </w:rPr>
        <w:t xml:space="preserve">Instead, the driving factor in defining broadband should be consumer preference.  </w:t>
      </w:r>
      <w:r>
        <w:t>And only this year has</w:t>
      </w:r>
      <w:r w:rsidRPr="001F461B">
        <w:t xml:space="preserve"> the majority of consumers with access </w:t>
      </w:r>
      <w:r>
        <w:t xml:space="preserve">actually </w:t>
      </w:r>
      <w:r w:rsidRPr="001F461B">
        <w:t>adopted speeds of 10 Mbps or higher</w:t>
      </w:r>
      <w:r>
        <w:rPr>
          <w:rFonts w:cs="Times New Roman"/>
        </w:rPr>
        <w:t>.</w:t>
      </w:r>
      <w:r>
        <w:rPr>
          <w:rStyle w:val="FootnoteReference"/>
          <w:rFonts w:cs="Times New Roman"/>
        </w:rPr>
        <w:footnoteReference w:id="9"/>
      </w:r>
      <w:r>
        <w:rPr>
          <w:rFonts w:cs="Times New Roman"/>
        </w:rPr>
        <w:t xml:space="preserve">  That’s </w:t>
      </w:r>
      <w:r>
        <w:rPr>
          <w:rFonts w:cs="Times New Roman"/>
        </w:rPr>
        <w:lastRenderedPageBreak/>
        <w:t xml:space="preserve">why </w:t>
      </w:r>
      <w:r w:rsidRPr="00944EA9">
        <w:rPr>
          <w:rFonts w:cs="Times New Roman"/>
        </w:rPr>
        <w:t>the FCC acknowledged when we commenced this inquiry</w:t>
      </w:r>
      <w:r>
        <w:rPr>
          <w:rFonts w:cs="Times New Roman"/>
        </w:rPr>
        <w:t xml:space="preserve"> that</w:t>
      </w:r>
      <w:r w:rsidRPr="00944EA9">
        <w:rPr>
          <w:rFonts w:cs="Times New Roman"/>
        </w:rPr>
        <w:t xml:space="preserve"> 10 Mbps </w:t>
      </w:r>
      <w:r>
        <w:rPr>
          <w:rFonts w:cs="Times New Roman"/>
        </w:rPr>
        <w:t xml:space="preserve">accommodates </w:t>
      </w:r>
      <w:r w:rsidRPr="00944EA9">
        <w:rPr>
          <w:rFonts w:cs="Times New Roman"/>
        </w:rPr>
        <w:t xml:space="preserve">the needs of </w:t>
      </w:r>
      <w:r>
        <w:rPr>
          <w:rFonts w:cs="Times New Roman"/>
        </w:rPr>
        <w:t xml:space="preserve">consumers whose intensity of Internet use spans a broad range.  At 10 Mbps, </w:t>
      </w:r>
      <w:r w:rsidRPr="00944EA9">
        <w:rPr>
          <w:rFonts w:cs="Times New Roman"/>
        </w:rPr>
        <w:t xml:space="preserve">one family member could stream a super HD movie, another </w:t>
      </w:r>
      <w:r>
        <w:rPr>
          <w:rFonts w:cs="Times New Roman"/>
        </w:rPr>
        <w:t xml:space="preserve">could </w:t>
      </w:r>
      <w:r w:rsidRPr="00944EA9">
        <w:rPr>
          <w:rFonts w:cs="Times New Roman"/>
        </w:rPr>
        <w:t xml:space="preserve">make an HD video call, </w:t>
      </w:r>
      <w:r>
        <w:rPr>
          <w:rFonts w:cs="Times New Roman"/>
        </w:rPr>
        <w:t xml:space="preserve">and </w:t>
      </w:r>
      <w:r w:rsidRPr="00944EA9">
        <w:rPr>
          <w:rFonts w:cs="Times New Roman"/>
        </w:rPr>
        <w:t xml:space="preserve">yet another </w:t>
      </w:r>
      <w:r>
        <w:rPr>
          <w:rFonts w:cs="Times New Roman"/>
        </w:rPr>
        <w:t>could deliver files to and retrieve</w:t>
      </w:r>
      <w:r w:rsidRPr="00944EA9">
        <w:rPr>
          <w:rFonts w:cs="Times New Roman"/>
        </w:rPr>
        <w:t xml:space="preserve"> </w:t>
      </w:r>
      <w:r>
        <w:rPr>
          <w:rFonts w:cs="Times New Roman"/>
        </w:rPr>
        <w:t xml:space="preserve">them </w:t>
      </w:r>
      <w:r w:rsidRPr="00944EA9">
        <w:rPr>
          <w:rFonts w:cs="Times New Roman"/>
        </w:rPr>
        <w:t>from the cloud, all while everyone in the house sends emails, gets alerts, and checks the weather.</w:t>
      </w:r>
      <w:r w:rsidRPr="00944EA9">
        <w:rPr>
          <w:rStyle w:val="FootnoteReference"/>
          <w:rFonts w:cs="Times New Roman"/>
        </w:rPr>
        <w:footnoteReference w:id="10"/>
      </w:r>
      <w:r w:rsidRPr="00944EA9">
        <w:rPr>
          <w:rFonts w:cs="Times New Roman"/>
        </w:rPr>
        <w:t xml:space="preserve">  </w:t>
      </w:r>
      <w:r>
        <w:rPr>
          <w:rFonts w:cs="Times New Roman"/>
        </w:rPr>
        <w:t>Similarly</w:t>
      </w:r>
      <w:r w:rsidRPr="00944EA9">
        <w:rPr>
          <w:rFonts w:cs="Times New Roman"/>
        </w:rPr>
        <w:t xml:space="preserve">, </w:t>
      </w:r>
      <w:r>
        <w:rPr>
          <w:rFonts w:cs="Times New Roman"/>
        </w:rPr>
        <w:t xml:space="preserve">consider that </w:t>
      </w:r>
      <w:r w:rsidRPr="00944EA9">
        <w:rPr>
          <w:rFonts w:cs="Times New Roman"/>
        </w:rPr>
        <w:t>the median American Internet service provider streamed Netflix at a rate of 3.14 Mbps in December</w:t>
      </w:r>
      <w:r>
        <w:rPr>
          <w:rFonts w:cs="Times New Roman"/>
        </w:rPr>
        <w:t>.</w:t>
      </w:r>
      <w:r w:rsidRPr="00944EA9">
        <w:rPr>
          <w:rStyle w:val="FootnoteReference"/>
          <w:rFonts w:cs="Times New Roman"/>
        </w:rPr>
        <w:footnoteReference w:id="11"/>
      </w:r>
      <w:r w:rsidRPr="00944EA9">
        <w:rPr>
          <w:rFonts w:cs="Times New Roman"/>
        </w:rPr>
        <w:t xml:space="preserve"> </w:t>
      </w:r>
      <w:r>
        <w:rPr>
          <w:rFonts w:cs="Times New Roman"/>
        </w:rPr>
        <w:t xml:space="preserve"> This means that members of </w:t>
      </w:r>
      <w:r w:rsidRPr="00944EA9">
        <w:rPr>
          <w:rFonts w:cs="Times New Roman"/>
        </w:rPr>
        <w:t xml:space="preserve">a household could stream an episode of </w:t>
      </w:r>
      <w:r w:rsidRPr="00944EA9">
        <w:rPr>
          <w:rFonts w:cs="Times New Roman"/>
          <w:i/>
        </w:rPr>
        <w:t>House of Cards</w:t>
      </w:r>
      <w:r w:rsidRPr="00944EA9">
        <w:rPr>
          <w:rFonts w:cs="Times New Roman"/>
        </w:rPr>
        <w:t xml:space="preserve">, Aziz Ansari’s latest standup routine, and </w:t>
      </w:r>
      <w:r>
        <w:rPr>
          <w:rFonts w:cs="Times New Roman"/>
          <w:i/>
        </w:rPr>
        <w:t>Sesame Street</w:t>
      </w:r>
      <w:r>
        <w:rPr>
          <w:rFonts w:cs="Times New Roman"/>
        </w:rPr>
        <w:t xml:space="preserve"> </w:t>
      </w:r>
      <w:r w:rsidRPr="00944EA9">
        <w:rPr>
          <w:rFonts w:cs="Times New Roman"/>
        </w:rPr>
        <w:t>all at the same time with a 10 Mbps connection.</w:t>
      </w:r>
      <w:r>
        <w:rPr>
          <w:rStyle w:val="FootnoteReference"/>
          <w:rFonts w:cs="Times New Roman"/>
        </w:rPr>
        <w:footnoteReference w:id="12"/>
      </w:r>
    </w:p>
    <w:p w:rsidR="000E7EDD" w:rsidRPr="00AC2A01" w:rsidRDefault="000E7EDD" w:rsidP="000E7EDD">
      <w:pPr>
        <w:ind w:firstLine="720"/>
        <w:rPr>
          <w:rFonts w:cs="Times New Roman"/>
        </w:rPr>
      </w:pPr>
      <w:r>
        <w:rPr>
          <w:rFonts w:cs="Times New Roman"/>
        </w:rPr>
        <w:t>But for some time now under this Administration, grounding the new benchmark for broadband in reality hasn’t been the point.  No, the ultimate goal is to seize new, virtually limitless authority to regulate the broadband marketplace.  Under its interpretation of section 706 of the Telecommunications Act, the FCC can do that only by determining that broadband is not “</w:t>
      </w:r>
      <w:r w:rsidRPr="001B497B">
        <w:rPr>
          <w:rFonts w:cs="Times New Roman"/>
        </w:rPr>
        <w:t>being deployed to all Americans in a reasonable and timely fashion</w:t>
      </w:r>
      <w:r>
        <w:rPr>
          <w:rFonts w:cs="Times New Roman"/>
        </w:rPr>
        <w:t>”—or, more colloquially, by ignoring the consistent progress in Internet connectivity that’s obvious to anyone with a digital connection and an analog pulse.</w:t>
      </w:r>
      <w:r>
        <w:rPr>
          <w:rStyle w:val="FootnoteReference"/>
          <w:rFonts w:cs="Times New Roman"/>
        </w:rPr>
        <w:footnoteReference w:id="13"/>
      </w:r>
      <w:r>
        <w:rPr>
          <w:rFonts w:cs="Times New Roman"/>
        </w:rPr>
        <w:t xml:space="preserve">  That explains why the FCC rewrote the statutory test the last time it was considering net neutrality rules.</w:t>
      </w:r>
      <w:r>
        <w:rPr>
          <w:rStyle w:val="FootnoteReference"/>
          <w:rFonts w:cs="Times New Roman"/>
        </w:rPr>
        <w:footnoteReference w:id="14"/>
      </w:r>
      <w:r>
        <w:rPr>
          <w:rFonts w:cs="Times New Roman"/>
        </w:rPr>
        <w:t xml:space="preserve">  That explains why this Administration has studiously excluded satellite and mobile broadband services from its evaluation.</w:t>
      </w:r>
      <w:r>
        <w:rPr>
          <w:rStyle w:val="FootnoteReference"/>
          <w:rFonts w:cs="Times New Roman"/>
        </w:rPr>
        <w:footnoteReference w:id="15"/>
      </w:r>
      <w:r>
        <w:rPr>
          <w:rFonts w:cs="Times New Roman"/>
        </w:rPr>
        <w:t xml:space="preserve">  And that explains why the FCC is suddenly upping the benchmark by a factor of six.</w:t>
      </w:r>
      <w:r>
        <w:rPr>
          <w:rStyle w:val="FootnoteReference"/>
          <w:rFonts w:cs="Times New Roman"/>
        </w:rPr>
        <w:footnoteReference w:id="16"/>
      </w:r>
      <w:r>
        <w:rPr>
          <w:rFonts w:cs="Times New Roman"/>
        </w:rPr>
        <w:t xml:space="preserve">  A thriving marketplace must be found to have failed so that the agency can regulate it back to health.</w:t>
      </w:r>
      <w:r w:rsidR="001B06A1">
        <w:rPr>
          <w:rFonts w:cs="Times New Roman"/>
        </w:rPr>
        <w:t xml:space="preserve">  </w:t>
      </w:r>
      <w:r w:rsidR="00F74C5E">
        <w:rPr>
          <w:rFonts w:cs="Times New Roman"/>
        </w:rPr>
        <w:t>W</w:t>
      </w:r>
      <w:r w:rsidR="001B06A1">
        <w:rPr>
          <w:rFonts w:cs="Times New Roman"/>
        </w:rPr>
        <w:t>e’ll see if the agency sticks with this benchmark when it really matters—in rulemakings and adjudications to come.</w:t>
      </w:r>
    </w:p>
    <w:p w:rsidR="000E7EDD" w:rsidRDefault="000E7EDD" w:rsidP="000E7EDD">
      <w:pPr>
        <w:ind w:firstLine="720"/>
        <w:rPr>
          <w:rFonts w:cs="Times New Roman"/>
        </w:rPr>
      </w:pPr>
      <w:r>
        <w:rPr>
          <w:rFonts w:cs="Times New Roman"/>
        </w:rPr>
        <w:t>Instead of reciting a slew of facts to demonstrate why broadband clearly is being deployed to all Americans in a reasonable and timely fashion, I’ll stick with just two:  98.5% of Americans now live in areas covered by 4G LTE networks (</w:t>
      </w:r>
      <w:r w:rsidRPr="007D5512">
        <w:rPr>
          <w:rFonts w:cs="Times New Roman"/>
          <w:i/>
        </w:rPr>
        <w:t>i.e.</w:t>
      </w:r>
      <w:r>
        <w:rPr>
          <w:rFonts w:cs="Times New Roman"/>
        </w:rPr>
        <w:t>, networks capable of delivering 12 Mbps mobile Internet access).</w:t>
      </w:r>
      <w:r>
        <w:rPr>
          <w:rStyle w:val="FootnoteReference"/>
          <w:rFonts w:cs="Times New Roman"/>
        </w:rPr>
        <w:footnoteReference w:id="17"/>
      </w:r>
      <w:r>
        <w:rPr>
          <w:rFonts w:cs="Times New Roman"/>
        </w:rPr>
        <w:t xml:space="preserve">  That’s 97.99 million more Americans than just two years ago.</w:t>
      </w:r>
      <w:r>
        <w:rPr>
          <w:rStyle w:val="FootnoteReference"/>
          <w:rFonts w:cs="Times New Roman"/>
        </w:rPr>
        <w:footnoteReference w:id="18"/>
      </w:r>
      <w:r>
        <w:rPr>
          <w:rFonts w:cs="Times New Roman"/>
        </w:rPr>
        <w:t xml:space="preserve">  And that’s real, concrete progress towards universal—dare I say it—</w:t>
      </w:r>
      <w:r w:rsidRPr="00895B8A">
        <w:rPr>
          <w:rFonts w:cs="Times New Roman"/>
        </w:rPr>
        <w:t>broadband</w:t>
      </w:r>
      <w:r>
        <w:rPr>
          <w:rFonts w:cs="Times New Roman"/>
        </w:rPr>
        <w:t xml:space="preserve"> service.  Further, one can only smile at the irony of the Commission’s insistence in finding failure the </w:t>
      </w:r>
      <w:r w:rsidRPr="00895B8A">
        <w:rPr>
          <w:rFonts w:cs="Times New Roman"/>
          <w:i/>
        </w:rPr>
        <w:t xml:space="preserve">very same </w:t>
      </w:r>
      <w:r>
        <w:rPr>
          <w:rFonts w:cs="Times New Roman"/>
          <w:i/>
        </w:rPr>
        <w:t>month</w:t>
      </w:r>
      <w:r>
        <w:rPr>
          <w:rFonts w:cs="Times New Roman"/>
        </w:rPr>
        <w:t xml:space="preserve"> that Google announces expansion of the Google Fiber project to 18 new cities, companies like Dish introduce over-the-top video options that rely on broadband, and bids for AWS-3 mobile broadband spectrum approach $45 billion.  At some point, the agency has to take “yes” for an answer when it comes to broadband deployment.</w:t>
      </w:r>
    </w:p>
    <w:p w:rsidR="000E7EDD" w:rsidRDefault="000E7EDD" w:rsidP="000E7EDD">
      <w:pPr>
        <w:ind w:firstLine="720"/>
        <w:rPr>
          <w:rFonts w:cs="Times New Roman"/>
        </w:rPr>
      </w:pPr>
      <w:r>
        <w:rPr>
          <w:rFonts w:cs="Times New Roman"/>
        </w:rPr>
        <w:t>All of this ends with a Kafkaesque twist.  The statute that inspires this exercise in broadband reporting tells us to accelerate broadband deployment “by removing barriers to infrastructure investment.”</w:t>
      </w:r>
      <w:r>
        <w:rPr>
          <w:rStyle w:val="FootnoteReference"/>
          <w:rFonts w:cs="Times New Roman"/>
        </w:rPr>
        <w:footnoteReference w:id="19"/>
      </w:r>
      <w:r>
        <w:rPr>
          <w:rFonts w:cs="Times New Roman"/>
        </w:rPr>
        <w:t xml:space="preserve">  Yet the FCC appears dead set on doing precisely the opposite.  The report itself offers no plan of action.  And when you survey the Commission’s future agenda, barriers dot the horizon, from regulating the Internet like a public utility next month to slowing down the IP transition to micromanaging spectrum policy.  Each of these policies, and others, will reduce broadband investment, raise the cost of deployment, and deter competitive entry into the broadband market.  That’s not what the American consumer wants or deserves.</w:t>
      </w:r>
    </w:p>
    <w:p w:rsidR="000E7EDD" w:rsidRPr="00944EA9" w:rsidRDefault="000E7EDD" w:rsidP="000E7EDD">
      <w:pPr>
        <w:ind w:firstLine="720"/>
        <w:rPr>
          <w:rFonts w:cs="Times New Roman"/>
        </w:rPr>
      </w:pPr>
      <w:r>
        <w:rPr>
          <w:rFonts w:cs="Times New Roman"/>
        </w:rPr>
        <w:t>For all of these reasons, I dissent.</w:t>
      </w:r>
    </w:p>
    <w:sectPr w:rsidR="000E7EDD" w:rsidRPr="00944EA9"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F0A" w:rsidRDefault="00B76F0A" w:rsidP="00707EF7">
      <w:pPr>
        <w:spacing w:after="0"/>
      </w:pPr>
      <w:r>
        <w:separator/>
      </w:r>
    </w:p>
  </w:endnote>
  <w:endnote w:type="continuationSeparator" w:id="0">
    <w:p w:rsidR="00B76F0A" w:rsidRDefault="00B76F0A"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DA8" w:rsidRDefault="00394D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394DA8">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DA8" w:rsidRDefault="00394D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F0A" w:rsidRDefault="00B76F0A" w:rsidP="00707EF7">
      <w:pPr>
        <w:spacing w:after="0"/>
      </w:pPr>
      <w:r>
        <w:separator/>
      </w:r>
    </w:p>
  </w:footnote>
  <w:footnote w:type="continuationSeparator" w:id="0">
    <w:p w:rsidR="00B76F0A" w:rsidRDefault="00B76F0A" w:rsidP="00707EF7">
      <w:pPr>
        <w:spacing w:after="0"/>
      </w:pPr>
      <w:r>
        <w:continuationSeparator/>
      </w:r>
    </w:p>
  </w:footnote>
  <w:footnote w:id="1">
    <w:p w:rsidR="000E7EDD" w:rsidRDefault="000E7EDD" w:rsidP="000E7EDD">
      <w:pPr>
        <w:pStyle w:val="FootnoteText"/>
      </w:pPr>
      <w:r>
        <w:rPr>
          <w:rStyle w:val="FootnoteReference"/>
        </w:rPr>
        <w:footnoteRef/>
      </w:r>
      <w:r>
        <w:t xml:space="preserve"> </w:t>
      </w:r>
      <w:r>
        <w:rPr>
          <w:rFonts w:cs="Times New Roman"/>
        </w:rPr>
        <w:t xml:space="preserve">Lewis Carroll, </w:t>
      </w:r>
      <w:r w:rsidRPr="00AE6FB4">
        <w:rPr>
          <w:rFonts w:cs="Times New Roman"/>
          <w:i/>
        </w:rPr>
        <w:t>Through the Looking-Glass</w:t>
      </w:r>
      <w:r w:rsidRPr="00AE6FB4">
        <w:rPr>
          <w:rFonts w:cs="Times New Roman"/>
        </w:rPr>
        <w:t xml:space="preserve"> 94 (Random House ed., 1946)</w:t>
      </w:r>
      <w:r>
        <w:rPr>
          <w:rFonts w:cs="Times New Roman"/>
        </w:rPr>
        <w:t>.</w:t>
      </w:r>
    </w:p>
  </w:footnote>
  <w:footnote w:id="2">
    <w:p w:rsidR="000E7EDD" w:rsidRPr="008F6DDB" w:rsidRDefault="000E7EDD" w:rsidP="000E7EDD">
      <w:pPr>
        <w:pStyle w:val="FootnoteText"/>
      </w:pPr>
      <w:r>
        <w:rPr>
          <w:rStyle w:val="FootnoteReference"/>
        </w:rPr>
        <w:footnoteRef/>
      </w:r>
      <w:r>
        <w:t xml:space="preserve"> </w:t>
      </w:r>
      <w:r>
        <w:rPr>
          <w:i/>
        </w:rPr>
        <w:t>See</w:t>
      </w:r>
      <w:r>
        <w:t xml:space="preserve"> </w:t>
      </w:r>
      <w:r>
        <w:rPr>
          <w:i/>
        </w:rPr>
        <w:t>Report</w:t>
      </w:r>
      <w:r>
        <w:t xml:space="preserve"> at Table 3 &amp; Chart 1.</w:t>
      </w:r>
    </w:p>
  </w:footnote>
  <w:footnote w:id="3">
    <w:p w:rsidR="000E7EDD" w:rsidRDefault="000E7EDD" w:rsidP="000E7EDD">
      <w:pPr>
        <w:pStyle w:val="FootnoteText"/>
      </w:pPr>
      <w:r>
        <w:rPr>
          <w:rStyle w:val="FootnoteReference"/>
        </w:rPr>
        <w:footnoteRef/>
      </w:r>
      <w:r>
        <w:t xml:space="preserve"> FCC, Internet Access Services: Status as of December 31, 2013 at 4 (Oct. 2014) (reporting the number of 10 Mbps mobile connections), </w:t>
      </w:r>
      <w:r>
        <w:rPr>
          <w:i/>
        </w:rPr>
        <w:t>available at</w:t>
      </w:r>
      <w:r>
        <w:t xml:space="preserve"> </w:t>
      </w:r>
      <w:r w:rsidRPr="002F2537">
        <w:t>http://go.usa.gov/SwPd</w:t>
      </w:r>
      <w:r>
        <w:t>.</w:t>
      </w:r>
    </w:p>
  </w:footnote>
  <w:footnote w:id="4">
    <w:p w:rsidR="000E7EDD" w:rsidRDefault="000E7EDD" w:rsidP="000E7EDD">
      <w:pPr>
        <w:pStyle w:val="FootnoteText"/>
      </w:pPr>
      <w:r>
        <w:rPr>
          <w:rStyle w:val="FootnoteReference"/>
        </w:rPr>
        <w:footnoteRef/>
      </w:r>
      <w:r>
        <w:t xml:space="preserve"> </w:t>
      </w:r>
      <w:r w:rsidRPr="00C75028">
        <w:rPr>
          <w:i/>
        </w:rPr>
        <w:t>Connect America Fund; ETC Annual Reports and Certifications; Petition of USTelecom for Forbearance Pursuant to 47 U.S.C. § 160(c) from Obsolete ILEC Regulatory Obligations that Inhibit Deployment of Next-Generation Networks</w:t>
      </w:r>
      <w:r>
        <w:t>, WC Docket Nos. 10-90, 14-58, 14-192, Report and Order, FCC 14-190, paras. 15–16 (rel. Dec. 18, 2014) (</w:t>
      </w:r>
      <w:r>
        <w:rPr>
          <w:i/>
        </w:rPr>
        <w:t>CAF Phase II Order</w:t>
      </w:r>
      <w:r>
        <w:t xml:space="preserve">) (emphasis added); 47 U.S.C. </w:t>
      </w:r>
      <w:r>
        <w:rPr>
          <w:rFonts w:cs="Times New Roman"/>
        </w:rPr>
        <w:t>§</w:t>
      </w:r>
      <w:r>
        <w:t> 254(b)(2).</w:t>
      </w:r>
    </w:p>
  </w:footnote>
  <w:footnote w:id="5">
    <w:p w:rsidR="000E7EDD" w:rsidRPr="00944EA9" w:rsidRDefault="000E7EDD" w:rsidP="000E7EDD">
      <w:pPr>
        <w:pStyle w:val="FootnoteText"/>
      </w:pPr>
      <w:r>
        <w:rPr>
          <w:rStyle w:val="FootnoteReference"/>
        </w:rPr>
        <w:footnoteRef/>
      </w:r>
      <w:r>
        <w:t xml:space="preserve"> </w:t>
      </w:r>
      <w:r>
        <w:rPr>
          <w:i/>
        </w:rPr>
        <w:t>Tenth Broadband Deployment NOI</w:t>
      </w:r>
      <w:r>
        <w:t>, 29 FCC Rcd at 9751, para. 7.</w:t>
      </w:r>
    </w:p>
  </w:footnote>
  <w:footnote w:id="6">
    <w:p w:rsidR="000E7EDD" w:rsidRPr="009A5E32" w:rsidRDefault="000E7EDD" w:rsidP="000E7EDD">
      <w:pPr>
        <w:pStyle w:val="FootnoteText"/>
      </w:pPr>
      <w:r>
        <w:rPr>
          <w:rStyle w:val="FootnoteReference"/>
        </w:rPr>
        <w:footnoteRef/>
      </w:r>
      <w:r>
        <w:t xml:space="preserve"> </w:t>
      </w:r>
      <w:r>
        <w:rPr>
          <w:i/>
        </w:rPr>
        <w:t>Report</w:t>
      </w:r>
      <w:r>
        <w:t xml:space="preserve"> at paras. 28, 53.</w:t>
      </w:r>
    </w:p>
  </w:footnote>
  <w:footnote w:id="7">
    <w:p w:rsidR="000E7EDD" w:rsidRPr="009A5E32" w:rsidRDefault="000E7EDD" w:rsidP="000E7EDD">
      <w:pPr>
        <w:pStyle w:val="FootnoteText"/>
      </w:pPr>
      <w:r>
        <w:rPr>
          <w:rStyle w:val="FootnoteReference"/>
        </w:rPr>
        <w:footnoteRef/>
      </w:r>
      <w:r>
        <w:t xml:space="preserve"> </w:t>
      </w:r>
      <w:r>
        <w:rPr>
          <w:i/>
        </w:rPr>
        <w:t>Report</w:t>
      </w:r>
      <w:r>
        <w:t xml:space="preserve"> at Table 1 &amp; paras. 46, 47.</w:t>
      </w:r>
    </w:p>
  </w:footnote>
  <w:footnote w:id="8">
    <w:p w:rsidR="000E7EDD" w:rsidRPr="00AC2A01" w:rsidRDefault="000E7EDD" w:rsidP="000E7EDD">
      <w:pPr>
        <w:pStyle w:val="FootnoteText"/>
      </w:pPr>
      <w:r>
        <w:rPr>
          <w:rStyle w:val="FootnoteReference"/>
        </w:rPr>
        <w:footnoteRef/>
      </w:r>
      <w:r>
        <w:t xml:space="preserve"> </w:t>
      </w:r>
      <w:r>
        <w:rPr>
          <w:i/>
        </w:rPr>
        <w:t>Report</w:t>
      </w:r>
      <w:r>
        <w:t xml:space="preserve"> at paras. 3, 23, 47, 48, 49, 53, 53, 54, 140.</w:t>
      </w:r>
    </w:p>
  </w:footnote>
  <w:footnote w:id="9">
    <w:p w:rsidR="000E7EDD" w:rsidRPr="007C1D56" w:rsidRDefault="000E7EDD" w:rsidP="000E7EDD">
      <w:pPr>
        <w:pStyle w:val="FootnoteText"/>
      </w:pPr>
      <w:r>
        <w:rPr>
          <w:rStyle w:val="FootnoteReference"/>
        </w:rPr>
        <w:footnoteRef/>
      </w:r>
      <w:r>
        <w:t xml:space="preserve"> </w:t>
      </w:r>
      <w:r>
        <w:rPr>
          <w:i/>
        </w:rPr>
        <w:t>CAF Phase II Order</w:t>
      </w:r>
      <w:r>
        <w:t>, FCC 14-190, at para. 17.</w:t>
      </w:r>
    </w:p>
  </w:footnote>
  <w:footnote w:id="10">
    <w:p w:rsidR="000E7EDD" w:rsidRDefault="000E7EDD" w:rsidP="000E7EDD">
      <w:pPr>
        <w:pStyle w:val="FootnoteText"/>
      </w:pPr>
      <w:r>
        <w:rPr>
          <w:rStyle w:val="FootnoteReference"/>
        </w:rPr>
        <w:footnoteRef/>
      </w:r>
      <w:r>
        <w:t xml:space="preserve"> </w:t>
      </w:r>
      <w:r w:rsidRPr="00F9467B">
        <w:rPr>
          <w:rFonts w:cs="Times New Roman"/>
          <w:i/>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rPr>
          <w:rFonts w:cs="Times New Roman"/>
        </w:rPr>
        <w:t>, GN Docket No. 14-126, Tenth Broadband Progress Notice of Inquiry, 29 FCC Rcd 9747, 9754</w:t>
      </w:r>
      <w:r w:rsidRPr="00AB5112">
        <w:rPr>
          <w:rFonts w:cs="Times New Roman"/>
        </w:rPr>
        <w:t>,</w:t>
      </w:r>
      <w:r>
        <w:rPr>
          <w:rFonts w:cs="Times New Roman"/>
        </w:rPr>
        <w:t xml:space="preserve"> Table 2</w:t>
      </w:r>
      <w:r w:rsidRPr="00AB5112">
        <w:rPr>
          <w:rFonts w:cs="Times New Roman"/>
        </w:rPr>
        <w:t xml:space="preserve"> (2014)</w:t>
      </w:r>
      <w:r>
        <w:rPr>
          <w:rFonts w:cs="Times New Roman"/>
        </w:rPr>
        <w:t xml:space="preserve"> (</w:t>
      </w:r>
      <w:r w:rsidRPr="00944EA9">
        <w:rPr>
          <w:rFonts w:cs="Times New Roman"/>
          <w:i/>
        </w:rPr>
        <w:t>Tenth Broadband Deployment NOI</w:t>
      </w:r>
      <w:r>
        <w:rPr>
          <w:rFonts w:cs="Times New Roman"/>
        </w:rPr>
        <w:t>)</w:t>
      </w:r>
      <w:r w:rsidRPr="00AB5112">
        <w:rPr>
          <w:rFonts w:cs="Times New Roman"/>
        </w:rPr>
        <w:t>.</w:t>
      </w:r>
    </w:p>
  </w:footnote>
  <w:footnote w:id="11">
    <w:p w:rsidR="000E7EDD" w:rsidRPr="00B7288F" w:rsidRDefault="000E7EDD" w:rsidP="000E7EDD">
      <w:pPr>
        <w:pStyle w:val="FootnoteText"/>
      </w:pPr>
      <w:r>
        <w:rPr>
          <w:rStyle w:val="FootnoteReference"/>
        </w:rPr>
        <w:footnoteRef/>
      </w:r>
      <w:r>
        <w:t xml:space="preserve"> Netflix, USA ISP Speed Index Dec. 2014, </w:t>
      </w:r>
      <w:r w:rsidRPr="00035E8D">
        <w:t>http://ispspeedindex.netflix.com/usa</w:t>
      </w:r>
      <w:r>
        <w:t xml:space="preserve"> (last visited Jan. 28, 2015) (reporting speed for Charter).  The fastest reported speed was only 3.36 Mbps.  </w:t>
      </w:r>
      <w:r>
        <w:rPr>
          <w:i/>
        </w:rPr>
        <w:t>Id.</w:t>
      </w:r>
      <w:r>
        <w:t xml:space="preserve"> (reporting speed for Verizon FiOS).</w:t>
      </w:r>
    </w:p>
  </w:footnote>
  <w:footnote w:id="12">
    <w:p w:rsidR="000E7EDD" w:rsidRPr="009A5E32" w:rsidRDefault="000E7EDD" w:rsidP="000E7EDD">
      <w:pPr>
        <w:pStyle w:val="FootnoteText"/>
      </w:pPr>
      <w:r>
        <w:rPr>
          <w:rStyle w:val="FootnoteReference"/>
        </w:rPr>
        <w:footnoteRef/>
      </w:r>
      <w:r>
        <w:t xml:space="preserve"> Given these facts and our prior findings, I find it puzzling that the report blithely asserts that a 10 Mbps connection is insufficient for members of a household to simultaneously “[p]articipate in an online class, download files, and stream a movie” or “[v]iew 2 HD videos.”  </w:t>
      </w:r>
      <w:r>
        <w:rPr>
          <w:i/>
        </w:rPr>
        <w:t>Report</w:t>
      </w:r>
      <w:r>
        <w:t xml:space="preserve"> at Table 1.</w:t>
      </w:r>
    </w:p>
  </w:footnote>
  <w:footnote w:id="13">
    <w:p w:rsidR="000E7EDD" w:rsidRDefault="000E7EDD" w:rsidP="000E7EDD">
      <w:pPr>
        <w:pStyle w:val="FootnoteText"/>
      </w:pPr>
      <w:r>
        <w:rPr>
          <w:rStyle w:val="FootnoteReference"/>
        </w:rPr>
        <w:footnoteRef/>
      </w:r>
      <w:r>
        <w:t xml:space="preserve"> </w:t>
      </w:r>
      <w:r w:rsidRPr="00C35D65">
        <w:rPr>
          <w:rFonts w:cs="Times New Roman"/>
        </w:rPr>
        <w:t>47 U.S.C. § 1302 (codifying the Telecommunications Act of 1996, Pub. L. No. 104-104, § 706, 110 Stat. 153 (as amended)).</w:t>
      </w:r>
    </w:p>
  </w:footnote>
  <w:footnote w:id="14">
    <w:p w:rsidR="000E7EDD" w:rsidRDefault="000E7EDD" w:rsidP="000E7EDD">
      <w:pPr>
        <w:pStyle w:val="FootnoteText"/>
      </w:pPr>
      <w:r>
        <w:rPr>
          <w:rStyle w:val="FootnoteReference"/>
        </w:rPr>
        <w:footnoteRef/>
      </w:r>
      <w:r>
        <w:t xml:space="preserve"> </w:t>
      </w:r>
      <w:r w:rsidRPr="008E7737">
        <w:rPr>
          <w:i/>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t xml:space="preserve">, GN Docket No. 11-121, </w:t>
      </w:r>
      <w:r w:rsidRPr="00FA089B">
        <w:t>27 FCC Rcd 10342</w:t>
      </w:r>
      <w:r>
        <w:t xml:space="preserve">, 10518–21 (2012) (Dissenting Statement of Commissioner Ajit Pai) (explaining the switch in 2010 and why the new test cannot be reconciled with the statutory language), </w:t>
      </w:r>
      <w:r w:rsidRPr="007B2DAA">
        <w:rPr>
          <w:i/>
        </w:rPr>
        <w:t>available at</w:t>
      </w:r>
      <w:r>
        <w:t xml:space="preserve"> </w:t>
      </w:r>
      <w:r w:rsidRPr="0095660C">
        <w:t>http://go.usa.gov/Sm6A</w:t>
      </w:r>
      <w:r>
        <w:t>.</w:t>
      </w:r>
    </w:p>
  </w:footnote>
  <w:footnote w:id="15">
    <w:p w:rsidR="000E7EDD" w:rsidRPr="008E7737" w:rsidRDefault="000E7EDD" w:rsidP="000E7EDD">
      <w:pPr>
        <w:pStyle w:val="FootnoteText"/>
      </w:pPr>
      <w:r>
        <w:rPr>
          <w:rStyle w:val="FootnoteReference"/>
        </w:rPr>
        <w:footnoteRef/>
      </w:r>
      <w:r>
        <w:t xml:space="preserve"> </w:t>
      </w:r>
      <w:r>
        <w:rPr>
          <w:i/>
        </w:rPr>
        <w:t>Report</w:t>
      </w:r>
      <w:r>
        <w:t xml:space="preserve"> at paras. 74–76 (repeating the refrain that mobile and satellite data will be excluded because they “may overstate actual deployment”).</w:t>
      </w:r>
    </w:p>
  </w:footnote>
  <w:footnote w:id="16">
    <w:p w:rsidR="000E7EDD" w:rsidRPr="00B865C9" w:rsidRDefault="000E7EDD" w:rsidP="000E7EDD">
      <w:pPr>
        <w:pStyle w:val="FootnoteText"/>
      </w:pPr>
      <w:r>
        <w:rPr>
          <w:rStyle w:val="FootnoteReference"/>
        </w:rPr>
        <w:footnoteRef/>
      </w:r>
      <w:r>
        <w:t xml:space="preserve"> The benchmark before today was 4 Mbps.  </w:t>
      </w:r>
      <w:r>
        <w:rPr>
          <w:i/>
        </w:rPr>
        <w:t>See</w:t>
      </w:r>
      <w:r>
        <w:t xml:space="preserve"> </w:t>
      </w:r>
      <w:r>
        <w:rPr>
          <w:i/>
        </w:rPr>
        <w:t>Report</w:t>
      </w:r>
      <w:r>
        <w:t xml:space="preserve"> at para. 3.</w:t>
      </w:r>
    </w:p>
  </w:footnote>
  <w:footnote w:id="17">
    <w:p w:rsidR="000E7EDD" w:rsidRPr="001726D7" w:rsidRDefault="000E7EDD" w:rsidP="000E7EDD">
      <w:pPr>
        <w:pStyle w:val="FootnoteText"/>
      </w:pPr>
      <w:r>
        <w:rPr>
          <w:rStyle w:val="FootnoteReference"/>
        </w:rPr>
        <w:footnoteRef/>
      </w:r>
      <w:r>
        <w:t xml:space="preserve"> </w:t>
      </w:r>
      <w:r>
        <w:rPr>
          <w:i/>
        </w:rPr>
        <w:t>Report</w:t>
      </w:r>
      <w:r>
        <w:t xml:space="preserve"> at para. 109.</w:t>
      </w:r>
    </w:p>
  </w:footnote>
  <w:footnote w:id="18">
    <w:p w:rsidR="000E7EDD" w:rsidRPr="001726D7" w:rsidRDefault="000E7EDD" w:rsidP="000E7EDD">
      <w:pPr>
        <w:pStyle w:val="FootnoteText"/>
      </w:pPr>
      <w:r>
        <w:rPr>
          <w:rStyle w:val="FootnoteReference"/>
        </w:rPr>
        <w:footnoteRef/>
      </w:r>
      <w:r>
        <w:t xml:space="preserve"> </w:t>
      </w:r>
      <w:r>
        <w:rPr>
          <w:i/>
        </w:rPr>
        <w:t>Cf.</w:t>
      </w:r>
      <w:r>
        <w:t xml:space="preserve"> </w:t>
      </w:r>
      <w:r>
        <w:rPr>
          <w:i/>
        </w:rPr>
        <w:t>Report</w:t>
      </w:r>
      <w:r>
        <w:t xml:space="preserve"> at para. 109.</w:t>
      </w:r>
    </w:p>
  </w:footnote>
  <w:footnote w:id="19">
    <w:p w:rsidR="000E7EDD" w:rsidRPr="003227F0" w:rsidRDefault="000E7EDD" w:rsidP="000E7EDD">
      <w:pPr>
        <w:pStyle w:val="FootnoteText"/>
      </w:pPr>
      <w:r>
        <w:rPr>
          <w:rStyle w:val="FootnoteReference"/>
        </w:rPr>
        <w:footnoteRef/>
      </w:r>
      <w:r>
        <w:t xml:space="preserve"> </w:t>
      </w:r>
      <w:r>
        <w:rPr>
          <w:i/>
        </w:rPr>
        <w:t>See</w:t>
      </w:r>
      <w:r>
        <w:t xml:space="preserve"> </w:t>
      </w:r>
      <w:r w:rsidRPr="00C35D65">
        <w:rPr>
          <w:rFonts w:cs="Times New Roman"/>
        </w:rPr>
        <w:t>47 U.S.C. § 1302</w:t>
      </w:r>
      <w:r>
        <w:rPr>
          <w:rFonts w:cs="Times New Roman"/>
        </w:rPr>
        <w:t xml:space="preserve"> (“</w:t>
      </w:r>
      <w:r w:rsidRPr="003227F0">
        <w:rPr>
          <w:rFonts w:cs="Times New Roman"/>
        </w:rPr>
        <w:t>If the Commission’s determination is negative, it shall take immediate action to accelerate deployment of such capability by removing barriers to infrastructure investment and by promoting competition in the telecommunications market.</w:t>
      </w:r>
      <w:r>
        <w:rPr>
          <w:rFonts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DA8" w:rsidRDefault="00394D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DA8" w:rsidRDefault="00394D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DA8" w:rsidRDefault="00394D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0E7EDD"/>
    <w:rsid w:val="001B06A1"/>
    <w:rsid w:val="00234381"/>
    <w:rsid w:val="002D268A"/>
    <w:rsid w:val="00394DA8"/>
    <w:rsid w:val="003B397B"/>
    <w:rsid w:val="004000BC"/>
    <w:rsid w:val="00443721"/>
    <w:rsid w:val="004B204E"/>
    <w:rsid w:val="00707EF7"/>
    <w:rsid w:val="0083284A"/>
    <w:rsid w:val="00855A8C"/>
    <w:rsid w:val="008E1764"/>
    <w:rsid w:val="00920FE9"/>
    <w:rsid w:val="00A53637"/>
    <w:rsid w:val="00B76F0A"/>
    <w:rsid w:val="00BA6AAD"/>
    <w:rsid w:val="00DC27D0"/>
    <w:rsid w:val="00F74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unhideWhenUsed/>
    <w:rsid w:val="000E7EDD"/>
    <w:rPr>
      <w:sz w:val="20"/>
      <w:szCs w:val="20"/>
    </w:rPr>
  </w:style>
  <w:style w:type="character" w:customStyle="1" w:styleId="FootnoteTextChar">
    <w:name w:val="Footnote Text Char"/>
    <w:basedOn w:val="DefaultParagraphFont"/>
    <w:link w:val="FootnoteText"/>
    <w:uiPriority w:val="99"/>
    <w:rsid w:val="000E7EDD"/>
    <w:rPr>
      <w:rFonts w:ascii="Times New Roman" w:hAnsi="Times New Roman"/>
      <w:sz w:val="20"/>
      <w:szCs w:val="20"/>
    </w:rPr>
  </w:style>
  <w:style w:type="character" w:styleId="FootnoteReference">
    <w:name w:val="footnote reference"/>
    <w:basedOn w:val="DefaultParagraphFont"/>
    <w:uiPriority w:val="99"/>
    <w:unhideWhenUsed/>
    <w:rsid w:val="000E7ED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unhideWhenUsed/>
    <w:rsid w:val="000E7EDD"/>
    <w:rPr>
      <w:sz w:val="20"/>
      <w:szCs w:val="20"/>
    </w:rPr>
  </w:style>
  <w:style w:type="character" w:customStyle="1" w:styleId="FootnoteTextChar">
    <w:name w:val="Footnote Text Char"/>
    <w:basedOn w:val="DefaultParagraphFont"/>
    <w:link w:val="FootnoteText"/>
    <w:uiPriority w:val="99"/>
    <w:rsid w:val="000E7EDD"/>
    <w:rPr>
      <w:rFonts w:ascii="Times New Roman" w:hAnsi="Times New Roman"/>
      <w:sz w:val="20"/>
      <w:szCs w:val="20"/>
    </w:rPr>
  </w:style>
  <w:style w:type="character" w:styleId="FootnoteReference">
    <w:name w:val="footnote reference"/>
    <w:basedOn w:val="DefaultParagraphFont"/>
    <w:uiPriority w:val="99"/>
    <w:unhideWhenUsed/>
    <w:rsid w:val="000E7E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959</Words>
  <Characters>5021</Characters>
  <Application>Microsoft Office Word</Application>
  <DocSecurity>0</DocSecurity>
  <Lines>68</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5998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2015-01-29T21:41:00Z</dcterms:created>
  <dcterms:modified xsi:type="dcterms:W3CDTF">2015-01-29T21:41:00Z</dcterms:modified>
  <cp:category> </cp:category>
  <cp:contentStatus> </cp:contentStatus>
</cp:coreProperties>
</file>