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9363" w14:textId="77777777" w:rsidR="00981120" w:rsidRPr="003E28D8" w:rsidRDefault="00981120" w:rsidP="00981120">
      <w:pPr>
        <w:tabs>
          <w:tab w:val="left" w:pos="6480"/>
        </w:tabs>
        <w:rPr>
          <w:sz w:val="22"/>
          <w:szCs w:val="22"/>
        </w:rPr>
      </w:pPr>
      <w:bookmarkStart w:id="0" w:name="_GoBack"/>
      <w:bookmarkEnd w:id="0"/>
      <w:r w:rsidRPr="003E28D8">
        <w:rPr>
          <w:b/>
          <w:sz w:val="22"/>
          <w:szCs w:val="22"/>
        </w:rPr>
        <w:t>FOR IMMEDIATE RELEASE</w:t>
      </w:r>
      <w:r w:rsidRPr="003E28D8">
        <w:rPr>
          <w:b/>
          <w:sz w:val="22"/>
          <w:szCs w:val="22"/>
        </w:rPr>
        <w:tab/>
        <w:t>CONTACT</w:t>
      </w:r>
      <w:r w:rsidRPr="003E28D8">
        <w:rPr>
          <w:sz w:val="22"/>
          <w:szCs w:val="22"/>
        </w:rPr>
        <w:t>:</w:t>
      </w:r>
    </w:p>
    <w:p w14:paraId="51F90DF6" w14:textId="77777777" w:rsidR="00981120" w:rsidRPr="003E28D8" w:rsidRDefault="00981120" w:rsidP="00981120">
      <w:pPr>
        <w:tabs>
          <w:tab w:val="left" w:pos="6480"/>
        </w:tabs>
        <w:rPr>
          <w:sz w:val="22"/>
          <w:szCs w:val="22"/>
        </w:rPr>
      </w:pPr>
      <w:r w:rsidRPr="003E28D8">
        <w:rPr>
          <w:sz w:val="22"/>
          <w:szCs w:val="22"/>
        </w:rPr>
        <w:t xml:space="preserve">February </w:t>
      </w:r>
      <w:r>
        <w:rPr>
          <w:sz w:val="22"/>
          <w:szCs w:val="22"/>
        </w:rPr>
        <w:t>12</w:t>
      </w:r>
      <w:r w:rsidRPr="003E28D8">
        <w:rPr>
          <w:sz w:val="22"/>
          <w:szCs w:val="22"/>
        </w:rPr>
        <w:t>, 2015</w:t>
      </w:r>
      <w:r w:rsidRPr="003E28D8">
        <w:rPr>
          <w:sz w:val="22"/>
          <w:szCs w:val="22"/>
        </w:rPr>
        <w:tab/>
        <w:t>Matthew Berry (202) 418-2005</w:t>
      </w:r>
    </w:p>
    <w:p w14:paraId="5A997DC4" w14:textId="77777777" w:rsidR="00981120" w:rsidRPr="003E28D8" w:rsidRDefault="00981120" w:rsidP="00981120">
      <w:pPr>
        <w:tabs>
          <w:tab w:val="left" w:pos="6480"/>
        </w:tabs>
        <w:rPr>
          <w:sz w:val="22"/>
          <w:szCs w:val="22"/>
        </w:rPr>
      </w:pPr>
      <w:r w:rsidRPr="003E28D8">
        <w:rPr>
          <w:sz w:val="22"/>
          <w:szCs w:val="22"/>
        </w:rPr>
        <w:tab/>
        <w:t xml:space="preserve">Email: </w:t>
      </w:r>
      <w:r w:rsidRPr="00774D46">
        <w:rPr>
          <w:sz w:val="22"/>
          <w:szCs w:val="22"/>
        </w:rPr>
        <w:t>Matthew.Berry@fcc.gov</w:t>
      </w:r>
    </w:p>
    <w:p w14:paraId="4D7ABB84" w14:textId="77777777" w:rsidR="00981120" w:rsidRPr="003E28D8" w:rsidRDefault="00981120" w:rsidP="00981120">
      <w:pPr>
        <w:rPr>
          <w:sz w:val="22"/>
          <w:szCs w:val="22"/>
        </w:rPr>
      </w:pPr>
    </w:p>
    <w:p w14:paraId="7878A5B2" w14:textId="547CB212" w:rsidR="00981120" w:rsidRDefault="00981120" w:rsidP="00981120">
      <w:pPr>
        <w:spacing w:after="240"/>
        <w:jc w:val="center"/>
        <w:rPr>
          <w:b/>
          <w:sz w:val="22"/>
          <w:szCs w:val="22"/>
        </w:rPr>
      </w:pPr>
      <w:r w:rsidRPr="003E28D8">
        <w:rPr>
          <w:b/>
          <w:sz w:val="22"/>
          <w:szCs w:val="22"/>
        </w:rPr>
        <w:t>STATEMENT OF FCC COMMISSIONER AJIT PAI</w:t>
      </w:r>
      <w:r w:rsidRPr="003E28D8">
        <w:rPr>
          <w:b/>
          <w:sz w:val="22"/>
          <w:szCs w:val="22"/>
        </w:rPr>
        <w:br/>
        <w:t xml:space="preserve">ON </w:t>
      </w:r>
      <w:r w:rsidR="009D39A1">
        <w:rPr>
          <w:b/>
          <w:sz w:val="22"/>
          <w:szCs w:val="22"/>
        </w:rPr>
        <w:t>THE LATEST</w:t>
      </w:r>
      <w:r>
        <w:rPr>
          <w:b/>
          <w:sz w:val="22"/>
          <w:szCs w:val="22"/>
        </w:rPr>
        <w:t xml:space="preserve"> EVIDENCE THAT REGULATING THE INTERNET</w:t>
      </w:r>
      <w:r>
        <w:rPr>
          <w:b/>
          <w:sz w:val="22"/>
          <w:szCs w:val="22"/>
        </w:rPr>
        <w:br/>
        <w:t>WILL REDUCE BROADBAND DEPLOYMENT AND COMPETITION</w:t>
      </w:r>
    </w:p>
    <w:p w14:paraId="47798956" w14:textId="646EED6E" w:rsidR="00981120" w:rsidRDefault="00981120" w:rsidP="00981120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recent days, we have seen even more evidence that President Obama’s 332-page plan to regulate the Internet will deter broadband deployment, depress infrastructure investment, and diminish broadband speeds in the United States.  </w:t>
      </w:r>
      <w:r w:rsidR="009D39A1">
        <w:rPr>
          <w:sz w:val="22"/>
          <w:szCs w:val="22"/>
        </w:rPr>
        <w:t>This evidence</w:t>
      </w:r>
      <w:r>
        <w:rPr>
          <w:sz w:val="22"/>
          <w:szCs w:val="22"/>
        </w:rPr>
        <w:t xml:space="preserve"> also shows that the President’s plan will lead to less competition and leave Americans with fewer broadband choices.</w:t>
      </w:r>
    </w:p>
    <w:p w14:paraId="1C9682D5" w14:textId="77777777" w:rsidR="00981120" w:rsidRDefault="00981120" w:rsidP="00981120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An independent research study released this morning by the Internet Innovation Alliance shows that the bipartisan, light-touch American regulatory model embraced since the Clinton Administration has been far more successful than the Title II-style approach imposed in Europe.  For example:</w:t>
      </w:r>
    </w:p>
    <w:p w14:paraId="5525F002" w14:textId="77777777" w:rsidR="00981120" w:rsidRDefault="00981120" w:rsidP="00981120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In 2011 and 2012, fixed broadband providers in the United States invested </w:t>
      </w:r>
      <w:r w:rsidRPr="000C7CDE">
        <w:rPr>
          <w:b/>
          <w:sz w:val="22"/>
          <w:szCs w:val="22"/>
        </w:rPr>
        <w:t>$137 billion</w:t>
      </w:r>
      <w:r>
        <w:rPr>
          <w:sz w:val="22"/>
          <w:szCs w:val="22"/>
        </w:rPr>
        <w:t xml:space="preserve"> into building and expanding their networks.  During those same two years, fixed broadband providers in Europe only invested </w:t>
      </w:r>
      <w:r w:rsidRPr="000C7CDE">
        <w:rPr>
          <w:b/>
          <w:sz w:val="22"/>
          <w:szCs w:val="22"/>
        </w:rPr>
        <w:t>$31 billion</w:t>
      </w:r>
      <w:r>
        <w:rPr>
          <w:sz w:val="22"/>
          <w:szCs w:val="22"/>
        </w:rPr>
        <w:t>.</w:t>
      </w:r>
    </w:p>
    <w:p w14:paraId="2B755345" w14:textId="03DDBB20" w:rsidR="00981120" w:rsidRPr="00B96EBE" w:rsidRDefault="00981120" w:rsidP="00981120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EC49EA">
        <w:rPr>
          <w:sz w:val="22"/>
          <w:szCs w:val="22"/>
        </w:rPr>
        <w:t xml:space="preserve">In 2011 and 2012, </w:t>
      </w:r>
      <w:r>
        <w:rPr>
          <w:sz w:val="22"/>
          <w:szCs w:val="22"/>
        </w:rPr>
        <w:t>mobile</w:t>
      </w:r>
      <w:r w:rsidRPr="00EC49EA">
        <w:rPr>
          <w:sz w:val="22"/>
          <w:szCs w:val="22"/>
        </w:rPr>
        <w:t xml:space="preserve"> broadband providers in the United States invested </w:t>
      </w:r>
      <w:r w:rsidRPr="000C7CDE">
        <w:rPr>
          <w:b/>
          <w:sz w:val="22"/>
          <w:szCs w:val="22"/>
        </w:rPr>
        <w:t>$55 billion</w:t>
      </w:r>
      <w:r w:rsidRPr="00EC49EA">
        <w:rPr>
          <w:sz w:val="22"/>
          <w:szCs w:val="22"/>
        </w:rPr>
        <w:t xml:space="preserve"> into </w:t>
      </w:r>
      <w:r>
        <w:rPr>
          <w:sz w:val="22"/>
          <w:szCs w:val="22"/>
        </w:rPr>
        <w:t xml:space="preserve">upgrading </w:t>
      </w:r>
      <w:r w:rsidRPr="00EC49EA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wireless </w:t>
      </w:r>
      <w:r w:rsidRPr="00EC49EA">
        <w:rPr>
          <w:sz w:val="22"/>
          <w:szCs w:val="22"/>
        </w:rPr>
        <w:t xml:space="preserve">networks.  During those same two years, </w:t>
      </w:r>
      <w:r w:rsidR="00082F6E">
        <w:rPr>
          <w:sz w:val="22"/>
          <w:szCs w:val="22"/>
        </w:rPr>
        <w:t>mobile</w:t>
      </w:r>
      <w:r w:rsidRPr="00EC49EA">
        <w:rPr>
          <w:sz w:val="22"/>
          <w:szCs w:val="22"/>
        </w:rPr>
        <w:t xml:space="preserve"> broadband providers </w:t>
      </w:r>
      <w:r w:rsidRPr="00B96EBE">
        <w:rPr>
          <w:sz w:val="22"/>
          <w:szCs w:val="22"/>
        </w:rPr>
        <w:t xml:space="preserve">in Europe only invested </w:t>
      </w:r>
      <w:r w:rsidRPr="00B96EBE">
        <w:rPr>
          <w:b/>
          <w:sz w:val="22"/>
          <w:szCs w:val="22"/>
        </w:rPr>
        <w:t>$29 billion</w:t>
      </w:r>
      <w:r w:rsidRPr="00B96EBE">
        <w:rPr>
          <w:sz w:val="22"/>
          <w:szCs w:val="22"/>
        </w:rPr>
        <w:t>.</w:t>
      </w:r>
    </w:p>
    <w:p w14:paraId="4F08500A" w14:textId="77777777" w:rsidR="00981120" w:rsidRPr="00B96EBE" w:rsidRDefault="00981120" w:rsidP="00981120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B96EBE">
        <w:rPr>
          <w:sz w:val="22"/>
          <w:szCs w:val="22"/>
        </w:rPr>
        <w:t xml:space="preserve">In the United States, </w:t>
      </w:r>
      <w:r w:rsidRPr="00883A3F">
        <w:rPr>
          <w:b/>
          <w:sz w:val="22"/>
          <w:szCs w:val="22"/>
        </w:rPr>
        <w:t>76%</w:t>
      </w:r>
      <w:r w:rsidRPr="00B96EBE">
        <w:rPr>
          <w:sz w:val="22"/>
          <w:szCs w:val="22"/>
        </w:rPr>
        <w:t xml:space="preserve"> of households are located in areas with three or more fixed broadband providers.  In Europe, by contrast, most households do not have access to </w:t>
      </w:r>
      <w:r w:rsidRPr="00D17C19">
        <w:rPr>
          <w:i/>
          <w:sz w:val="22"/>
          <w:szCs w:val="22"/>
        </w:rPr>
        <w:t>any</w:t>
      </w:r>
      <w:r w:rsidRPr="00B96EBE">
        <w:rPr>
          <w:sz w:val="22"/>
          <w:szCs w:val="22"/>
        </w:rPr>
        <w:t xml:space="preserve"> facilities-based broadband alternative to the incumbent network operator.</w:t>
      </w:r>
    </w:p>
    <w:p w14:paraId="0CF35E89" w14:textId="77777777" w:rsidR="00981120" w:rsidRPr="00D17C19" w:rsidRDefault="00981120" w:rsidP="00981120">
      <w:pPr>
        <w:pStyle w:val="ListParagraph"/>
        <w:spacing w:after="120"/>
        <w:ind w:left="0" w:firstLine="720"/>
        <w:contextualSpacing w:val="0"/>
        <w:rPr>
          <w:sz w:val="22"/>
          <w:szCs w:val="22"/>
        </w:rPr>
      </w:pPr>
      <w:r w:rsidRPr="00B96EBE">
        <w:rPr>
          <w:sz w:val="22"/>
          <w:szCs w:val="22"/>
        </w:rPr>
        <w:t xml:space="preserve">This study confirms earlier research showing that </w:t>
      </w:r>
      <w:r>
        <w:rPr>
          <w:sz w:val="22"/>
          <w:szCs w:val="22"/>
        </w:rPr>
        <w:t xml:space="preserve">the </w:t>
      </w:r>
      <w:r w:rsidRPr="00B96EBE">
        <w:rPr>
          <w:sz w:val="22"/>
          <w:szCs w:val="22"/>
        </w:rPr>
        <w:t xml:space="preserve">Title II-style regulation </w:t>
      </w:r>
      <w:r>
        <w:rPr>
          <w:sz w:val="22"/>
          <w:szCs w:val="22"/>
        </w:rPr>
        <w:t xml:space="preserve">of Europe yields </w:t>
      </w:r>
      <w:r w:rsidRPr="00B96EBE">
        <w:rPr>
          <w:sz w:val="22"/>
          <w:szCs w:val="22"/>
        </w:rPr>
        <w:t>less investment and slower broadband.</w:t>
      </w:r>
      <w:r w:rsidRPr="00D17C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17C19">
        <w:rPr>
          <w:sz w:val="22"/>
          <w:szCs w:val="22"/>
        </w:rPr>
        <w:t>For example:</w:t>
      </w:r>
    </w:p>
    <w:p w14:paraId="6F7E6B82" w14:textId="77777777" w:rsidR="00981120" w:rsidRPr="00D17C19" w:rsidRDefault="00981120" w:rsidP="00981120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D17C19">
        <w:rPr>
          <w:sz w:val="22"/>
          <w:szCs w:val="22"/>
        </w:rPr>
        <w:t xml:space="preserve">In 2011 and 2012, </w:t>
      </w:r>
      <w:r w:rsidRPr="00D17C19">
        <w:rPr>
          <w:b/>
          <w:sz w:val="22"/>
          <w:szCs w:val="22"/>
        </w:rPr>
        <w:t xml:space="preserve">82% </w:t>
      </w:r>
      <w:r w:rsidRPr="00D17C19">
        <w:rPr>
          <w:sz w:val="22"/>
          <w:szCs w:val="22"/>
        </w:rPr>
        <w:t xml:space="preserve">of United States households had access to broadband speeds of 25 Mbps or higher, including </w:t>
      </w:r>
      <w:r w:rsidRPr="00D17C19">
        <w:rPr>
          <w:b/>
          <w:sz w:val="22"/>
          <w:szCs w:val="22"/>
        </w:rPr>
        <w:t xml:space="preserve">48% </w:t>
      </w:r>
      <w:r w:rsidRPr="00D17C19">
        <w:rPr>
          <w:sz w:val="22"/>
          <w:szCs w:val="22"/>
        </w:rPr>
        <w:t>o</w:t>
      </w:r>
      <w:r>
        <w:rPr>
          <w:sz w:val="22"/>
          <w:szCs w:val="22"/>
        </w:rPr>
        <w:t>f</w:t>
      </w:r>
      <w:r w:rsidRPr="00D17C19">
        <w:rPr>
          <w:sz w:val="22"/>
          <w:szCs w:val="22"/>
        </w:rPr>
        <w:t xml:space="preserve"> rural households.  During those same years, only </w:t>
      </w:r>
      <w:r w:rsidRPr="00D17C19">
        <w:rPr>
          <w:b/>
          <w:sz w:val="22"/>
          <w:szCs w:val="22"/>
        </w:rPr>
        <w:t xml:space="preserve">54% </w:t>
      </w:r>
      <w:r w:rsidRPr="00D17C19">
        <w:rPr>
          <w:sz w:val="22"/>
          <w:szCs w:val="22"/>
        </w:rPr>
        <w:t xml:space="preserve">of European households did, including just </w:t>
      </w:r>
      <w:r w:rsidRPr="00D17C19">
        <w:rPr>
          <w:b/>
          <w:sz w:val="22"/>
          <w:szCs w:val="22"/>
        </w:rPr>
        <w:t xml:space="preserve">12% </w:t>
      </w:r>
      <w:r w:rsidRPr="00D17C19">
        <w:rPr>
          <w:sz w:val="22"/>
          <w:szCs w:val="22"/>
        </w:rPr>
        <w:t>of rural househo</w:t>
      </w:r>
      <w:r>
        <w:rPr>
          <w:sz w:val="22"/>
          <w:szCs w:val="22"/>
        </w:rPr>
        <w:t>lds.</w:t>
      </w:r>
    </w:p>
    <w:p w14:paraId="5FEF4DD7" w14:textId="77777777" w:rsidR="00981120" w:rsidRPr="00D17C19" w:rsidRDefault="00981120" w:rsidP="00981120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D17C19">
        <w:rPr>
          <w:sz w:val="22"/>
          <w:szCs w:val="22"/>
        </w:rPr>
        <w:t>In 201</w:t>
      </w:r>
      <w:r>
        <w:rPr>
          <w:sz w:val="22"/>
          <w:szCs w:val="22"/>
        </w:rPr>
        <w:t>2</w:t>
      </w:r>
      <w:r w:rsidRPr="00D17C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4G LTE deployments covered </w:t>
      </w:r>
      <w:r w:rsidRPr="00883A3F">
        <w:rPr>
          <w:b/>
          <w:sz w:val="22"/>
          <w:szCs w:val="22"/>
        </w:rPr>
        <w:t>86</w:t>
      </w:r>
      <w:r w:rsidRPr="00D17C19">
        <w:rPr>
          <w:b/>
          <w:sz w:val="22"/>
          <w:szCs w:val="22"/>
        </w:rPr>
        <w:t xml:space="preserve">% </w:t>
      </w:r>
      <w:r w:rsidRPr="00D17C19">
        <w:rPr>
          <w:sz w:val="22"/>
          <w:szCs w:val="22"/>
        </w:rPr>
        <w:t xml:space="preserve">of </w:t>
      </w:r>
      <w:r>
        <w:rPr>
          <w:sz w:val="22"/>
          <w:szCs w:val="22"/>
        </w:rPr>
        <w:t>Americans</w:t>
      </w:r>
      <w:r w:rsidRPr="00D17C19">
        <w:rPr>
          <w:sz w:val="22"/>
          <w:szCs w:val="22"/>
        </w:rPr>
        <w:t xml:space="preserve">.  During that same time period, only </w:t>
      </w:r>
      <w:r w:rsidRPr="00883A3F">
        <w:rPr>
          <w:b/>
          <w:sz w:val="22"/>
          <w:szCs w:val="22"/>
        </w:rPr>
        <w:t>27</w:t>
      </w:r>
      <w:r w:rsidRPr="00D17C19">
        <w:rPr>
          <w:b/>
          <w:sz w:val="22"/>
          <w:szCs w:val="22"/>
        </w:rPr>
        <w:t xml:space="preserve">% </w:t>
      </w:r>
      <w:r w:rsidRPr="00D17C19">
        <w:rPr>
          <w:sz w:val="22"/>
          <w:szCs w:val="22"/>
        </w:rPr>
        <w:t xml:space="preserve">of Europeans had </w:t>
      </w:r>
      <w:r>
        <w:rPr>
          <w:sz w:val="22"/>
          <w:szCs w:val="22"/>
        </w:rPr>
        <w:t xml:space="preserve">access to </w:t>
      </w:r>
      <w:r w:rsidRPr="00D17C19">
        <w:rPr>
          <w:sz w:val="22"/>
          <w:szCs w:val="22"/>
        </w:rPr>
        <w:t>LTE.</w:t>
      </w:r>
    </w:p>
    <w:p w14:paraId="7A8A156E" w14:textId="77777777" w:rsidR="00981120" w:rsidRPr="00D17C19" w:rsidRDefault="00981120" w:rsidP="00981120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D17C19">
        <w:rPr>
          <w:sz w:val="22"/>
          <w:szCs w:val="22"/>
        </w:rPr>
        <w:t xml:space="preserve">In 2013, average mobile connection speeds in the United States were </w:t>
      </w:r>
      <w:r w:rsidRPr="00D17C19">
        <w:rPr>
          <w:b/>
          <w:sz w:val="22"/>
          <w:szCs w:val="22"/>
        </w:rPr>
        <w:t>30% faster</w:t>
      </w:r>
      <w:r w:rsidRPr="00D17C19">
        <w:rPr>
          <w:sz w:val="22"/>
          <w:szCs w:val="22"/>
        </w:rPr>
        <w:t xml:space="preserve"> than those in Europe.</w:t>
      </w:r>
    </w:p>
    <w:p w14:paraId="1E65257C" w14:textId="2F62054C" w:rsidR="00981120" w:rsidRPr="002C1029" w:rsidRDefault="00981120" w:rsidP="00981120">
      <w:pPr>
        <w:pStyle w:val="ListParagraph"/>
        <w:spacing w:after="120"/>
        <w:ind w:left="0" w:firstLine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As a consequence, </w:t>
      </w:r>
      <w:r w:rsidR="009D39A1">
        <w:rPr>
          <w:i/>
          <w:sz w:val="22"/>
          <w:szCs w:val="22"/>
        </w:rPr>
        <w:t xml:space="preserve">The </w:t>
      </w:r>
      <w:r w:rsidRPr="003D1F52">
        <w:rPr>
          <w:i/>
          <w:iCs/>
          <w:sz w:val="22"/>
          <w:szCs w:val="22"/>
        </w:rPr>
        <w:t>New York Times</w:t>
      </w:r>
      <w:r w:rsidRPr="003D1F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reported that </w:t>
      </w:r>
      <w:r w:rsidRPr="003D1F52">
        <w:rPr>
          <w:sz w:val="22"/>
          <w:szCs w:val="22"/>
        </w:rPr>
        <w:t>“the lack of ultrafast Internet access in much of Europe has placed local companies at a disadvantage in the digital world compared with their rivals in North America and Asia.”</w:t>
      </w:r>
      <w:r>
        <w:rPr>
          <w:sz w:val="22"/>
          <w:szCs w:val="22"/>
        </w:rPr>
        <w:t xml:space="preserve"> </w:t>
      </w:r>
      <w:r w:rsidRPr="003D1F5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3D1F52">
        <w:rPr>
          <w:sz w:val="22"/>
          <w:szCs w:val="22"/>
        </w:rPr>
        <w:t xml:space="preserve">his raises </w:t>
      </w:r>
      <w:r>
        <w:rPr>
          <w:sz w:val="22"/>
          <w:szCs w:val="22"/>
        </w:rPr>
        <w:t>a critical question.</w:t>
      </w:r>
      <w:r w:rsidRPr="003D1F52">
        <w:rPr>
          <w:sz w:val="22"/>
          <w:szCs w:val="22"/>
        </w:rPr>
        <w:t xml:space="preserve"> </w:t>
      </w:r>
      <w:r w:rsidR="00F55D94">
        <w:rPr>
          <w:sz w:val="22"/>
          <w:szCs w:val="22"/>
        </w:rPr>
        <w:t xml:space="preserve"> </w:t>
      </w:r>
      <w:r w:rsidRPr="003D1F52">
        <w:rPr>
          <w:sz w:val="22"/>
          <w:szCs w:val="22"/>
        </w:rPr>
        <w:t>Why would we want to enact President Obama’s plan to import European-style regulation into the United States?  The FCC should not scrap a system that’s proven to be better for American consumer</w:t>
      </w:r>
      <w:r>
        <w:rPr>
          <w:sz w:val="22"/>
          <w:szCs w:val="22"/>
        </w:rPr>
        <w:t>s and entrepreneurs</w:t>
      </w:r>
      <w:r w:rsidRPr="003D1F52">
        <w:rPr>
          <w:sz w:val="22"/>
          <w:szCs w:val="22"/>
        </w:rPr>
        <w:t>.</w:t>
      </w:r>
    </w:p>
    <w:sectPr w:rsidR="00981120" w:rsidRPr="002C1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737F" w14:textId="77777777" w:rsidR="00B370C8" w:rsidRDefault="00B370C8">
      <w:r>
        <w:separator/>
      </w:r>
    </w:p>
  </w:endnote>
  <w:endnote w:type="continuationSeparator" w:id="0">
    <w:p w14:paraId="139295ED" w14:textId="77777777" w:rsidR="00B370C8" w:rsidRDefault="00B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9E5D" w14:textId="77777777" w:rsidR="00191A6F" w:rsidRDefault="00191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A6F01" w14:textId="77777777" w:rsidR="00191A6F" w:rsidRDefault="00191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76D4" w14:textId="77777777" w:rsidR="00191A6F" w:rsidRDefault="0019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61AD" w14:textId="77777777" w:rsidR="00B370C8" w:rsidRDefault="00B370C8">
      <w:r>
        <w:separator/>
      </w:r>
    </w:p>
  </w:footnote>
  <w:footnote w:type="continuationSeparator" w:id="0">
    <w:p w14:paraId="7FF187F1" w14:textId="77777777" w:rsidR="00B370C8" w:rsidRDefault="00B3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3BB8" w14:textId="77777777" w:rsidR="00191A6F" w:rsidRDefault="00191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18A3" w14:textId="77777777" w:rsidR="00191A6F" w:rsidRDefault="00191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47367FA9" w14:textId="26321663" w:rsidR="00685C3D" w:rsidRDefault="00697B8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</w:t>
    </w:r>
    <w:r w:rsidR="00F14B36">
      <w:rPr>
        <w:b/>
        <w:sz w:val="22"/>
      </w:rPr>
      <w:t>C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36593399"/>
    <w:multiLevelType w:val="hybridMultilevel"/>
    <w:tmpl w:val="79C853A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82F6E"/>
    <w:rsid w:val="000B31DA"/>
    <w:rsid w:val="000E45BF"/>
    <w:rsid w:val="00151931"/>
    <w:rsid w:val="00191A6F"/>
    <w:rsid w:val="0019315C"/>
    <w:rsid w:val="001C2764"/>
    <w:rsid w:val="001D2C18"/>
    <w:rsid w:val="002528CD"/>
    <w:rsid w:val="00287C2B"/>
    <w:rsid w:val="002949A6"/>
    <w:rsid w:val="002A6449"/>
    <w:rsid w:val="003C457B"/>
    <w:rsid w:val="004217FF"/>
    <w:rsid w:val="00454835"/>
    <w:rsid w:val="00460016"/>
    <w:rsid w:val="004C3250"/>
    <w:rsid w:val="004D259D"/>
    <w:rsid w:val="00510336"/>
    <w:rsid w:val="005267A4"/>
    <w:rsid w:val="005545A8"/>
    <w:rsid w:val="00567D63"/>
    <w:rsid w:val="005A135D"/>
    <w:rsid w:val="005C54C3"/>
    <w:rsid w:val="0065435F"/>
    <w:rsid w:val="00673AB3"/>
    <w:rsid w:val="00697B86"/>
    <w:rsid w:val="006C2F6C"/>
    <w:rsid w:val="006D1383"/>
    <w:rsid w:val="006F3DBA"/>
    <w:rsid w:val="006F4ADD"/>
    <w:rsid w:val="007D39FB"/>
    <w:rsid w:val="007E43D3"/>
    <w:rsid w:val="007F2D1E"/>
    <w:rsid w:val="008105B4"/>
    <w:rsid w:val="0084699F"/>
    <w:rsid w:val="00896394"/>
    <w:rsid w:val="008C1BB3"/>
    <w:rsid w:val="00981120"/>
    <w:rsid w:val="00985597"/>
    <w:rsid w:val="009A1332"/>
    <w:rsid w:val="009D39A1"/>
    <w:rsid w:val="00AA0D2C"/>
    <w:rsid w:val="00B370C8"/>
    <w:rsid w:val="00C21962"/>
    <w:rsid w:val="00C62CA9"/>
    <w:rsid w:val="00CC3BD8"/>
    <w:rsid w:val="00D07959"/>
    <w:rsid w:val="00D42F25"/>
    <w:rsid w:val="00D4525F"/>
    <w:rsid w:val="00D70190"/>
    <w:rsid w:val="00DC74E5"/>
    <w:rsid w:val="00DD7B28"/>
    <w:rsid w:val="00E13613"/>
    <w:rsid w:val="00E30485"/>
    <w:rsid w:val="00EC1966"/>
    <w:rsid w:val="00ED22C7"/>
    <w:rsid w:val="00ED2FD0"/>
    <w:rsid w:val="00EE5CA5"/>
    <w:rsid w:val="00F14B36"/>
    <w:rsid w:val="00F55D94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2276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2015-02-12T17:26:00Z</dcterms:created>
  <dcterms:modified xsi:type="dcterms:W3CDTF">2015-02-12T17:26:00Z</dcterms:modified>
  <cp:category> </cp:category>
  <cp:contentStatus> </cp:contentStatus>
</cp:coreProperties>
</file>