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93" w:rsidRPr="00754B01" w:rsidRDefault="00F85C93" w:rsidP="00F637F8">
      <w:pPr>
        <w:pStyle w:val="NormalWeb"/>
        <w:spacing w:before="0" w:beforeAutospacing="0" w:after="0" w:afterAutospacing="0"/>
        <w:jc w:val="center"/>
        <w:rPr>
          <w:b/>
          <w:caps/>
          <w:sz w:val="22"/>
          <w:szCs w:val="22"/>
        </w:rPr>
      </w:pPr>
      <w:bookmarkStart w:id="0" w:name="_GoBack"/>
      <w:bookmarkEnd w:id="0"/>
      <w:r w:rsidRPr="00754B01">
        <w:rPr>
          <w:b/>
          <w:caps/>
          <w:sz w:val="22"/>
          <w:szCs w:val="22"/>
        </w:rPr>
        <w:t>Dissenting Statement of</w:t>
      </w:r>
    </w:p>
    <w:p w:rsidR="00F85C93" w:rsidRPr="00754B01" w:rsidRDefault="00F85C93" w:rsidP="00F637F8">
      <w:pPr>
        <w:pStyle w:val="NormalWeb"/>
        <w:spacing w:before="0" w:beforeAutospacing="0" w:after="0" w:afterAutospacing="0"/>
        <w:jc w:val="center"/>
        <w:rPr>
          <w:b/>
          <w:caps/>
          <w:sz w:val="22"/>
          <w:szCs w:val="22"/>
        </w:rPr>
      </w:pPr>
      <w:r w:rsidRPr="00754B01">
        <w:rPr>
          <w:b/>
          <w:caps/>
          <w:sz w:val="22"/>
          <w:szCs w:val="22"/>
        </w:rPr>
        <w:t>Commissioner Michael O’Rielly</w:t>
      </w:r>
    </w:p>
    <w:p w:rsidR="00F85C93" w:rsidRPr="00754B01" w:rsidRDefault="00F85C93" w:rsidP="00F85C93">
      <w:pPr>
        <w:pStyle w:val="NormalWeb"/>
        <w:spacing w:before="0" w:beforeAutospacing="0" w:after="0" w:afterAutospacing="0"/>
        <w:rPr>
          <w:sz w:val="22"/>
          <w:szCs w:val="22"/>
        </w:rPr>
      </w:pPr>
    </w:p>
    <w:p w:rsidR="00F85C93" w:rsidRPr="00754B01" w:rsidRDefault="00F85C93" w:rsidP="00F85C93">
      <w:pPr>
        <w:pStyle w:val="NormalWeb"/>
        <w:spacing w:before="0" w:beforeAutospacing="0" w:after="0" w:afterAutospacing="0"/>
        <w:rPr>
          <w:i/>
          <w:sz w:val="22"/>
          <w:szCs w:val="22"/>
        </w:rPr>
      </w:pPr>
      <w:r w:rsidRPr="004C00C0">
        <w:rPr>
          <w:sz w:val="22"/>
          <w:szCs w:val="22"/>
        </w:rPr>
        <w:t>Re:</w:t>
      </w:r>
      <w:r w:rsidRPr="00754B01">
        <w:rPr>
          <w:i/>
          <w:sz w:val="22"/>
          <w:szCs w:val="22"/>
        </w:rPr>
        <w:t xml:space="preserve">  </w:t>
      </w:r>
      <w:r w:rsidR="004C00C0">
        <w:rPr>
          <w:i/>
          <w:sz w:val="22"/>
          <w:szCs w:val="22"/>
        </w:rPr>
        <w:tab/>
      </w:r>
      <w:r w:rsidRPr="00754B01">
        <w:rPr>
          <w:i/>
          <w:sz w:val="22"/>
          <w:szCs w:val="22"/>
        </w:rPr>
        <w:t xml:space="preserve">Protecting and Promoting the Open Internet, </w:t>
      </w:r>
      <w:r w:rsidR="00F87177" w:rsidRPr="004C00C0">
        <w:rPr>
          <w:sz w:val="22"/>
          <w:szCs w:val="22"/>
        </w:rPr>
        <w:t xml:space="preserve">GN </w:t>
      </w:r>
      <w:r w:rsidRPr="004C00C0">
        <w:rPr>
          <w:sz w:val="22"/>
          <w:szCs w:val="22"/>
        </w:rPr>
        <w:t>Docket No. 14-28</w:t>
      </w:r>
      <w:r w:rsidR="004C00C0">
        <w:rPr>
          <w:sz w:val="22"/>
          <w:szCs w:val="22"/>
        </w:rPr>
        <w:t>.</w:t>
      </w:r>
    </w:p>
    <w:p w:rsidR="00F85C93" w:rsidRPr="00754B01" w:rsidRDefault="00F85C93" w:rsidP="00F85C93">
      <w:pPr>
        <w:pStyle w:val="NormalWeb"/>
        <w:spacing w:before="0" w:beforeAutospacing="0" w:after="0" w:afterAutospacing="0"/>
        <w:rPr>
          <w:sz w:val="22"/>
          <w:szCs w:val="22"/>
        </w:rPr>
      </w:pPr>
    </w:p>
    <w:p w:rsidR="00F85C93" w:rsidRPr="00754B01" w:rsidRDefault="00F85C93" w:rsidP="00225021">
      <w:pPr>
        <w:pStyle w:val="NormalWeb"/>
        <w:spacing w:before="0" w:beforeAutospacing="0" w:after="0" w:afterAutospacing="0"/>
        <w:ind w:firstLine="720"/>
        <w:rPr>
          <w:sz w:val="22"/>
          <w:szCs w:val="22"/>
        </w:rPr>
      </w:pPr>
      <w:r w:rsidRPr="00225021">
        <w:rPr>
          <w:sz w:val="22"/>
          <w:szCs w:val="22"/>
        </w:rPr>
        <w:t>Today a majority of the Commission attempts to usurp the authority of</w:t>
      </w:r>
      <w:r w:rsidRPr="00754B01">
        <w:rPr>
          <w:sz w:val="22"/>
          <w:szCs w:val="22"/>
        </w:rPr>
        <w:t xml:space="preserve"> Congress by re-writing the Communications Act to suit its own “values” and </w:t>
      </w:r>
      <w:r w:rsidR="00FB5E30" w:rsidRPr="00754B01">
        <w:rPr>
          <w:sz w:val="22"/>
          <w:szCs w:val="22"/>
        </w:rPr>
        <w:t>political ends</w:t>
      </w:r>
      <w:r w:rsidRPr="00754B01">
        <w:rPr>
          <w:sz w:val="22"/>
          <w:szCs w:val="22"/>
        </w:rPr>
        <w:t xml:space="preserve">.  </w:t>
      </w:r>
      <w:r w:rsidR="005D6DD1" w:rsidRPr="00754B01">
        <w:rPr>
          <w:sz w:val="22"/>
          <w:szCs w:val="22"/>
        </w:rPr>
        <w:t>The item</w:t>
      </w:r>
      <w:r w:rsidR="00B02F51" w:rsidRPr="00754B01">
        <w:rPr>
          <w:sz w:val="22"/>
          <w:szCs w:val="22"/>
        </w:rPr>
        <w:t xml:space="preserve"> claims to forbear from </w:t>
      </w:r>
      <w:r w:rsidR="00D97F81" w:rsidRPr="00754B01">
        <w:rPr>
          <w:sz w:val="22"/>
          <w:szCs w:val="22"/>
        </w:rPr>
        <w:t xml:space="preserve">certain </w:t>
      </w:r>
      <w:r w:rsidR="00CA1A7F" w:rsidRPr="00754B01">
        <w:rPr>
          <w:sz w:val="22"/>
          <w:szCs w:val="22"/>
        </w:rPr>
        <w:t xml:space="preserve">monopoly-era Title II regulations while reserving the right to </w:t>
      </w:r>
      <w:r w:rsidR="003C1B08" w:rsidRPr="00754B01">
        <w:rPr>
          <w:sz w:val="22"/>
          <w:szCs w:val="22"/>
        </w:rPr>
        <w:t>impose</w:t>
      </w:r>
      <w:r w:rsidR="00CA1A7F" w:rsidRPr="00754B01">
        <w:rPr>
          <w:sz w:val="22"/>
          <w:szCs w:val="22"/>
        </w:rPr>
        <w:t xml:space="preserve"> them </w:t>
      </w:r>
      <w:r w:rsidR="009C69B1" w:rsidRPr="00754B01">
        <w:rPr>
          <w:sz w:val="22"/>
          <w:szCs w:val="22"/>
        </w:rPr>
        <w:t>using</w:t>
      </w:r>
      <w:r w:rsidR="00CA1A7F" w:rsidRPr="00754B01">
        <w:rPr>
          <w:sz w:val="22"/>
          <w:szCs w:val="22"/>
        </w:rPr>
        <w:t xml:space="preserve"> other provisions or at some point in the future.  </w:t>
      </w:r>
      <w:r w:rsidR="001C234C">
        <w:rPr>
          <w:sz w:val="22"/>
          <w:szCs w:val="22"/>
        </w:rPr>
        <w:t>The Commission</w:t>
      </w:r>
      <w:r w:rsidR="001C234C" w:rsidRPr="00754B01">
        <w:rPr>
          <w:sz w:val="22"/>
          <w:szCs w:val="22"/>
        </w:rPr>
        <w:t xml:space="preserve"> </w:t>
      </w:r>
      <w:r w:rsidR="0010592A" w:rsidRPr="00754B01">
        <w:rPr>
          <w:sz w:val="22"/>
          <w:szCs w:val="22"/>
        </w:rPr>
        <w:t>abdicates its role as an expert agency by de</w:t>
      </w:r>
      <w:r w:rsidR="006E4052" w:rsidRPr="00754B01">
        <w:rPr>
          <w:sz w:val="22"/>
          <w:szCs w:val="22"/>
        </w:rPr>
        <w:t>fining and classifying services based on unsupported and unreasonable findings.</w:t>
      </w:r>
      <w:r w:rsidR="00B02F51" w:rsidRPr="00754B01">
        <w:rPr>
          <w:sz w:val="22"/>
          <w:szCs w:val="22"/>
        </w:rPr>
        <w:t xml:space="preserve">  </w:t>
      </w:r>
      <w:r w:rsidR="00747C6A" w:rsidRPr="00754B01">
        <w:rPr>
          <w:sz w:val="22"/>
          <w:szCs w:val="22"/>
        </w:rPr>
        <w:t xml:space="preserve">It fails to </w:t>
      </w:r>
      <w:r w:rsidR="00747C6A" w:rsidRPr="00577DBF">
        <w:rPr>
          <w:sz w:val="22"/>
          <w:szCs w:val="22"/>
        </w:rPr>
        <w:t xml:space="preserve">account for substantial differences </w:t>
      </w:r>
      <w:r w:rsidR="002F0765" w:rsidRPr="00577DBF">
        <w:rPr>
          <w:sz w:val="22"/>
          <w:szCs w:val="22"/>
        </w:rPr>
        <w:t>between</w:t>
      </w:r>
      <w:r w:rsidR="00747C6A" w:rsidRPr="000504B0">
        <w:rPr>
          <w:sz w:val="22"/>
          <w:szCs w:val="22"/>
        </w:rPr>
        <w:t xml:space="preserve"> </w:t>
      </w:r>
      <w:r w:rsidR="002F0765" w:rsidRPr="000504B0">
        <w:rPr>
          <w:sz w:val="22"/>
          <w:szCs w:val="22"/>
        </w:rPr>
        <w:t xml:space="preserve">fixed and mobile </w:t>
      </w:r>
      <w:r w:rsidR="00747C6A" w:rsidRPr="000504B0">
        <w:rPr>
          <w:sz w:val="22"/>
          <w:szCs w:val="22"/>
        </w:rPr>
        <w:t xml:space="preserve">technologies.  </w:t>
      </w:r>
      <w:r w:rsidR="00B02F51" w:rsidRPr="000504B0">
        <w:rPr>
          <w:sz w:val="22"/>
          <w:szCs w:val="22"/>
        </w:rPr>
        <w:t xml:space="preserve">It opens the door to apply </w:t>
      </w:r>
      <w:r w:rsidR="00CA1A7F" w:rsidRPr="000504B0">
        <w:rPr>
          <w:sz w:val="22"/>
          <w:szCs w:val="22"/>
        </w:rPr>
        <w:t xml:space="preserve">these rules to edge providers.  </w:t>
      </w:r>
      <w:r w:rsidR="005D6DD1" w:rsidRPr="000504B0">
        <w:rPr>
          <w:sz w:val="22"/>
          <w:szCs w:val="22"/>
        </w:rPr>
        <w:t xml:space="preserve">It delegates substantial authority to the Bureaus, including how the rules will be </w:t>
      </w:r>
      <w:r w:rsidR="00087ADC" w:rsidRPr="00754B01">
        <w:rPr>
          <w:sz w:val="22"/>
          <w:szCs w:val="22"/>
        </w:rPr>
        <w:t xml:space="preserve">interpreted and </w:t>
      </w:r>
      <w:r w:rsidR="005D6DD1" w:rsidRPr="00754B01">
        <w:rPr>
          <w:sz w:val="22"/>
          <w:szCs w:val="22"/>
        </w:rPr>
        <w:t>enforced</w:t>
      </w:r>
      <w:r w:rsidR="00FB61A0" w:rsidRPr="00754B01">
        <w:rPr>
          <w:sz w:val="22"/>
          <w:szCs w:val="22"/>
        </w:rPr>
        <w:t xml:space="preserve"> on a case-by-case basis</w:t>
      </w:r>
      <w:r w:rsidR="005D6DD1" w:rsidRPr="00754B01">
        <w:rPr>
          <w:sz w:val="22"/>
          <w:szCs w:val="22"/>
        </w:rPr>
        <w:t xml:space="preserve">.  </w:t>
      </w:r>
      <w:r w:rsidR="00CA1A7F" w:rsidRPr="00754B01">
        <w:rPr>
          <w:sz w:val="22"/>
          <w:szCs w:val="22"/>
        </w:rPr>
        <w:t xml:space="preserve">And, </w:t>
      </w:r>
      <w:r w:rsidR="005D6DD1" w:rsidRPr="00754B01">
        <w:rPr>
          <w:sz w:val="22"/>
          <w:szCs w:val="22"/>
        </w:rPr>
        <w:t>lest we forget how this proceeding started</w:t>
      </w:r>
      <w:r w:rsidR="00CA1A7F" w:rsidRPr="00754B01">
        <w:rPr>
          <w:sz w:val="22"/>
          <w:szCs w:val="22"/>
        </w:rPr>
        <w:t xml:space="preserve">, it </w:t>
      </w:r>
      <w:r w:rsidRPr="00754B01">
        <w:rPr>
          <w:sz w:val="22"/>
          <w:szCs w:val="22"/>
        </w:rPr>
        <w:t>also reinstates net neutrality rules.</w:t>
      </w:r>
      <w:r w:rsidR="000272C5" w:rsidRPr="00754B01">
        <w:rPr>
          <w:sz w:val="22"/>
          <w:szCs w:val="22"/>
        </w:rPr>
        <w:t xml:space="preserve">  Indeed, it seems that every bad idea ever floated in the name of net neutrality has come home to roost in this item.</w:t>
      </w:r>
      <w:r w:rsidR="00553CF9" w:rsidRPr="00754B01">
        <w:rPr>
          <w:rStyle w:val="FootnoteReference"/>
          <w:sz w:val="22"/>
          <w:szCs w:val="22"/>
        </w:rPr>
        <w:footnoteReference w:id="2"/>
      </w:r>
      <w:r w:rsidRPr="00754B01">
        <w:rPr>
          <w:sz w:val="22"/>
          <w:szCs w:val="22"/>
        </w:rPr>
        <w:t xml:space="preserve"> </w:t>
      </w:r>
      <w:r w:rsidR="00553CF9" w:rsidRPr="00754B01">
        <w:rPr>
          <w:sz w:val="22"/>
          <w:szCs w:val="22"/>
        </w:rPr>
        <w:t xml:space="preserve"> </w:t>
      </w:r>
    </w:p>
    <w:p w:rsidR="00F85C93" w:rsidRPr="00754B01" w:rsidRDefault="00F85C93" w:rsidP="00F85C93">
      <w:pPr>
        <w:pStyle w:val="NormalWeb"/>
        <w:spacing w:before="0" w:beforeAutospacing="0" w:after="0" w:afterAutospacing="0"/>
        <w:rPr>
          <w:sz w:val="22"/>
          <w:szCs w:val="22"/>
        </w:rPr>
      </w:pPr>
    </w:p>
    <w:p w:rsidR="00CA1A7F" w:rsidRPr="00754B01" w:rsidRDefault="00F85C93" w:rsidP="009C324C">
      <w:pPr>
        <w:pStyle w:val="NormalWeb"/>
        <w:spacing w:before="0" w:beforeAutospacing="0" w:after="0" w:afterAutospacing="0"/>
        <w:ind w:firstLine="720"/>
        <w:rPr>
          <w:sz w:val="22"/>
          <w:szCs w:val="22"/>
        </w:rPr>
      </w:pPr>
      <w:r w:rsidRPr="00754B01">
        <w:rPr>
          <w:sz w:val="22"/>
          <w:szCs w:val="22"/>
        </w:rPr>
        <w:t xml:space="preserve">To read public statements over the last few weeks, one might think that this item uses Title II in some limited way solely to provide support for net neutrality rules and </w:t>
      </w:r>
      <w:r w:rsidR="00E81CF3" w:rsidRPr="00754B01">
        <w:rPr>
          <w:sz w:val="22"/>
          <w:szCs w:val="22"/>
        </w:rPr>
        <w:t xml:space="preserve">to </w:t>
      </w:r>
      <w:r w:rsidRPr="00754B01">
        <w:rPr>
          <w:sz w:val="22"/>
          <w:szCs w:val="22"/>
        </w:rPr>
        <w:t xml:space="preserve">protect consumers. </w:t>
      </w:r>
      <w:r w:rsidR="00F02BC2">
        <w:rPr>
          <w:sz w:val="22"/>
          <w:szCs w:val="22"/>
        </w:rPr>
        <w:t xml:space="preserve"> </w:t>
      </w:r>
      <w:r w:rsidRPr="00754B01">
        <w:rPr>
          <w:sz w:val="22"/>
          <w:szCs w:val="22"/>
        </w:rPr>
        <w:t>And a casual observer might be misled to believe that</w:t>
      </w:r>
      <w:r w:rsidR="00CA1A7F" w:rsidRPr="00754B01">
        <w:rPr>
          <w:sz w:val="22"/>
          <w:szCs w:val="22"/>
        </w:rPr>
        <w:t xml:space="preserve"> the ends justif</w:t>
      </w:r>
      <w:r w:rsidR="007C44BD" w:rsidRPr="00754B01">
        <w:rPr>
          <w:sz w:val="22"/>
          <w:szCs w:val="22"/>
        </w:rPr>
        <w:t>y</w:t>
      </w:r>
      <w:r w:rsidR="00CA1A7F" w:rsidRPr="00754B01">
        <w:rPr>
          <w:sz w:val="22"/>
          <w:szCs w:val="22"/>
        </w:rPr>
        <w:t xml:space="preserve"> the means. </w:t>
      </w:r>
    </w:p>
    <w:p w:rsidR="00CA1A7F" w:rsidRPr="00754B01" w:rsidRDefault="00CA1A7F" w:rsidP="00F85C93">
      <w:pPr>
        <w:pStyle w:val="NormalWeb"/>
        <w:spacing w:before="0" w:beforeAutospacing="0" w:after="0" w:afterAutospacing="0"/>
        <w:rPr>
          <w:sz w:val="22"/>
          <w:szCs w:val="22"/>
        </w:rPr>
      </w:pPr>
    </w:p>
    <w:p w:rsidR="00F85C93" w:rsidRPr="00754B01" w:rsidRDefault="00F85C93" w:rsidP="009C324C">
      <w:pPr>
        <w:pStyle w:val="NormalWeb"/>
        <w:spacing w:before="0" w:beforeAutospacing="0" w:after="0" w:afterAutospacing="0"/>
        <w:ind w:firstLine="720"/>
        <w:rPr>
          <w:sz w:val="22"/>
          <w:szCs w:val="22"/>
        </w:rPr>
      </w:pPr>
      <w:r w:rsidRPr="00754B01">
        <w:rPr>
          <w:sz w:val="22"/>
          <w:szCs w:val="22"/>
        </w:rPr>
        <w:t xml:space="preserve">Along the way, </w:t>
      </w:r>
      <w:r w:rsidR="00CA1A7F" w:rsidRPr="00754B01">
        <w:rPr>
          <w:sz w:val="22"/>
          <w:szCs w:val="22"/>
        </w:rPr>
        <w:t xml:space="preserve">however, </w:t>
      </w:r>
      <w:r w:rsidRPr="00754B01">
        <w:rPr>
          <w:sz w:val="22"/>
          <w:szCs w:val="22"/>
        </w:rPr>
        <w:t xml:space="preserve">the means became the end.  Net neutrality </w:t>
      </w:r>
      <w:r w:rsidR="00202288" w:rsidRPr="00754B01">
        <w:rPr>
          <w:sz w:val="22"/>
          <w:szCs w:val="22"/>
        </w:rPr>
        <w:t>is now</w:t>
      </w:r>
      <w:r w:rsidRPr="00754B01">
        <w:rPr>
          <w:sz w:val="22"/>
          <w:szCs w:val="22"/>
        </w:rPr>
        <w:t xml:space="preserve"> the </w:t>
      </w:r>
      <w:r w:rsidR="00CA1A7F" w:rsidRPr="00754B01">
        <w:rPr>
          <w:sz w:val="22"/>
          <w:szCs w:val="22"/>
        </w:rPr>
        <w:t>pretext</w:t>
      </w:r>
      <w:r w:rsidRPr="00754B01">
        <w:rPr>
          <w:sz w:val="22"/>
          <w:szCs w:val="22"/>
        </w:rPr>
        <w:t xml:space="preserve"> for deploying Title II to a far greater extent than anyone could have imagined</w:t>
      </w:r>
      <w:r w:rsidR="00202288" w:rsidRPr="00754B01">
        <w:rPr>
          <w:sz w:val="22"/>
          <w:szCs w:val="22"/>
        </w:rPr>
        <w:t xml:space="preserve"> just months ago</w:t>
      </w:r>
      <w:r w:rsidRPr="00754B01">
        <w:rPr>
          <w:sz w:val="22"/>
          <w:szCs w:val="22"/>
        </w:rPr>
        <w:t>.  And that is the reality that the Commission trie</w:t>
      </w:r>
      <w:r w:rsidR="00F97003">
        <w:rPr>
          <w:sz w:val="22"/>
          <w:szCs w:val="22"/>
        </w:rPr>
        <w:t>d to hide by keeping the draft</w:t>
      </w:r>
      <w:r w:rsidRPr="00754B01">
        <w:rPr>
          <w:sz w:val="22"/>
          <w:szCs w:val="22"/>
        </w:rPr>
        <w:t xml:space="preserve"> </w:t>
      </w:r>
      <w:r w:rsidR="00FB61A0" w:rsidRPr="00754B01">
        <w:rPr>
          <w:sz w:val="22"/>
          <w:szCs w:val="22"/>
        </w:rPr>
        <w:t xml:space="preserve">from the public </w:t>
      </w:r>
      <w:r w:rsidR="00CA1A7F" w:rsidRPr="00754B01">
        <w:rPr>
          <w:sz w:val="22"/>
          <w:szCs w:val="22"/>
        </w:rPr>
        <w:t>and releasing a carefully worded “fact” sheet</w:t>
      </w:r>
      <w:r w:rsidR="004C541F" w:rsidRPr="00754B01">
        <w:rPr>
          <w:sz w:val="22"/>
          <w:szCs w:val="22"/>
        </w:rPr>
        <w:t xml:space="preserve"> in its place</w:t>
      </w:r>
      <w:r w:rsidRPr="00754B01">
        <w:rPr>
          <w:sz w:val="22"/>
          <w:szCs w:val="22"/>
        </w:rPr>
        <w:t>.</w:t>
      </w:r>
    </w:p>
    <w:p w:rsidR="00F85C93" w:rsidRPr="00754B01" w:rsidRDefault="00F85C93" w:rsidP="00F85C93">
      <w:pPr>
        <w:pStyle w:val="NormalWeb"/>
        <w:spacing w:before="0" w:beforeAutospacing="0" w:after="0" w:afterAutospacing="0"/>
        <w:rPr>
          <w:sz w:val="22"/>
          <w:szCs w:val="22"/>
        </w:rPr>
      </w:pPr>
    </w:p>
    <w:p w:rsidR="00F85C93" w:rsidRPr="00754B01" w:rsidRDefault="00F85C93" w:rsidP="009C324C">
      <w:pPr>
        <w:pStyle w:val="NormalWeb"/>
        <w:spacing w:before="0" w:beforeAutospacing="0" w:after="0" w:afterAutospacing="0"/>
        <w:ind w:firstLine="720"/>
        <w:rPr>
          <w:sz w:val="22"/>
          <w:szCs w:val="22"/>
        </w:rPr>
      </w:pPr>
      <w:r w:rsidRPr="00754B01">
        <w:rPr>
          <w:sz w:val="22"/>
          <w:szCs w:val="22"/>
        </w:rPr>
        <w:t>While I see no need for net neutrality rules, I am far more troubled by the dangerous course that the Commission is now charting on Title II and the consequences it will have for broadband investment, edge providers, and consumers.  The Commission attempts to downplay the significance of Title II, but make no mistake:  this is not some make believe modernized Title II light that is somehow tailored to preserve investment while protecting consumers</w:t>
      </w:r>
      <w:r w:rsidR="001C234C">
        <w:rPr>
          <w:sz w:val="22"/>
          <w:szCs w:val="22"/>
        </w:rPr>
        <w:t xml:space="preserve"> from blocking or throttling</w:t>
      </w:r>
      <w:r w:rsidRPr="00754B01">
        <w:rPr>
          <w:sz w:val="22"/>
          <w:szCs w:val="22"/>
        </w:rPr>
        <w:t xml:space="preserve">.  </w:t>
      </w:r>
      <w:r w:rsidR="005D5827" w:rsidRPr="00754B01">
        <w:rPr>
          <w:sz w:val="22"/>
          <w:szCs w:val="22"/>
        </w:rPr>
        <w:t xml:space="preserve">It is fauxbearance:  </w:t>
      </w:r>
      <w:r w:rsidRPr="00754B01">
        <w:rPr>
          <w:sz w:val="22"/>
          <w:szCs w:val="22"/>
        </w:rPr>
        <w:t xml:space="preserve">all of Title II applied through the backdoor of sections </w:t>
      </w:r>
      <w:r w:rsidR="00E36A83" w:rsidRPr="00754B01">
        <w:rPr>
          <w:sz w:val="22"/>
          <w:szCs w:val="22"/>
        </w:rPr>
        <w:t>201 and</w:t>
      </w:r>
      <w:r w:rsidR="00767A33" w:rsidRPr="00754B01">
        <w:rPr>
          <w:sz w:val="22"/>
          <w:szCs w:val="22"/>
        </w:rPr>
        <w:t xml:space="preserve"> 20</w:t>
      </w:r>
      <w:r w:rsidR="00E36A83" w:rsidRPr="00754B01">
        <w:rPr>
          <w:sz w:val="22"/>
          <w:szCs w:val="22"/>
        </w:rPr>
        <w:t>2 of the Act</w:t>
      </w:r>
      <w:r w:rsidRPr="00754B01">
        <w:rPr>
          <w:sz w:val="22"/>
          <w:szCs w:val="22"/>
        </w:rPr>
        <w:t xml:space="preserve">, and </w:t>
      </w:r>
      <w:r w:rsidR="00E36A83" w:rsidRPr="00754B01">
        <w:rPr>
          <w:sz w:val="22"/>
          <w:szCs w:val="22"/>
        </w:rPr>
        <w:t xml:space="preserve">section </w:t>
      </w:r>
      <w:r w:rsidRPr="00754B01">
        <w:rPr>
          <w:sz w:val="22"/>
          <w:szCs w:val="22"/>
        </w:rPr>
        <w:t>706</w:t>
      </w:r>
      <w:r w:rsidR="00E36A83" w:rsidRPr="00754B01">
        <w:rPr>
          <w:sz w:val="22"/>
          <w:szCs w:val="22"/>
        </w:rPr>
        <w:t xml:space="preserve"> of the 1996 Act</w:t>
      </w:r>
      <w:r w:rsidRPr="00754B01">
        <w:rPr>
          <w:sz w:val="22"/>
          <w:szCs w:val="22"/>
        </w:rPr>
        <w:t xml:space="preserve">.  </w:t>
      </w:r>
      <w:r w:rsidR="00E60F12" w:rsidRPr="00754B01">
        <w:rPr>
          <w:sz w:val="22"/>
          <w:szCs w:val="22"/>
        </w:rPr>
        <w:t>Moreover,</w:t>
      </w:r>
      <w:r w:rsidR="00726B26" w:rsidRPr="00754B01">
        <w:rPr>
          <w:sz w:val="22"/>
          <w:szCs w:val="22"/>
        </w:rPr>
        <w:t xml:space="preserve"> all </w:t>
      </w:r>
      <w:r w:rsidR="009E1DC4" w:rsidRPr="00754B01">
        <w:rPr>
          <w:sz w:val="22"/>
          <w:szCs w:val="22"/>
        </w:rPr>
        <w:t xml:space="preserve">of it is </w:t>
      </w:r>
      <w:r w:rsidR="00726B26" w:rsidRPr="00754B01">
        <w:rPr>
          <w:sz w:val="22"/>
          <w:szCs w:val="22"/>
        </w:rPr>
        <w:t>premised on</w:t>
      </w:r>
      <w:r w:rsidR="00E60F12" w:rsidRPr="00754B01">
        <w:rPr>
          <w:sz w:val="22"/>
          <w:szCs w:val="22"/>
        </w:rPr>
        <w:t xml:space="preserve"> a mythical “virtuous cycle”—</w:t>
      </w:r>
      <w:r w:rsidR="00726B26" w:rsidRPr="00754B01">
        <w:rPr>
          <w:sz w:val="22"/>
          <w:szCs w:val="22"/>
        </w:rPr>
        <w:t>not actual harms</w:t>
      </w:r>
      <w:r w:rsidR="008A22AF" w:rsidRPr="00754B01">
        <w:rPr>
          <w:sz w:val="22"/>
          <w:szCs w:val="22"/>
        </w:rPr>
        <w:t xml:space="preserve"> to edge providers or consumers</w:t>
      </w:r>
      <w:r w:rsidR="00726B26" w:rsidRPr="00754B01">
        <w:rPr>
          <w:sz w:val="22"/>
          <w:szCs w:val="22"/>
        </w:rPr>
        <w:t xml:space="preserve">.  </w:t>
      </w:r>
    </w:p>
    <w:p w:rsidR="00F85C93" w:rsidRPr="00754B01" w:rsidRDefault="00F85C93" w:rsidP="00F85C93">
      <w:pPr>
        <w:pStyle w:val="NormalWeb"/>
        <w:spacing w:before="0" w:beforeAutospacing="0" w:after="0" w:afterAutospacing="0"/>
        <w:rPr>
          <w:sz w:val="22"/>
          <w:szCs w:val="22"/>
        </w:rPr>
      </w:pPr>
    </w:p>
    <w:p w:rsidR="00F85C93" w:rsidRPr="00754B01" w:rsidRDefault="00F85C93" w:rsidP="009C324C">
      <w:pPr>
        <w:pStyle w:val="NormalWeb"/>
        <w:spacing w:before="0" w:beforeAutospacing="0" w:after="0" w:afterAutospacing="0"/>
        <w:ind w:firstLine="720"/>
        <w:rPr>
          <w:sz w:val="22"/>
          <w:szCs w:val="22"/>
        </w:rPr>
      </w:pPr>
      <w:r w:rsidRPr="00754B01">
        <w:rPr>
          <w:sz w:val="22"/>
          <w:szCs w:val="22"/>
        </w:rPr>
        <w:t xml:space="preserve">In some ways, this evolution is not surprising. </w:t>
      </w:r>
      <w:r w:rsidR="00523714" w:rsidRPr="00754B01">
        <w:rPr>
          <w:sz w:val="22"/>
          <w:szCs w:val="22"/>
        </w:rPr>
        <w:t xml:space="preserve"> </w:t>
      </w:r>
      <w:r w:rsidRPr="00754B01">
        <w:rPr>
          <w:sz w:val="22"/>
          <w:szCs w:val="22"/>
        </w:rPr>
        <w:t>I have consistently expressed concerns, across a number of proceedings</w:t>
      </w:r>
      <w:r w:rsidR="00E60F12" w:rsidRPr="00754B01">
        <w:rPr>
          <w:sz w:val="22"/>
          <w:szCs w:val="22"/>
        </w:rPr>
        <w:t>—</w:t>
      </w:r>
      <w:r w:rsidR="00E81CF3" w:rsidRPr="00754B01">
        <w:rPr>
          <w:sz w:val="22"/>
          <w:szCs w:val="22"/>
        </w:rPr>
        <w:t>t</w:t>
      </w:r>
      <w:r w:rsidRPr="00754B01">
        <w:rPr>
          <w:sz w:val="22"/>
          <w:szCs w:val="22"/>
        </w:rPr>
        <w:t xml:space="preserve">ech </w:t>
      </w:r>
      <w:r w:rsidR="00E81CF3" w:rsidRPr="00754B01">
        <w:rPr>
          <w:sz w:val="22"/>
          <w:szCs w:val="22"/>
        </w:rPr>
        <w:t>t</w:t>
      </w:r>
      <w:r w:rsidRPr="00754B01">
        <w:rPr>
          <w:sz w:val="22"/>
          <w:szCs w:val="22"/>
        </w:rPr>
        <w:t xml:space="preserve">ransitions, </w:t>
      </w:r>
      <w:r w:rsidR="00E81CF3" w:rsidRPr="00754B01">
        <w:rPr>
          <w:sz w:val="22"/>
          <w:szCs w:val="22"/>
        </w:rPr>
        <w:t>text-to-</w:t>
      </w:r>
      <w:r w:rsidRPr="00754B01">
        <w:rPr>
          <w:sz w:val="22"/>
          <w:szCs w:val="22"/>
        </w:rPr>
        <w:t>911, over-the-top video, VoIP symmetry</w:t>
      </w:r>
      <w:r w:rsidR="009C69B1" w:rsidRPr="00754B01">
        <w:rPr>
          <w:sz w:val="22"/>
          <w:szCs w:val="22"/>
        </w:rPr>
        <w:t>, etc.</w:t>
      </w:r>
      <w:r w:rsidR="00E60F12" w:rsidRPr="00754B01">
        <w:rPr>
          <w:sz w:val="22"/>
          <w:szCs w:val="22"/>
        </w:rPr>
        <w:t>—</w:t>
      </w:r>
      <w:r w:rsidRPr="00754B01">
        <w:rPr>
          <w:sz w:val="22"/>
          <w:szCs w:val="22"/>
        </w:rPr>
        <w:t>that this Commission has been slowly but steadil</w:t>
      </w:r>
      <w:r w:rsidR="00D65B8C" w:rsidRPr="00754B01">
        <w:rPr>
          <w:sz w:val="22"/>
          <w:szCs w:val="22"/>
        </w:rPr>
        <w:t>y attempting to bring over-the-top and other</w:t>
      </w:r>
      <w:r w:rsidRPr="00754B01">
        <w:rPr>
          <w:sz w:val="22"/>
          <w:szCs w:val="22"/>
        </w:rPr>
        <w:t xml:space="preserve"> IP services within its reach.</w:t>
      </w:r>
      <w:r w:rsidR="004C541F" w:rsidRPr="00754B01">
        <w:rPr>
          <w:sz w:val="22"/>
          <w:szCs w:val="22"/>
        </w:rPr>
        <w:t xml:space="preserve"> </w:t>
      </w:r>
      <w:r w:rsidRPr="00754B01">
        <w:rPr>
          <w:sz w:val="22"/>
          <w:szCs w:val="22"/>
        </w:rPr>
        <w:t xml:space="preserve"> Now the Commission goes all in and subjects broadband networks</w:t>
      </w:r>
      <w:r w:rsidR="00E60F12" w:rsidRPr="00754B01">
        <w:rPr>
          <w:sz w:val="22"/>
          <w:szCs w:val="22"/>
        </w:rPr>
        <w:t xml:space="preserve">—the </w:t>
      </w:r>
      <w:r w:rsidR="00E81CF3" w:rsidRPr="00754B01">
        <w:rPr>
          <w:sz w:val="22"/>
          <w:szCs w:val="22"/>
        </w:rPr>
        <w:t>foundation</w:t>
      </w:r>
      <w:r w:rsidR="00E60F12" w:rsidRPr="00754B01">
        <w:rPr>
          <w:sz w:val="22"/>
          <w:szCs w:val="22"/>
        </w:rPr>
        <w:t xml:space="preserve"> of the Internet—</w:t>
      </w:r>
      <w:r w:rsidRPr="00754B01">
        <w:rPr>
          <w:sz w:val="22"/>
          <w:szCs w:val="22"/>
        </w:rPr>
        <w:t xml:space="preserve">to Title II itself. </w:t>
      </w:r>
      <w:r w:rsidR="00523714" w:rsidRPr="00754B01">
        <w:rPr>
          <w:sz w:val="22"/>
          <w:szCs w:val="22"/>
        </w:rPr>
        <w:t xml:space="preserve"> </w:t>
      </w:r>
      <w:r w:rsidR="00FB5E30" w:rsidRPr="00754B01">
        <w:rPr>
          <w:sz w:val="22"/>
          <w:szCs w:val="22"/>
        </w:rPr>
        <w:t>Furthermore,</w:t>
      </w:r>
      <w:r w:rsidR="00AC6119" w:rsidRPr="00754B01">
        <w:rPr>
          <w:sz w:val="22"/>
          <w:szCs w:val="22"/>
        </w:rPr>
        <w:t xml:space="preserve"> </w:t>
      </w:r>
      <w:r w:rsidR="00FB5E30" w:rsidRPr="00754B01">
        <w:rPr>
          <w:sz w:val="22"/>
          <w:szCs w:val="22"/>
        </w:rPr>
        <w:t>because there is no</w:t>
      </w:r>
      <w:r w:rsidR="00AC6119" w:rsidRPr="00754B01">
        <w:rPr>
          <w:sz w:val="22"/>
          <w:szCs w:val="22"/>
        </w:rPr>
        <w:t xml:space="preserve"> limiting principle, other providers will eventually be drawn in as well.  </w:t>
      </w:r>
      <w:r w:rsidRPr="00754B01">
        <w:rPr>
          <w:sz w:val="22"/>
          <w:szCs w:val="22"/>
        </w:rPr>
        <w:t xml:space="preserve">‎I </w:t>
      </w:r>
      <w:r w:rsidR="009C69B1" w:rsidRPr="00754B01">
        <w:rPr>
          <w:sz w:val="22"/>
          <w:szCs w:val="22"/>
        </w:rPr>
        <w:t xml:space="preserve">cannot support this monumental and unlawful </w:t>
      </w:r>
      <w:r w:rsidR="003F2963" w:rsidRPr="00754B01">
        <w:rPr>
          <w:sz w:val="22"/>
          <w:szCs w:val="22"/>
        </w:rPr>
        <w:t>power grab</w:t>
      </w:r>
      <w:r w:rsidRPr="00754B01">
        <w:rPr>
          <w:sz w:val="22"/>
          <w:szCs w:val="22"/>
        </w:rPr>
        <w:t>.</w:t>
      </w:r>
    </w:p>
    <w:p w:rsidR="00F85C93" w:rsidRPr="00754B01" w:rsidRDefault="00F85C93" w:rsidP="00F85C93">
      <w:pPr>
        <w:pStyle w:val="NormalWeb"/>
        <w:spacing w:before="0" w:beforeAutospacing="0" w:after="0" w:afterAutospacing="0"/>
        <w:rPr>
          <w:sz w:val="22"/>
          <w:szCs w:val="22"/>
        </w:rPr>
      </w:pPr>
    </w:p>
    <w:p w:rsidR="00F85C93" w:rsidRPr="003B7BE2" w:rsidRDefault="00C04DAE" w:rsidP="00F85C93">
      <w:pPr>
        <w:pStyle w:val="NormalWeb"/>
        <w:spacing w:before="0" w:beforeAutospacing="0" w:after="0" w:afterAutospacing="0"/>
        <w:rPr>
          <w:i/>
          <w:sz w:val="22"/>
          <w:szCs w:val="22"/>
        </w:rPr>
      </w:pPr>
      <w:r w:rsidRPr="003B7BE2">
        <w:rPr>
          <w:i/>
          <w:sz w:val="22"/>
          <w:szCs w:val="22"/>
        </w:rPr>
        <w:t>The Proceeding Did Not Provide Sufficient</w:t>
      </w:r>
      <w:r w:rsidR="00144CB0" w:rsidRPr="003B7BE2">
        <w:rPr>
          <w:i/>
          <w:sz w:val="22"/>
          <w:szCs w:val="22"/>
        </w:rPr>
        <w:t xml:space="preserve"> Notice and Opportunity for Comment</w:t>
      </w:r>
    </w:p>
    <w:p w:rsidR="00F85C93" w:rsidRPr="00F97003" w:rsidRDefault="00F85C93" w:rsidP="00F85C93">
      <w:pPr>
        <w:pStyle w:val="NormalWeb"/>
        <w:spacing w:before="0" w:beforeAutospacing="0" w:after="0" w:afterAutospacing="0"/>
        <w:rPr>
          <w:sz w:val="22"/>
          <w:szCs w:val="22"/>
          <w:highlight w:val="yellow"/>
        </w:rPr>
      </w:pPr>
    </w:p>
    <w:p w:rsidR="00336FCE" w:rsidRPr="00F97003" w:rsidRDefault="00F85C93" w:rsidP="00B506B4">
      <w:pPr>
        <w:pStyle w:val="NormalWeb"/>
        <w:spacing w:before="0" w:beforeAutospacing="0" w:after="0" w:afterAutospacing="0"/>
        <w:ind w:firstLine="720"/>
        <w:rPr>
          <w:sz w:val="22"/>
          <w:szCs w:val="22"/>
          <w:highlight w:val="yellow"/>
        </w:rPr>
      </w:pPr>
      <w:r w:rsidRPr="003B7BE2">
        <w:rPr>
          <w:sz w:val="22"/>
          <w:szCs w:val="22"/>
        </w:rPr>
        <w:t xml:space="preserve">While the item claims </w:t>
      </w:r>
      <w:r w:rsidR="00E84B98" w:rsidRPr="003B7BE2">
        <w:rPr>
          <w:sz w:val="22"/>
          <w:szCs w:val="22"/>
        </w:rPr>
        <w:t>that the decisions are</w:t>
      </w:r>
      <w:r w:rsidRPr="003B7BE2">
        <w:rPr>
          <w:sz w:val="22"/>
          <w:szCs w:val="22"/>
        </w:rPr>
        <w:t xml:space="preserve"> a logical outgrowth of a few open ended questions </w:t>
      </w:r>
      <w:r w:rsidR="004C541F" w:rsidRPr="003B7BE2">
        <w:rPr>
          <w:sz w:val="22"/>
          <w:szCs w:val="22"/>
        </w:rPr>
        <w:t>tacked on the NPRM</w:t>
      </w:r>
      <w:r w:rsidRPr="003B7BE2">
        <w:rPr>
          <w:sz w:val="22"/>
          <w:szCs w:val="22"/>
        </w:rPr>
        <w:t>, that argument is not at all persuasive.</w:t>
      </w:r>
      <w:r w:rsidR="006C5CD2" w:rsidRPr="003B7BE2">
        <w:rPr>
          <w:sz w:val="22"/>
          <w:szCs w:val="22"/>
        </w:rPr>
        <w:t xml:space="preserve">  This is a </w:t>
      </w:r>
      <w:r w:rsidR="000A6B67" w:rsidRPr="003B7BE2">
        <w:rPr>
          <w:sz w:val="22"/>
          <w:szCs w:val="22"/>
        </w:rPr>
        <w:t xml:space="preserve">clearly a </w:t>
      </w:r>
      <w:r w:rsidR="006C5CD2" w:rsidRPr="003B7BE2">
        <w:rPr>
          <w:sz w:val="22"/>
          <w:szCs w:val="22"/>
        </w:rPr>
        <w:t xml:space="preserve">situation where “interested </w:t>
      </w:r>
      <w:r w:rsidR="006C5CD2" w:rsidRPr="003B7BE2">
        <w:rPr>
          <w:sz w:val="22"/>
          <w:szCs w:val="22"/>
        </w:rPr>
        <w:lastRenderedPageBreak/>
        <w:t xml:space="preserve">parties would have had to divine the </w:t>
      </w:r>
      <w:r w:rsidR="00363D99" w:rsidRPr="003B7BE2">
        <w:rPr>
          <w:sz w:val="22"/>
          <w:szCs w:val="22"/>
        </w:rPr>
        <w:t>agency</w:t>
      </w:r>
      <w:r w:rsidR="00363D99">
        <w:rPr>
          <w:sz w:val="22"/>
          <w:szCs w:val="22"/>
        </w:rPr>
        <w:t>’</w:t>
      </w:r>
      <w:r w:rsidR="00363D99" w:rsidRPr="003B7BE2">
        <w:rPr>
          <w:sz w:val="22"/>
          <w:szCs w:val="22"/>
        </w:rPr>
        <w:t xml:space="preserve">s </w:t>
      </w:r>
      <w:r w:rsidR="006C5CD2" w:rsidRPr="003B7BE2">
        <w:rPr>
          <w:sz w:val="22"/>
          <w:szCs w:val="22"/>
        </w:rPr>
        <w:t>unspoken thoughts, because the final rule was surprisingly distant from the proposed rule.”</w:t>
      </w:r>
      <w:r w:rsidR="006C5CD2" w:rsidRPr="003B7BE2">
        <w:rPr>
          <w:rStyle w:val="FootnoteReference"/>
          <w:color w:val="000000"/>
          <w:sz w:val="22"/>
          <w:szCs w:val="22"/>
        </w:rPr>
        <w:footnoteReference w:id="3"/>
      </w:r>
      <w:r w:rsidR="006C5CD2" w:rsidRPr="003B7BE2">
        <w:rPr>
          <w:sz w:val="22"/>
          <w:szCs w:val="22"/>
        </w:rPr>
        <w:t xml:space="preserve">  </w:t>
      </w:r>
    </w:p>
    <w:p w:rsidR="00D97F81" w:rsidRPr="00F97003" w:rsidRDefault="00D97F81" w:rsidP="00F85C93">
      <w:pPr>
        <w:pStyle w:val="NormalWeb"/>
        <w:spacing w:before="0" w:beforeAutospacing="0" w:after="0" w:afterAutospacing="0"/>
        <w:rPr>
          <w:sz w:val="22"/>
          <w:szCs w:val="22"/>
          <w:highlight w:val="yellow"/>
        </w:rPr>
      </w:pPr>
    </w:p>
    <w:p w:rsidR="00F85C93" w:rsidRPr="00754B01" w:rsidRDefault="00072D79" w:rsidP="009C324C">
      <w:pPr>
        <w:pStyle w:val="NormalWeb"/>
        <w:spacing w:before="0" w:beforeAutospacing="0" w:after="0" w:afterAutospacing="0"/>
        <w:ind w:firstLine="720"/>
        <w:rPr>
          <w:sz w:val="22"/>
          <w:szCs w:val="22"/>
        </w:rPr>
      </w:pPr>
      <w:r>
        <w:rPr>
          <w:sz w:val="22"/>
          <w:szCs w:val="22"/>
        </w:rPr>
        <w:t>I</w:t>
      </w:r>
      <w:r w:rsidR="00F85C93" w:rsidRPr="003B7BE2">
        <w:rPr>
          <w:sz w:val="22"/>
          <w:szCs w:val="22"/>
        </w:rPr>
        <w:t>nterested parties effectively had no notice</w:t>
      </w:r>
      <w:r w:rsidR="006C5CD2" w:rsidRPr="003B7BE2">
        <w:rPr>
          <w:sz w:val="22"/>
          <w:szCs w:val="22"/>
        </w:rPr>
        <w:t xml:space="preserve"> or opportunity to respond to </w:t>
      </w:r>
      <w:r>
        <w:rPr>
          <w:sz w:val="22"/>
          <w:szCs w:val="22"/>
        </w:rPr>
        <w:t>the vast evolution that took place from NPRM to final order</w:t>
      </w:r>
      <w:r w:rsidR="00726B26" w:rsidRPr="003B7BE2">
        <w:rPr>
          <w:sz w:val="22"/>
          <w:szCs w:val="22"/>
        </w:rPr>
        <w:t xml:space="preserve">. </w:t>
      </w:r>
      <w:r>
        <w:rPr>
          <w:sz w:val="22"/>
          <w:szCs w:val="22"/>
        </w:rPr>
        <w:t xml:space="preserve"> K</w:t>
      </w:r>
      <w:r w:rsidR="00726B26" w:rsidRPr="003B7BE2">
        <w:rPr>
          <w:sz w:val="22"/>
          <w:szCs w:val="22"/>
        </w:rPr>
        <w:t>ey points include</w:t>
      </w:r>
      <w:r w:rsidR="00F85C93" w:rsidRPr="003B7BE2">
        <w:rPr>
          <w:sz w:val="22"/>
          <w:szCs w:val="22"/>
        </w:rPr>
        <w:t xml:space="preserve">: </w:t>
      </w:r>
      <w:r w:rsidR="0027753D" w:rsidRPr="003B7BE2">
        <w:rPr>
          <w:sz w:val="22"/>
          <w:szCs w:val="22"/>
        </w:rPr>
        <w:t>the scop</w:t>
      </w:r>
      <w:r w:rsidR="000A6B67" w:rsidRPr="003B7BE2">
        <w:rPr>
          <w:sz w:val="22"/>
          <w:szCs w:val="22"/>
        </w:rPr>
        <w:t>e of the newly defined services</w:t>
      </w:r>
      <w:r w:rsidR="00363D99">
        <w:rPr>
          <w:sz w:val="22"/>
          <w:szCs w:val="22"/>
        </w:rPr>
        <w:t>,</w:t>
      </w:r>
      <w:r w:rsidR="000A6B67" w:rsidRPr="003B7BE2">
        <w:rPr>
          <w:sz w:val="22"/>
          <w:szCs w:val="22"/>
        </w:rPr>
        <w:t xml:space="preserve"> including </w:t>
      </w:r>
      <w:r w:rsidR="0027753D" w:rsidRPr="003B7BE2">
        <w:rPr>
          <w:sz w:val="22"/>
          <w:szCs w:val="22"/>
        </w:rPr>
        <w:t>how they</w:t>
      </w:r>
      <w:r w:rsidR="00F85C93" w:rsidRPr="003B7BE2">
        <w:rPr>
          <w:sz w:val="22"/>
          <w:szCs w:val="22"/>
        </w:rPr>
        <w:t xml:space="preserve"> relate to each other; the legal analysis underlying </w:t>
      </w:r>
      <w:r w:rsidR="0027753D" w:rsidRPr="003B7BE2">
        <w:rPr>
          <w:sz w:val="22"/>
          <w:szCs w:val="22"/>
        </w:rPr>
        <w:t>the</w:t>
      </w:r>
      <w:r w:rsidR="00F85C93" w:rsidRPr="003B7BE2">
        <w:rPr>
          <w:sz w:val="22"/>
          <w:szCs w:val="22"/>
        </w:rPr>
        <w:t xml:space="preserve"> classification </w:t>
      </w:r>
      <w:r w:rsidR="0027753D" w:rsidRPr="003B7BE2">
        <w:rPr>
          <w:sz w:val="22"/>
          <w:szCs w:val="22"/>
        </w:rPr>
        <w:t>or</w:t>
      </w:r>
      <w:r w:rsidR="00F85C93" w:rsidRPr="003B7BE2">
        <w:rPr>
          <w:sz w:val="22"/>
          <w:szCs w:val="22"/>
        </w:rPr>
        <w:t xml:space="preserve"> reclassification</w:t>
      </w:r>
      <w:r w:rsidR="0027753D" w:rsidRPr="003B7BE2">
        <w:rPr>
          <w:sz w:val="22"/>
          <w:szCs w:val="22"/>
        </w:rPr>
        <w:t xml:space="preserve"> o</w:t>
      </w:r>
      <w:r w:rsidR="003F2963" w:rsidRPr="003B7BE2">
        <w:rPr>
          <w:sz w:val="22"/>
          <w:szCs w:val="22"/>
        </w:rPr>
        <w:t>f</w:t>
      </w:r>
      <w:r w:rsidR="0027753D" w:rsidRPr="003B7BE2">
        <w:rPr>
          <w:sz w:val="22"/>
          <w:szCs w:val="22"/>
        </w:rPr>
        <w:t xml:space="preserve"> each service</w:t>
      </w:r>
      <w:r w:rsidR="00F85C93" w:rsidRPr="003B7BE2">
        <w:rPr>
          <w:sz w:val="22"/>
          <w:szCs w:val="22"/>
        </w:rPr>
        <w:t xml:space="preserve">; </w:t>
      </w:r>
      <w:r w:rsidR="004C541F" w:rsidRPr="003B7BE2">
        <w:rPr>
          <w:sz w:val="22"/>
          <w:szCs w:val="22"/>
        </w:rPr>
        <w:t xml:space="preserve">how forbearance would apply in the context </w:t>
      </w:r>
      <w:r w:rsidR="000272C5" w:rsidRPr="003B7BE2">
        <w:rPr>
          <w:sz w:val="22"/>
          <w:szCs w:val="22"/>
        </w:rPr>
        <w:t>of these newly defined services;</w:t>
      </w:r>
      <w:r w:rsidR="004C541F" w:rsidRPr="003B7BE2">
        <w:rPr>
          <w:sz w:val="22"/>
          <w:szCs w:val="22"/>
        </w:rPr>
        <w:t xml:space="preserve"> </w:t>
      </w:r>
      <w:r w:rsidR="00F85C93" w:rsidRPr="003B7BE2">
        <w:rPr>
          <w:sz w:val="22"/>
          <w:szCs w:val="22"/>
        </w:rPr>
        <w:t>and the theory underlying forbearance, including using sections 201, 202, and 706 to backfill other provisions.</w:t>
      </w:r>
      <w:r w:rsidR="0010592A" w:rsidRPr="003B7BE2">
        <w:rPr>
          <w:rStyle w:val="FootnoteReference"/>
          <w:sz w:val="22"/>
          <w:szCs w:val="22"/>
        </w:rPr>
        <w:footnoteReference w:id="4"/>
      </w:r>
      <w:r w:rsidR="006C5CD2" w:rsidRPr="00754B01">
        <w:rPr>
          <w:sz w:val="22"/>
          <w:szCs w:val="22"/>
        </w:rPr>
        <w:t xml:space="preserve">  </w:t>
      </w:r>
    </w:p>
    <w:p w:rsidR="00F85C93" w:rsidRDefault="00F85C93" w:rsidP="00F85C93">
      <w:pPr>
        <w:pStyle w:val="NormalWeb"/>
        <w:spacing w:before="0" w:beforeAutospacing="0" w:after="0" w:afterAutospacing="0"/>
        <w:rPr>
          <w:sz w:val="22"/>
          <w:szCs w:val="22"/>
        </w:rPr>
      </w:pPr>
    </w:p>
    <w:p w:rsidR="00F85C93" w:rsidRPr="003B7BE2" w:rsidRDefault="00144CB0" w:rsidP="00F85C93">
      <w:pPr>
        <w:rPr>
          <w:rFonts w:ascii="Times New Roman" w:hAnsi="Times New Roman"/>
          <w:i/>
        </w:rPr>
      </w:pPr>
      <w:r w:rsidRPr="003B7BE2">
        <w:rPr>
          <w:rFonts w:ascii="Times New Roman" w:hAnsi="Times New Roman"/>
          <w:i/>
        </w:rPr>
        <w:t>The Findings are Not Supported by</w:t>
      </w:r>
      <w:r w:rsidR="00F85C93" w:rsidRPr="003B7BE2">
        <w:rPr>
          <w:rFonts w:ascii="Times New Roman" w:hAnsi="Times New Roman"/>
          <w:i/>
        </w:rPr>
        <w:t xml:space="preserve"> </w:t>
      </w:r>
      <w:r w:rsidR="000272C5" w:rsidRPr="003B7BE2">
        <w:rPr>
          <w:rFonts w:ascii="Times New Roman" w:hAnsi="Times New Roman"/>
          <w:i/>
        </w:rPr>
        <w:t xml:space="preserve">Evidence of </w:t>
      </w:r>
      <w:r w:rsidR="0028316B" w:rsidRPr="003B7BE2">
        <w:rPr>
          <w:rFonts w:ascii="Times New Roman" w:hAnsi="Times New Roman"/>
          <w:i/>
        </w:rPr>
        <w:t>Actual Harms</w:t>
      </w:r>
    </w:p>
    <w:p w:rsidR="00D97F81" w:rsidRPr="003B7BE2" w:rsidRDefault="00D97F81" w:rsidP="00F85C93">
      <w:pPr>
        <w:rPr>
          <w:rFonts w:ascii="Times New Roman" w:hAnsi="Times New Roman"/>
        </w:rPr>
      </w:pPr>
    </w:p>
    <w:p w:rsidR="00F85C93" w:rsidRPr="003B7BE2" w:rsidRDefault="00072D79" w:rsidP="009C324C">
      <w:pPr>
        <w:pStyle w:val="NormalWeb"/>
        <w:spacing w:before="0" w:beforeAutospacing="0" w:after="0" w:afterAutospacing="0"/>
        <w:ind w:firstLine="720"/>
        <w:rPr>
          <w:sz w:val="22"/>
          <w:szCs w:val="22"/>
        </w:rPr>
      </w:pPr>
      <w:r>
        <w:rPr>
          <w:sz w:val="22"/>
          <w:szCs w:val="22"/>
        </w:rPr>
        <w:t>Even after enduring three weeks of spin, i</w:t>
      </w:r>
      <w:r w:rsidR="008A22AF" w:rsidRPr="003B7BE2">
        <w:rPr>
          <w:sz w:val="22"/>
          <w:szCs w:val="22"/>
        </w:rPr>
        <w:t xml:space="preserve">t is hard </w:t>
      </w:r>
      <w:r>
        <w:rPr>
          <w:sz w:val="22"/>
          <w:szCs w:val="22"/>
        </w:rPr>
        <w:t xml:space="preserve">for me </w:t>
      </w:r>
      <w:r w:rsidR="008A22AF" w:rsidRPr="003B7BE2">
        <w:rPr>
          <w:sz w:val="22"/>
          <w:szCs w:val="22"/>
        </w:rPr>
        <w:t xml:space="preserve">to believe that </w:t>
      </w:r>
      <w:r w:rsidR="003C3F69" w:rsidRPr="003B7BE2">
        <w:rPr>
          <w:sz w:val="22"/>
          <w:szCs w:val="22"/>
        </w:rPr>
        <w:t xml:space="preserve">the Commission is establishing </w:t>
      </w:r>
      <w:r w:rsidR="00201E4A">
        <w:rPr>
          <w:sz w:val="22"/>
          <w:szCs w:val="22"/>
        </w:rPr>
        <w:t>an</w:t>
      </w:r>
      <w:r w:rsidR="003C3F69" w:rsidRPr="003B7BE2">
        <w:rPr>
          <w:sz w:val="22"/>
          <w:szCs w:val="22"/>
        </w:rPr>
        <w:t xml:space="preserve"> entire Title II/net neutrality regime to </w:t>
      </w:r>
      <w:r w:rsidR="00F85C93" w:rsidRPr="003B7BE2">
        <w:rPr>
          <w:sz w:val="22"/>
          <w:szCs w:val="22"/>
        </w:rPr>
        <w:t>protect against hypothetical harms.</w:t>
      </w:r>
      <w:r w:rsidR="008B463F" w:rsidRPr="003B7BE2">
        <w:rPr>
          <w:rStyle w:val="FootnoteReference"/>
          <w:sz w:val="22"/>
          <w:szCs w:val="22"/>
        </w:rPr>
        <w:footnoteReference w:id="5"/>
      </w:r>
      <w:r w:rsidR="00F85C93" w:rsidRPr="003B7BE2">
        <w:rPr>
          <w:sz w:val="22"/>
          <w:szCs w:val="22"/>
        </w:rPr>
        <w:t xml:space="preserve"> </w:t>
      </w:r>
      <w:r w:rsidR="008A22AF" w:rsidRPr="003B7BE2">
        <w:rPr>
          <w:sz w:val="22"/>
          <w:szCs w:val="22"/>
        </w:rPr>
        <w:t xml:space="preserve">There is not a shred of evidence that </w:t>
      </w:r>
      <w:r w:rsidR="00773B1A" w:rsidRPr="003B7BE2">
        <w:rPr>
          <w:sz w:val="22"/>
          <w:szCs w:val="22"/>
        </w:rPr>
        <w:t>any aspect of this</w:t>
      </w:r>
      <w:r w:rsidR="008A22AF" w:rsidRPr="003B7BE2">
        <w:rPr>
          <w:sz w:val="22"/>
          <w:szCs w:val="22"/>
        </w:rPr>
        <w:t xml:space="preserve"> </w:t>
      </w:r>
      <w:r w:rsidR="003C3F69" w:rsidRPr="003B7BE2">
        <w:rPr>
          <w:sz w:val="22"/>
          <w:szCs w:val="22"/>
        </w:rPr>
        <w:t xml:space="preserve">structure </w:t>
      </w:r>
      <w:r w:rsidR="008A22AF" w:rsidRPr="003B7BE2">
        <w:rPr>
          <w:sz w:val="22"/>
          <w:szCs w:val="22"/>
        </w:rPr>
        <w:t>is necessary</w:t>
      </w:r>
      <w:r w:rsidR="00773B1A" w:rsidRPr="003B7BE2">
        <w:rPr>
          <w:sz w:val="22"/>
          <w:szCs w:val="22"/>
        </w:rPr>
        <w:t xml:space="preserve">.  </w:t>
      </w:r>
      <w:r w:rsidR="009C324C" w:rsidRPr="003B7BE2">
        <w:rPr>
          <w:sz w:val="22"/>
          <w:szCs w:val="22"/>
        </w:rPr>
        <w:t xml:space="preserve">The D.C. Circuit called </w:t>
      </w:r>
      <w:r w:rsidR="00773B1A" w:rsidRPr="003B7BE2">
        <w:rPr>
          <w:sz w:val="22"/>
          <w:szCs w:val="22"/>
        </w:rPr>
        <w:t>the prior</w:t>
      </w:r>
      <w:r w:rsidR="003C3F69" w:rsidRPr="003B7BE2">
        <w:rPr>
          <w:sz w:val="22"/>
          <w:szCs w:val="22"/>
        </w:rPr>
        <w:t>, scaled-down</w:t>
      </w:r>
      <w:r w:rsidR="00773B1A" w:rsidRPr="003B7BE2">
        <w:rPr>
          <w:sz w:val="22"/>
          <w:szCs w:val="22"/>
        </w:rPr>
        <w:t xml:space="preserve"> version</w:t>
      </w:r>
      <w:r w:rsidR="009C324C" w:rsidRPr="003B7BE2">
        <w:rPr>
          <w:sz w:val="22"/>
          <w:szCs w:val="22"/>
        </w:rPr>
        <w:t xml:space="preserve"> a </w:t>
      </w:r>
      <w:r>
        <w:rPr>
          <w:sz w:val="22"/>
          <w:szCs w:val="22"/>
        </w:rPr>
        <w:t>“</w:t>
      </w:r>
      <w:r w:rsidR="009C324C" w:rsidRPr="003B7BE2">
        <w:rPr>
          <w:sz w:val="22"/>
          <w:szCs w:val="22"/>
        </w:rPr>
        <w:t>prophylactic</w:t>
      </w:r>
      <w:r>
        <w:rPr>
          <w:sz w:val="22"/>
          <w:szCs w:val="22"/>
        </w:rPr>
        <w:t>”</w:t>
      </w:r>
      <w:r w:rsidR="009C324C" w:rsidRPr="003B7BE2">
        <w:rPr>
          <w:sz w:val="22"/>
          <w:szCs w:val="22"/>
        </w:rPr>
        <w:t xml:space="preserve"> approach.  I call it </w:t>
      </w:r>
      <w:r w:rsidR="00F85C93" w:rsidRPr="003B7BE2">
        <w:rPr>
          <w:sz w:val="22"/>
          <w:szCs w:val="22"/>
        </w:rPr>
        <w:t>guilt by imagination.  </w:t>
      </w:r>
    </w:p>
    <w:p w:rsidR="009C324C" w:rsidRPr="00F97003" w:rsidRDefault="009C324C" w:rsidP="00F85C93">
      <w:pPr>
        <w:pStyle w:val="NormalWeb"/>
        <w:spacing w:before="0" w:beforeAutospacing="0" w:after="0" w:afterAutospacing="0"/>
        <w:rPr>
          <w:sz w:val="22"/>
          <w:szCs w:val="22"/>
          <w:highlight w:val="yellow"/>
        </w:rPr>
      </w:pPr>
    </w:p>
    <w:p w:rsidR="00F85C93" w:rsidRPr="003B7BE2" w:rsidRDefault="00DD5DD7" w:rsidP="00DD5DD7">
      <w:pPr>
        <w:pStyle w:val="NormalWeb"/>
        <w:spacing w:before="0" w:beforeAutospacing="0" w:after="0" w:afterAutospacing="0"/>
        <w:ind w:firstLine="720"/>
        <w:rPr>
          <w:sz w:val="22"/>
          <w:szCs w:val="22"/>
        </w:rPr>
      </w:pPr>
      <w:r w:rsidRPr="003B7BE2">
        <w:rPr>
          <w:sz w:val="22"/>
          <w:szCs w:val="22"/>
        </w:rPr>
        <w:t>Moreover</w:t>
      </w:r>
      <w:r w:rsidR="00F85C93" w:rsidRPr="003B7BE2">
        <w:rPr>
          <w:sz w:val="22"/>
          <w:szCs w:val="22"/>
        </w:rPr>
        <w:t>, the Commission</w:t>
      </w:r>
      <w:r w:rsidRPr="003B7BE2">
        <w:rPr>
          <w:sz w:val="22"/>
          <w:szCs w:val="22"/>
        </w:rPr>
        <w:t>,</w:t>
      </w:r>
      <w:r w:rsidR="00F85C93" w:rsidRPr="003B7BE2">
        <w:rPr>
          <w:sz w:val="22"/>
          <w:szCs w:val="22"/>
        </w:rPr>
        <w:t xml:space="preserve"> </w:t>
      </w:r>
      <w:r w:rsidRPr="003B7BE2">
        <w:rPr>
          <w:sz w:val="22"/>
          <w:szCs w:val="22"/>
        </w:rPr>
        <w:t xml:space="preserve">once again, </w:t>
      </w:r>
      <w:r w:rsidR="00F85C93" w:rsidRPr="003B7BE2">
        <w:rPr>
          <w:sz w:val="22"/>
          <w:szCs w:val="22"/>
        </w:rPr>
        <w:t xml:space="preserve">takes a pass on performing a market power analysis in favor of </w:t>
      </w:r>
      <w:r w:rsidRPr="003B7BE2">
        <w:rPr>
          <w:sz w:val="22"/>
          <w:szCs w:val="22"/>
        </w:rPr>
        <w:t>repetitive</w:t>
      </w:r>
      <w:r w:rsidR="00F85C93" w:rsidRPr="003B7BE2">
        <w:rPr>
          <w:sz w:val="22"/>
          <w:szCs w:val="22"/>
        </w:rPr>
        <w:t xml:space="preserve"> </w:t>
      </w:r>
      <w:r w:rsidR="005D6DD1" w:rsidRPr="003B7BE2">
        <w:rPr>
          <w:sz w:val="22"/>
          <w:szCs w:val="22"/>
        </w:rPr>
        <w:t>invocation</w:t>
      </w:r>
      <w:r w:rsidR="00F85C93" w:rsidRPr="003B7BE2">
        <w:rPr>
          <w:sz w:val="22"/>
          <w:szCs w:val="22"/>
        </w:rPr>
        <w:t xml:space="preserve"> of the </w:t>
      </w:r>
      <w:r w:rsidR="00363D99">
        <w:rPr>
          <w:sz w:val="22"/>
          <w:szCs w:val="22"/>
        </w:rPr>
        <w:t>“</w:t>
      </w:r>
      <w:r w:rsidR="00F85C93" w:rsidRPr="003B7BE2">
        <w:rPr>
          <w:sz w:val="22"/>
          <w:szCs w:val="22"/>
        </w:rPr>
        <w:t>virtuous cycle</w:t>
      </w:r>
      <w:r w:rsidR="00363D99">
        <w:rPr>
          <w:sz w:val="22"/>
          <w:szCs w:val="22"/>
        </w:rPr>
        <w:t>”</w:t>
      </w:r>
      <w:r w:rsidR="00363D99" w:rsidRPr="003B7BE2">
        <w:rPr>
          <w:sz w:val="22"/>
          <w:szCs w:val="22"/>
        </w:rPr>
        <w:t xml:space="preserve"> </w:t>
      </w:r>
      <w:r w:rsidR="00F85C93" w:rsidRPr="003B7BE2">
        <w:rPr>
          <w:sz w:val="22"/>
          <w:szCs w:val="22"/>
        </w:rPr>
        <w:t xml:space="preserve">nonsense. </w:t>
      </w:r>
      <w:r w:rsidR="000A6B67" w:rsidRPr="003B7BE2">
        <w:rPr>
          <w:sz w:val="22"/>
          <w:szCs w:val="22"/>
        </w:rPr>
        <w:t xml:space="preserve"> </w:t>
      </w:r>
      <w:r w:rsidR="00F85C93" w:rsidRPr="003B7BE2">
        <w:rPr>
          <w:sz w:val="22"/>
          <w:szCs w:val="22"/>
        </w:rPr>
        <w:t xml:space="preserve">That may have been good enough </w:t>
      </w:r>
      <w:r w:rsidR="00144CB0" w:rsidRPr="003B7BE2">
        <w:rPr>
          <w:sz w:val="22"/>
          <w:szCs w:val="22"/>
        </w:rPr>
        <w:t xml:space="preserve">to </w:t>
      </w:r>
      <w:r w:rsidR="005D6DD1" w:rsidRPr="003B7BE2">
        <w:rPr>
          <w:sz w:val="22"/>
          <w:szCs w:val="22"/>
        </w:rPr>
        <w:t>narrowly survive review</w:t>
      </w:r>
      <w:r w:rsidR="0085598C" w:rsidRPr="003B7BE2">
        <w:rPr>
          <w:sz w:val="22"/>
          <w:szCs w:val="22"/>
        </w:rPr>
        <w:t xml:space="preserve"> when all that was at stake was net neutrality rules</w:t>
      </w:r>
      <w:r w:rsidR="0028316B" w:rsidRPr="003B7BE2">
        <w:rPr>
          <w:sz w:val="22"/>
          <w:szCs w:val="22"/>
        </w:rPr>
        <w:t xml:space="preserve">.  But </w:t>
      </w:r>
      <w:r w:rsidR="00363D99" w:rsidRPr="003B7BE2">
        <w:rPr>
          <w:sz w:val="22"/>
          <w:szCs w:val="22"/>
        </w:rPr>
        <w:t>that</w:t>
      </w:r>
      <w:r w:rsidR="00363D99">
        <w:rPr>
          <w:sz w:val="22"/>
          <w:szCs w:val="22"/>
        </w:rPr>
        <w:t>’</w:t>
      </w:r>
      <w:r w:rsidR="00363D99" w:rsidRPr="003B7BE2">
        <w:rPr>
          <w:sz w:val="22"/>
          <w:szCs w:val="22"/>
        </w:rPr>
        <w:t xml:space="preserve">s </w:t>
      </w:r>
      <w:r w:rsidR="00F85C93" w:rsidRPr="003B7BE2">
        <w:rPr>
          <w:sz w:val="22"/>
          <w:szCs w:val="22"/>
        </w:rPr>
        <w:t>no guarantee that such ‎</w:t>
      </w:r>
      <w:r w:rsidRPr="003B7BE2">
        <w:rPr>
          <w:sz w:val="22"/>
          <w:szCs w:val="22"/>
        </w:rPr>
        <w:t xml:space="preserve">flimsy </w:t>
      </w:r>
      <w:r w:rsidR="00F85C93" w:rsidRPr="003B7BE2">
        <w:rPr>
          <w:sz w:val="22"/>
          <w:szCs w:val="22"/>
        </w:rPr>
        <w:t xml:space="preserve">reasoning will </w:t>
      </w:r>
      <w:r w:rsidR="005D6DD1" w:rsidRPr="003B7BE2">
        <w:rPr>
          <w:sz w:val="22"/>
          <w:szCs w:val="22"/>
        </w:rPr>
        <w:t>withstand</w:t>
      </w:r>
      <w:r w:rsidR="00F85C93" w:rsidRPr="003B7BE2">
        <w:rPr>
          <w:sz w:val="22"/>
          <w:szCs w:val="22"/>
        </w:rPr>
        <w:t xml:space="preserve"> another round </w:t>
      </w:r>
      <w:r w:rsidR="00E81CF3" w:rsidRPr="003B7BE2">
        <w:rPr>
          <w:sz w:val="22"/>
          <w:szCs w:val="22"/>
        </w:rPr>
        <w:t xml:space="preserve">(or two) </w:t>
      </w:r>
      <w:r w:rsidR="00F85C93" w:rsidRPr="003B7BE2">
        <w:rPr>
          <w:sz w:val="22"/>
          <w:szCs w:val="22"/>
        </w:rPr>
        <w:t>of scrutiny</w:t>
      </w:r>
      <w:r w:rsidR="0085598C" w:rsidRPr="003B7BE2">
        <w:rPr>
          <w:sz w:val="22"/>
          <w:szCs w:val="22"/>
        </w:rPr>
        <w:t xml:space="preserve"> </w:t>
      </w:r>
      <w:r w:rsidRPr="003B7BE2">
        <w:rPr>
          <w:sz w:val="22"/>
          <w:szCs w:val="22"/>
        </w:rPr>
        <w:t>now that</w:t>
      </w:r>
      <w:r w:rsidR="00780926" w:rsidRPr="003B7BE2">
        <w:rPr>
          <w:sz w:val="22"/>
          <w:szCs w:val="22"/>
        </w:rPr>
        <w:t xml:space="preserve"> </w:t>
      </w:r>
      <w:r w:rsidR="001C234C">
        <w:rPr>
          <w:sz w:val="22"/>
          <w:szCs w:val="22"/>
        </w:rPr>
        <w:t xml:space="preserve">all of </w:t>
      </w:r>
      <w:r w:rsidR="00B91559" w:rsidRPr="003B7BE2">
        <w:rPr>
          <w:sz w:val="22"/>
          <w:szCs w:val="22"/>
        </w:rPr>
        <w:t>Title II</w:t>
      </w:r>
      <w:r w:rsidRPr="003B7BE2">
        <w:rPr>
          <w:sz w:val="22"/>
          <w:szCs w:val="22"/>
        </w:rPr>
        <w:t xml:space="preserve"> hangs in the balance</w:t>
      </w:r>
      <w:r w:rsidR="00E60F12" w:rsidRPr="003B7BE2">
        <w:rPr>
          <w:sz w:val="22"/>
          <w:szCs w:val="22"/>
        </w:rPr>
        <w:t xml:space="preserve"> as well</w:t>
      </w:r>
      <w:r w:rsidR="00F85C93" w:rsidRPr="003B7BE2">
        <w:rPr>
          <w:sz w:val="22"/>
          <w:szCs w:val="22"/>
        </w:rPr>
        <w:t>.</w:t>
      </w:r>
    </w:p>
    <w:p w:rsidR="0085598C" w:rsidRPr="00F97003" w:rsidRDefault="0085598C" w:rsidP="009C324C">
      <w:pPr>
        <w:pStyle w:val="NormalWeb"/>
        <w:spacing w:before="0" w:beforeAutospacing="0" w:after="0" w:afterAutospacing="0"/>
        <w:ind w:firstLine="720"/>
        <w:rPr>
          <w:sz w:val="22"/>
          <w:szCs w:val="22"/>
          <w:highlight w:val="yellow"/>
        </w:rPr>
      </w:pPr>
    </w:p>
    <w:p w:rsidR="00F85C93" w:rsidRPr="00754B01" w:rsidRDefault="00F85C93" w:rsidP="00F85C93">
      <w:pPr>
        <w:rPr>
          <w:rFonts w:ascii="Times New Roman" w:hAnsi="Times New Roman"/>
          <w:i/>
        </w:rPr>
      </w:pPr>
      <w:r w:rsidRPr="00754B01">
        <w:rPr>
          <w:rFonts w:ascii="Times New Roman" w:hAnsi="Times New Roman"/>
          <w:i/>
        </w:rPr>
        <w:t>Title</w:t>
      </w:r>
      <w:r w:rsidR="00340E04" w:rsidRPr="00754B01">
        <w:rPr>
          <w:rFonts w:ascii="Times New Roman" w:hAnsi="Times New Roman"/>
          <w:i/>
        </w:rPr>
        <w:t xml:space="preserve"> II is an Extreme Solution to an Imaginary </w:t>
      </w:r>
      <w:r w:rsidRPr="00754B01">
        <w:rPr>
          <w:rFonts w:ascii="Times New Roman" w:hAnsi="Times New Roman"/>
          <w:i/>
        </w:rPr>
        <w:t>Problem</w:t>
      </w:r>
    </w:p>
    <w:p w:rsidR="0085598C" w:rsidRPr="00754B01" w:rsidRDefault="0085598C" w:rsidP="00F85C93">
      <w:pPr>
        <w:rPr>
          <w:rFonts w:ascii="Times New Roman" w:hAnsi="Times New Roman"/>
        </w:rPr>
      </w:pPr>
    </w:p>
    <w:p w:rsidR="009320EA" w:rsidRPr="00754B01" w:rsidRDefault="00F85C93" w:rsidP="00C04DAE">
      <w:pPr>
        <w:autoSpaceDE w:val="0"/>
        <w:autoSpaceDN w:val="0"/>
        <w:ind w:firstLine="720"/>
        <w:rPr>
          <w:rFonts w:ascii="Times New Roman" w:hAnsi="Times New Roman"/>
        </w:rPr>
      </w:pPr>
      <w:r w:rsidRPr="00754B01">
        <w:rPr>
          <w:rFonts w:ascii="Times New Roman" w:hAnsi="Times New Roman"/>
        </w:rPr>
        <w:t xml:space="preserve">While some </w:t>
      </w:r>
      <w:r w:rsidR="0095638A" w:rsidRPr="00754B01">
        <w:rPr>
          <w:rFonts w:ascii="Times New Roman" w:hAnsi="Times New Roman"/>
        </w:rPr>
        <w:t xml:space="preserve">providers </w:t>
      </w:r>
      <w:r w:rsidRPr="00754B01">
        <w:rPr>
          <w:rFonts w:ascii="Times New Roman" w:hAnsi="Times New Roman"/>
        </w:rPr>
        <w:t xml:space="preserve">may have been willing to live with net neutrality rules </w:t>
      </w:r>
      <w:r w:rsidR="003C1B08" w:rsidRPr="00754B01">
        <w:rPr>
          <w:rFonts w:ascii="Times New Roman" w:hAnsi="Times New Roman"/>
        </w:rPr>
        <w:t xml:space="preserve">under section 706 </w:t>
      </w:r>
      <w:r w:rsidRPr="00754B01">
        <w:rPr>
          <w:rFonts w:ascii="Times New Roman" w:hAnsi="Times New Roman"/>
        </w:rPr>
        <w:t>based on nothing more than speculative harms, it is an entirely different</w:t>
      </w:r>
      <w:r w:rsidR="0095638A" w:rsidRPr="00754B01">
        <w:rPr>
          <w:rFonts w:ascii="Times New Roman" w:hAnsi="Times New Roman"/>
        </w:rPr>
        <w:t xml:space="preserve"> matter to impose Title II without concrete evidence that doing so is absolutely necessary</w:t>
      </w:r>
      <w:r w:rsidRPr="00754B01">
        <w:rPr>
          <w:rFonts w:ascii="Times New Roman" w:hAnsi="Times New Roman"/>
        </w:rPr>
        <w:t>.</w:t>
      </w:r>
      <w:r w:rsidR="0095638A" w:rsidRPr="00754B01">
        <w:rPr>
          <w:rFonts w:ascii="Times New Roman" w:hAnsi="Times New Roman"/>
        </w:rPr>
        <w:t xml:space="preserve">  </w:t>
      </w:r>
      <w:r w:rsidR="009320EA" w:rsidRPr="00754B01">
        <w:rPr>
          <w:rFonts w:ascii="Times New Roman" w:hAnsi="Times New Roman"/>
        </w:rPr>
        <w:t xml:space="preserve">The item supposedly invokes Title II in order to put the net neutrality rules on the firmest legal footing.  But </w:t>
      </w:r>
      <w:r w:rsidR="00876658" w:rsidRPr="00754B01">
        <w:rPr>
          <w:rFonts w:ascii="Times New Roman" w:hAnsi="Times New Roman"/>
        </w:rPr>
        <w:t>Title II is far more t</w:t>
      </w:r>
      <w:r w:rsidR="00E60F12" w:rsidRPr="00754B01">
        <w:rPr>
          <w:rFonts w:ascii="Times New Roman" w:hAnsi="Times New Roman"/>
        </w:rPr>
        <w:t>han a convenient legal theory—</w:t>
      </w:r>
      <w:r w:rsidR="00876658" w:rsidRPr="00754B01">
        <w:rPr>
          <w:rFonts w:ascii="Times New Roman" w:hAnsi="Times New Roman"/>
        </w:rPr>
        <w:t xml:space="preserve">it is a comprehensive set of regulations designed to rein in monopoly telephone companies.  And it is laden </w:t>
      </w:r>
      <w:r w:rsidR="005D6DD1" w:rsidRPr="00754B01">
        <w:rPr>
          <w:rFonts w:ascii="Times New Roman" w:hAnsi="Times New Roman"/>
        </w:rPr>
        <w:t xml:space="preserve">with </w:t>
      </w:r>
      <w:r w:rsidR="00876658" w:rsidRPr="00754B01">
        <w:rPr>
          <w:rFonts w:ascii="Times New Roman" w:hAnsi="Times New Roman"/>
        </w:rPr>
        <w:t>decades of precedent that cannot be shrugged off with simple incantations like, “To the extent our prior precedents suggest otherwise, for the reasons discussed in the text, we disavow such an interpretation as applied to the open Internet context.”</w:t>
      </w:r>
      <w:r w:rsidR="00E76826" w:rsidRPr="00754B01">
        <w:rPr>
          <w:rStyle w:val="FootnoteReference"/>
          <w:rFonts w:ascii="Times New Roman" w:hAnsi="Times New Roman"/>
        </w:rPr>
        <w:footnoteReference w:id="6"/>
      </w:r>
    </w:p>
    <w:p w:rsidR="009320EA" w:rsidRPr="000504B0" w:rsidRDefault="009320EA" w:rsidP="00C04DAE">
      <w:pPr>
        <w:autoSpaceDE w:val="0"/>
        <w:autoSpaceDN w:val="0"/>
        <w:ind w:firstLine="720"/>
        <w:rPr>
          <w:rFonts w:ascii="Times New Roman" w:hAnsi="Times New Roman"/>
        </w:rPr>
      </w:pPr>
    </w:p>
    <w:p w:rsidR="00B03349" w:rsidRPr="00754B01" w:rsidRDefault="0095638A" w:rsidP="00C04DAE">
      <w:pPr>
        <w:autoSpaceDE w:val="0"/>
        <w:autoSpaceDN w:val="0"/>
        <w:ind w:firstLine="720"/>
        <w:rPr>
          <w:rFonts w:ascii="Times New Roman" w:hAnsi="Times New Roman"/>
          <w:color w:val="000000"/>
        </w:rPr>
      </w:pPr>
      <w:r w:rsidRPr="00754B01">
        <w:rPr>
          <w:rFonts w:ascii="Times New Roman" w:hAnsi="Times New Roman"/>
        </w:rPr>
        <w:t xml:space="preserve">There is a reason that Title II has been called the nuclear option.  </w:t>
      </w:r>
      <w:r w:rsidR="00DD5DD7" w:rsidRPr="00754B01">
        <w:rPr>
          <w:rFonts w:ascii="Times New Roman" w:hAnsi="Times New Roman"/>
        </w:rPr>
        <w:t xml:space="preserve">No matter what the FCC tries to do to </w:t>
      </w:r>
      <w:r w:rsidR="00C04DAE" w:rsidRPr="00754B01">
        <w:rPr>
          <w:rFonts w:ascii="Times New Roman" w:hAnsi="Times New Roman"/>
        </w:rPr>
        <w:t>limit the fallout (and it is not trying very hard to do that here)</w:t>
      </w:r>
      <w:r w:rsidR="00DD5DD7" w:rsidRPr="00754B01">
        <w:rPr>
          <w:rFonts w:ascii="Times New Roman" w:hAnsi="Times New Roman"/>
        </w:rPr>
        <w:t xml:space="preserve"> </w:t>
      </w:r>
      <w:r w:rsidR="00C04DAE" w:rsidRPr="00754B01">
        <w:rPr>
          <w:rFonts w:ascii="Times New Roman" w:hAnsi="Times New Roman"/>
        </w:rPr>
        <w:t>the decision will still impact investment</w:t>
      </w:r>
      <w:r w:rsidR="00072D79">
        <w:rPr>
          <w:rFonts w:ascii="Times New Roman" w:hAnsi="Times New Roman"/>
        </w:rPr>
        <w:t>s</w:t>
      </w:r>
      <w:r w:rsidR="00C04DAE" w:rsidRPr="00754B01">
        <w:rPr>
          <w:rFonts w:ascii="Times New Roman" w:hAnsi="Times New Roman"/>
        </w:rPr>
        <w:t xml:space="preserve">.  As one analyst reportedly wrote just last week, </w:t>
      </w:r>
      <w:r w:rsidR="00DD5DD7" w:rsidRPr="00754B01">
        <w:rPr>
          <w:rFonts w:ascii="Times New Roman" w:hAnsi="Times New Roman"/>
          <w:color w:val="000000"/>
        </w:rPr>
        <w:t>“</w:t>
      </w:r>
      <w:r w:rsidR="00C04DAE" w:rsidRPr="00754B01">
        <w:rPr>
          <w:rFonts w:ascii="Times New Roman" w:hAnsi="Times New Roman"/>
          <w:color w:val="000000"/>
        </w:rPr>
        <w:t>terminal growth rate assumptions need to be lowered…</w:t>
      </w:r>
      <w:r w:rsidR="00DD5DD7" w:rsidRPr="00754B01">
        <w:rPr>
          <w:rFonts w:ascii="Times New Roman" w:hAnsi="Times New Roman"/>
          <w:color w:val="000000"/>
        </w:rPr>
        <w:t>Title II is about price regulation. It would be naïve to believe</w:t>
      </w:r>
      <w:r w:rsidR="00C04DAE" w:rsidRPr="00754B01">
        <w:rPr>
          <w:rFonts w:ascii="Times New Roman" w:hAnsi="Times New Roman"/>
          <w:color w:val="000000"/>
        </w:rPr>
        <w:t xml:space="preserve"> </w:t>
      </w:r>
      <w:r w:rsidR="00DD5DD7" w:rsidRPr="00754B01">
        <w:rPr>
          <w:rFonts w:ascii="Times New Roman" w:hAnsi="Times New Roman"/>
          <w:color w:val="000000"/>
        </w:rPr>
        <w:t>that the imposition of a regime that is fundamentally about price regulation, in an industry that the FCC has</w:t>
      </w:r>
      <w:r w:rsidR="00C04DAE" w:rsidRPr="00754B01">
        <w:rPr>
          <w:rFonts w:ascii="Times New Roman" w:hAnsi="Times New Roman"/>
          <w:color w:val="000000"/>
        </w:rPr>
        <w:t xml:space="preserve"> </w:t>
      </w:r>
      <w:r w:rsidR="00DD5DD7" w:rsidRPr="00754B01">
        <w:rPr>
          <w:rFonts w:ascii="Times New Roman" w:hAnsi="Times New Roman"/>
          <w:color w:val="000000"/>
        </w:rPr>
        <w:t>now repeatedly declared to be non-competitive, wouldn’t introduce risk to future pricing power</w:t>
      </w:r>
      <w:r w:rsidR="00C04DAE" w:rsidRPr="00754B01">
        <w:rPr>
          <w:rFonts w:ascii="Times New Roman" w:hAnsi="Times New Roman"/>
          <w:color w:val="000000"/>
        </w:rPr>
        <w:t>.</w:t>
      </w:r>
      <w:r w:rsidR="00DD5DD7" w:rsidRPr="00754B01">
        <w:rPr>
          <w:rFonts w:ascii="Times New Roman" w:hAnsi="Times New Roman"/>
          <w:color w:val="000000"/>
        </w:rPr>
        <w:t>”</w:t>
      </w:r>
      <w:r w:rsidR="00C04DAE" w:rsidRPr="00754B01">
        <w:rPr>
          <w:rStyle w:val="FootnoteReference"/>
          <w:rFonts w:ascii="Times New Roman" w:hAnsi="Times New Roman"/>
          <w:color w:val="000000"/>
        </w:rPr>
        <w:footnoteReference w:id="7"/>
      </w:r>
      <w:r w:rsidR="00DD5DD7" w:rsidRPr="00754B01">
        <w:rPr>
          <w:rFonts w:ascii="Times New Roman" w:hAnsi="Times New Roman"/>
          <w:color w:val="000000"/>
        </w:rPr>
        <w:t xml:space="preserve"> </w:t>
      </w:r>
      <w:r w:rsidR="00C04DAE" w:rsidRPr="00754B01">
        <w:rPr>
          <w:rFonts w:ascii="Times New Roman" w:hAnsi="Times New Roman"/>
          <w:color w:val="000000"/>
        </w:rPr>
        <w:t xml:space="preserve"> </w:t>
      </w:r>
    </w:p>
    <w:p w:rsidR="00B03349" w:rsidRPr="000504B0" w:rsidRDefault="00B03349" w:rsidP="00C04DAE">
      <w:pPr>
        <w:autoSpaceDE w:val="0"/>
        <w:autoSpaceDN w:val="0"/>
        <w:ind w:firstLine="720"/>
        <w:rPr>
          <w:rFonts w:ascii="Times New Roman" w:hAnsi="Times New Roman"/>
          <w:color w:val="000000"/>
        </w:rPr>
      </w:pPr>
    </w:p>
    <w:p w:rsidR="00E76826" w:rsidRPr="00754B01" w:rsidRDefault="00C04DAE" w:rsidP="00C04DAE">
      <w:pPr>
        <w:autoSpaceDE w:val="0"/>
        <w:autoSpaceDN w:val="0"/>
        <w:ind w:firstLine="720"/>
        <w:rPr>
          <w:rFonts w:ascii="Times New Roman" w:hAnsi="Times New Roman"/>
          <w:color w:val="000000"/>
        </w:rPr>
      </w:pPr>
      <w:r w:rsidRPr="00754B01">
        <w:rPr>
          <w:rFonts w:ascii="Times New Roman" w:hAnsi="Times New Roman"/>
          <w:color w:val="000000"/>
        </w:rPr>
        <w:t xml:space="preserve">While the FCC </w:t>
      </w:r>
      <w:r w:rsidR="003B3CDE" w:rsidRPr="00754B01">
        <w:rPr>
          <w:rFonts w:ascii="Times New Roman" w:hAnsi="Times New Roman"/>
          <w:color w:val="000000"/>
        </w:rPr>
        <w:t>tailors</w:t>
      </w:r>
      <w:r w:rsidRPr="00754B01">
        <w:rPr>
          <w:rFonts w:ascii="Times New Roman" w:hAnsi="Times New Roman"/>
          <w:color w:val="000000"/>
        </w:rPr>
        <w:t xml:space="preserve"> certain statements from providers </w:t>
      </w:r>
      <w:r w:rsidR="00B03349" w:rsidRPr="00754B01">
        <w:rPr>
          <w:rFonts w:ascii="Times New Roman" w:hAnsi="Times New Roman"/>
          <w:color w:val="000000"/>
        </w:rPr>
        <w:t>to reject assertions that Title II will “substantially diminish</w:t>
      </w:r>
      <w:r w:rsidRPr="00754B01">
        <w:rPr>
          <w:rFonts w:ascii="Times New Roman" w:hAnsi="Times New Roman"/>
          <w:color w:val="000000"/>
        </w:rPr>
        <w:t xml:space="preserve"> </w:t>
      </w:r>
      <w:r w:rsidR="00B03349" w:rsidRPr="00754B01">
        <w:rPr>
          <w:rFonts w:ascii="Times New Roman" w:hAnsi="Times New Roman"/>
          <w:color w:val="000000"/>
        </w:rPr>
        <w:t>overall broadband investment”, that doesn’t give me a lot of comfort.</w:t>
      </w:r>
      <w:r w:rsidR="008B0E99" w:rsidRPr="00754B01">
        <w:rPr>
          <w:rStyle w:val="FootnoteReference"/>
          <w:rFonts w:ascii="Times New Roman" w:hAnsi="Times New Roman"/>
          <w:color w:val="000000"/>
        </w:rPr>
        <w:footnoteReference w:id="8"/>
      </w:r>
      <w:r w:rsidR="00B03349" w:rsidRPr="00754B01">
        <w:rPr>
          <w:rFonts w:ascii="Times New Roman" w:hAnsi="Times New Roman"/>
          <w:color w:val="000000"/>
        </w:rPr>
        <w:t xml:space="preserve">  Even a </w:t>
      </w:r>
      <w:r w:rsidR="00B03349" w:rsidRPr="000504B0">
        <w:rPr>
          <w:rFonts w:ascii="Times New Roman" w:hAnsi="Times New Roman"/>
          <w:i/>
          <w:color w:val="000000"/>
        </w:rPr>
        <w:t>modest</w:t>
      </w:r>
      <w:r w:rsidR="00B03349" w:rsidRPr="00754B01">
        <w:rPr>
          <w:rFonts w:ascii="Times New Roman" w:hAnsi="Times New Roman"/>
          <w:color w:val="000000"/>
        </w:rPr>
        <w:t xml:space="preserve"> reduction is too great a price </w:t>
      </w:r>
      <w:r w:rsidR="005D6DD1" w:rsidRPr="00754B01">
        <w:rPr>
          <w:rFonts w:ascii="Times New Roman" w:hAnsi="Times New Roman"/>
          <w:color w:val="000000"/>
        </w:rPr>
        <w:t xml:space="preserve">to pay </w:t>
      </w:r>
      <w:r w:rsidR="00B03349" w:rsidRPr="00754B01">
        <w:rPr>
          <w:rFonts w:ascii="Times New Roman" w:hAnsi="Times New Roman"/>
          <w:color w:val="000000"/>
        </w:rPr>
        <w:t xml:space="preserve">when weighed against purely speculative harms.  Moreover, the harms to small ISPs will be disproportionately severe and the FCC gives them no reprieve </w:t>
      </w:r>
      <w:r w:rsidR="005D6DD1" w:rsidRPr="00754B01">
        <w:rPr>
          <w:rFonts w:ascii="Times New Roman" w:hAnsi="Times New Roman"/>
          <w:color w:val="000000"/>
        </w:rPr>
        <w:t xml:space="preserve">from Title II </w:t>
      </w:r>
      <w:r w:rsidR="00B03349" w:rsidRPr="00754B01">
        <w:rPr>
          <w:rFonts w:ascii="Times New Roman" w:hAnsi="Times New Roman"/>
          <w:color w:val="000000"/>
        </w:rPr>
        <w:t xml:space="preserve">whatsoever.  </w:t>
      </w:r>
    </w:p>
    <w:p w:rsidR="00E76826" w:rsidRPr="00754B01" w:rsidRDefault="00E76826" w:rsidP="00C04DAE">
      <w:pPr>
        <w:autoSpaceDE w:val="0"/>
        <w:autoSpaceDN w:val="0"/>
        <w:ind w:firstLine="720"/>
        <w:rPr>
          <w:rFonts w:ascii="Times New Roman" w:hAnsi="Times New Roman"/>
          <w:color w:val="000000"/>
        </w:rPr>
      </w:pPr>
    </w:p>
    <w:p w:rsidR="00DD5DD7" w:rsidRPr="00754B01" w:rsidRDefault="00876658" w:rsidP="00C04DAE">
      <w:pPr>
        <w:autoSpaceDE w:val="0"/>
        <w:autoSpaceDN w:val="0"/>
        <w:ind w:firstLine="720"/>
        <w:rPr>
          <w:rFonts w:ascii="Times New Roman" w:hAnsi="Times New Roman"/>
          <w:color w:val="000000"/>
        </w:rPr>
      </w:pPr>
      <w:r w:rsidRPr="00754B01">
        <w:rPr>
          <w:rFonts w:ascii="Times New Roman" w:hAnsi="Times New Roman"/>
          <w:color w:val="000000"/>
        </w:rPr>
        <w:t xml:space="preserve">Incredibly, the item gives significant weight to </w:t>
      </w:r>
      <w:r w:rsidR="007A7AC4" w:rsidRPr="00754B01">
        <w:rPr>
          <w:rFonts w:ascii="Times New Roman" w:hAnsi="Times New Roman"/>
          <w:color w:val="000000"/>
        </w:rPr>
        <w:t xml:space="preserve">a </w:t>
      </w:r>
      <w:r w:rsidRPr="00754B01">
        <w:rPr>
          <w:rFonts w:ascii="Times New Roman" w:hAnsi="Times New Roman"/>
          <w:color w:val="000000"/>
        </w:rPr>
        <w:t xml:space="preserve">theoretical cost of forgone innovation </w:t>
      </w:r>
      <w:r w:rsidR="007A7AC4" w:rsidRPr="00754B01">
        <w:rPr>
          <w:rFonts w:ascii="Times New Roman" w:hAnsi="Times New Roman"/>
          <w:color w:val="000000"/>
        </w:rPr>
        <w:t xml:space="preserve">but gives </w:t>
      </w:r>
      <w:r w:rsidR="005D6DD1" w:rsidRPr="00754B01">
        <w:rPr>
          <w:rFonts w:ascii="Times New Roman" w:hAnsi="Times New Roman"/>
          <w:color w:val="000000"/>
        </w:rPr>
        <w:t xml:space="preserve">essentially </w:t>
      </w:r>
      <w:r w:rsidR="007A7AC4" w:rsidRPr="00754B01">
        <w:rPr>
          <w:rFonts w:ascii="Times New Roman" w:hAnsi="Times New Roman"/>
          <w:color w:val="000000"/>
        </w:rPr>
        <w:t>no weig</w:t>
      </w:r>
      <w:r w:rsidR="005D6DD1" w:rsidRPr="00754B01">
        <w:rPr>
          <w:rFonts w:ascii="Times New Roman" w:hAnsi="Times New Roman"/>
          <w:color w:val="000000"/>
        </w:rPr>
        <w:t xml:space="preserve">ht to </w:t>
      </w:r>
      <w:r w:rsidR="00964209">
        <w:rPr>
          <w:rFonts w:ascii="Times New Roman" w:hAnsi="Times New Roman"/>
          <w:color w:val="000000"/>
        </w:rPr>
        <w:t xml:space="preserve">the cost of </w:t>
      </w:r>
      <w:r w:rsidR="005D6DD1" w:rsidRPr="00964209">
        <w:rPr>
          <w:rFonts w:ascii="Times New Roman" w:hAnsi="Times New Roman"/>
          <w:color w:val="000000"/>
        </w:rPr>
        <w:t>for</w:t>
      </w:r>
      <w:r w:rsidR="007A7AC4" w:rsidRPr="00964209">
        <w:rPr>
          <w:rFonts w:ascii="Times New Roman" w:hAnsi="Times New Roman"/>
          <w:color w:val="000000"/>
        </w:rPr>
        <w:t xml:space="preserve">gone investment.  I am far more concerned about the Americans that will remain unserved as a result of our rules.  </w:t>
      </w:r>
      <w:r w:rsidR="00A56DD7" w:rsidRPr="00964209">
        <w:rPr>
          <w:rFonts w:ascii="Times New Roman" w:hAnsi="Times New Roman"/>
          <w:color w:val="000000"/>
        </w:rPr>
        <w:t xml:space="preserve">Forget about an open Internet; they have no Internet.  </w:t>
      </w:r>
      <w:r w:rsidR="005D6DD1" w:rsidRPr="00964209">
        <w:rPr>
          <w:rFonts w:ascii="Times New Roman" w:hAnsi="Times New Roman"/>
          <w:color w:val="000000"/>
        </w:rPr>
        <w:t>W</w:t>
      </w:r>
      <w:r w:rsidR="005E0D97" w:rsidRPr="00964209">
        <w:rPr>
          <w:rFonts w:ascii="Times New Roman" w:hAnsi="Times New Roman"/>
          <w:color w:val="000000"/>
        </w:rPr>
        <w:t xml:space="preserve">e need to be focused on ways to promote deployment, and not in some roundabout virtuous cycle way, but through </w:t>
      </w:r>
      <w:r w:rsidR="005D5827" w:rsidRPr="000504B0">
        <w:rPr>
          <w:rFonts w:ascii="Times New Roman" w:hAnsi="Times New Roman"/>
          <w:color w:val="000000"/>
        </w:rPr>
        <w:t>proven</w:t>
      </w:r>
      <w:r w:rsidR="005E0D97" w:rsidRPr="00754B01">
        <w:rPr>
          <w:rFonts w:ascii="Times New Roman" w:hAnsi="Times New Roman"/>
          <w:color w:val="000000"/>
        </w:rPr>
        <w:t xml:space="preserve"> deregulatory measures.  </w:t>
      </w:r>
      <w:r w:rsidR="005D5827" w:rsidRPr="00754B01">
        <w:rPr>
          <w:rFonts w:ascii="Times New Roman" w:hAnsi="Times New Roman"/>
          <w:color w:val="000000"/>
        </w:rPr>
        <w:t xml:space="preserve">I am very concerned that, far from a virtuous cycle, </w:t>
      </w:r>
      <w:r w:rsidR="005E0D97" w:rsidRPr="00754B01">
        <w:rPr>
          <w:rFonts w:ascii="Times New Roman" w:hAnsi="Times New Roman"/>
          <w:color w:val="000000"/>
        </w:rPr>
        <w:t>we are</w:t>
      </w:r>
      <w:r w:rsidR="007A7AC4" w:rsidRPr="00754B01">
        <w:rPr>
          <w:rFonts w:ascii="Times New Roman" w:hAnsi="Times New Roman"/>
          <w:color w:val="000000"/>
        </w:rPr>
        <w:t xml:space="preserve"> creating a vicious cycle where regulation</w:t>
      </w:r>
      <w:r w:rsidR="007D429E" w:rsidRPr="00754B01">
        <w:rPr>
          <w:rFonts w:ascii="Times New Roman" w:hAnsi="Times New Roman"/>
          <w:color w:val="000000"/>
        </w:rPr>
        <w:t xml:space="preserve"> deters investment in broadband and that begets more regulation to stimulate competition and deployment </w:t>
      </w:r>
      <w:r w:rsidR="00726AAD" w:rsidRPr="00754B01">
        <w:rPr>
          <w:rFonts w:ascii="Times New Roman" w:hAnsi="Times New Roman"/>
          <w:color w:val="000000"/>
        </w:rPr>
        <w:t>that</w:t>
      </w:r>
      <w:r w:rsidR="007D429E" w:rsidRPr="00754B01">
        <w:rPr>
          <w:rFonts w:ascii="Times New Roman" w:hAnsi="Times New Roman"/>
          <w:color w:val="000000"/>
        </w:rPr>
        <w:t xml:space="preserve"> will further deter </w:t>
      </w:r>
      <w:r w:rsidR="00FB61A0" w:rsidRPr="00754B01">
        <w:rPr>
          <w:rFonts w:ascii="Times New Roman" w:hAnsi="Times New Roman"/>
          <w:color w:val="000000"/>
        </w:rPr>
        <w:t>investment</w:t>
      </w:r>
      <w:r w:rsidR="007D429E" w:rsidRPr="00754B01">
        <w:rPr>
          <w:rFonts w:ascii="Times New Roman" w:hAnsi="Times New Roman"/>
          <w:color w:val="000000"/>
        </w:rPr>
        <w:t xml:space="preserve">.  </w:t>
      </w:r>
      <w:r w:rsidR="00FB61A0" w:rsidRPr="00754B01">
        <w:rPr>
          <w:rFonts w:ascii="Times New Roman" w:hAnsi="Times New Roman"/>
          <w:color w:val="000000"/>
        </w:rPr>
        <w:t>In other words, the beating</w:t>
      </w:r>
      <w:r w:rsidR="002E4E39">
        <w:rPr>
          <w:rFonts w:ascii="Times New Roman" w:hAnsi="Times New Roman"/>
          <w:color w:val="000000"/>
        </w:rPr>
        <w:t>s</w:t>
      </w:r>
      <w:r w:rsidR="00FB61A0" w:rsidRPr="00754B01">
        <w:rPr>
          <w:rFonts w:ascii="Times New Roman" w:hAnsi="Times New Roman"/>
          <w:color w:val="000000"/>
        </w:rPr>
        <w:t xml:space="preserve"> will continue until morale improves.</w:t>
      </w:r>
    </w:p>
    <w:p w:rsidR="00C04DAE" w:rsidRPr="00754B01" w:rsidRDefault="00C04DAE" w:rsidP="00C04DAE">
      <w:pPr>
        <w:autoSpaceDE w:val="0"/>
        <w:autoSpaceDN w:val="0"/>
        <w:ind w:firstLine="720"/>
        <w:rPr>
          <w:rFonts w:ascii="Times New Roman" w:hAnsi="Times New Roman"/>
          <w:color w:val="000000"/>
        </w:rPr>
      </w:pPr>
    </w:p>
    <w:p w:rsidR="00121B42" w:rsidRPr="003B7BE2" w:rsidRDefault="00121B42" w:rsidP="00121B42">
      <w:pPr>
        <w:rPr>
          <w:rFonts w:ascii="Times New Roman" w:hAnsi="Times New Roman"/>
          <w:i/>
        </w:rPr>
      </w:pPr>
      <w:r w:rsidRPr="003B7BE2">
        <w:rPr>
          <w:rFonts w:ascii="Times New Roman" w:hAnsi="Times New Roman"/>
          <w:i/>
        </w:rPr>
        <w:t>The Commission's Decision to Classify Broadband Internet Access Service as a Telecommunications Service is Contrary to Law and Fact</w:t>
      </w:r>
    </w:p>
    <w:p w:rsidR="00121B42" w:rsidRPr="002E4E39" w:rsidRDefault="00121B42" w:rsidP="00121B42">
      <w:pPr>
        <w:rPr>
          <w:rFonts w:ascii="Times New Roman" w:hAnsi="Times New Roman"/>
          <w:highlight w:val="yellow"/>
        </w:rPr>
      </w:pPr>
    </w:p>
    <w:p w:rsidR="00121B42" w:rsidRPr="003B7BE2" w:rsidRDefault="00121B42" w:rsidP="00121B42">
      <w:pPr>
        <w:rPr>
          <w:rFonts w:ascii="Times New Roman" w:hAnsi="Times New Roman"/>
        </w:rPr>
      </w:pPr>
      <w:r w:rsidRPr="003B7BE2">
        <w:rPr>
          <w:rFonts w:ascii="Times New Roman" w:hAnsi="Times New Roman"/>
        </w:rPr>
        <w:tab/>
        <w:t xml:space="preserve">Notably, the item not only reverses its decision to treat broadband Internet access service as an information service, but it also determines, for the first time, that Title II applies to the entire service—not just a transmission component.  As </w:t>
      </w:r>
      <w:r w:rsidR="00FB61A0" w:rsidRPr="003B7BE2">
        <w:rPr>
          <w:rFonts w:ascii="Times New Roman" w:hAnsi="Times New Roman"/>
        </w:rPr>
        <w:t>one provider</w:t>
      </w:r>
      <w:r w:rsidRPr="003B7BE2">
        <w:rPr>
          <w:rFonts w:ascii="Times New Roman" w:hAnsi="Times New Roman"/>
        </w:rPr>
        <w:t xml:space="preserve"> put it, </w:t>
      </w:r>
      <w:r w:rsidR="00F833D1">
        <w:rPr>
          <w:rFonts w:ascii="Times New Roman" w:hAnsi="Times New Roman"/>
        </w:rPr>
        <w:t>“</w:t>
      </w:r>
      <w:r w:rsidRPr="003B7BE2">
        <w:rPr>
          <w:rFonts w:ascii="Times New Roman" w:hAnsi="Times New Roman"/>
        </w:rPr>
        <w:t xml:space="preserve">the conclusion that retail </w:t>
      </w:r>
      <w:r w:rsidR="00363D99">
        <w:rPr>
          <w:rFonts w:ascii="Times New Roman" w:hAnsi="Times New Roman"/>
        </w:rPr>
        <w:t>‘</w:t>
      </w:r>
      <w:r w:rsidRPr="003B7BE2">
        <w:rPr>
          <w:rFonts w:ascii="Times New Roman" w:hAnsi="Times New Roman"/>
        </w:rPr>
        <w:t xml:space="preserve">broadband Internet </w:t>
      </w:r>
      <w:r w:rsidR="00363D99" w:rsidRPr="003B7BE2">
        <w:rPr>
          <w:rFonts w:ascii="Times New Roman" w:hAnsi="Times New Roman"/>
        </w:rPr>
        <w:t>access</w:t>
      </w:r>
      <w:r w:rsidR="00363D99">
        <w:rPr>
          <w:rFonts w:ascii="Times New Roman" w:hAnsi="Times New Roman"/>
        </w:rPr>
        <w:t>’</w:t>
      </w:r>
      <w:r w:rsidR="00363D99" w:rsidRPr="003B7BE2">
        <w:rPr>
          <w:rFonts w:ascii="Times New Roman" w:hAnsi="Times New Roman"/>
        </w:rPr>
        <w:t xml:space="preserve"> </w:t>
      </w:r>
      <w:r w:rsidRPr="003B7BE2">
        <w:rPr>
          <w:rFonts w:ascii="Times New Roman" w:hAnsi="Times New Roman"/>
        </w:rPr>
        <w:t>is a telecommunications service is contrary to the plain text of multiple provisions of the Communications Act, decades of Commission decisions, and the views of all nine Supreme Court Justices in [</w:t>
      </w:r>
      <w:r w:rsidRPr="00363D99">
        <w:rPr>
          <w:rFonts w:ascii="Times New Roman" w:hAnsi="Times New Roman"/>
          <w:i/>
        </w:rPr>
        <w:t>Brand X</w:t>
      </w:r>
      <w:r w:rsidRPr="003B7BE2">
        <w:rPr>
          <w:rFonts w:ascii="Times New Roman" w:hAnsi="Times New Roman"/>
        </w:rPr>
        <w:t>].</w:t>
      </w:r>
      <w:r w:rsidR="00F833D1">
        <w:rPr>
          <w:rFonts w:ascii="Times New Roman" w:hAnsi="Times New Roman"/>
        </w:rPr>
        <w:t>”</w:t>
      </w:r>
      <w:r w:rsidRPr="003B7BE2">
        <w:rPr>
          <w:rStyle w:val="FootnoteReference"/>
          <w:rFonts w:ascii="Times New Roman" w:hAnsi="Times New Roman"/>
        </w:rPr>
        <w:footnoteReference w:id="9"/>
      </w:r>
      <w:r w:rsidRPr="003B7BE2">
        <w:rPr>
          <w:rFonts w:ascii="Times New Roman" w:hAnsi="Times New Roman"/>
        </w:rPr>
        <w:t xml:space="preserve">  </w:t>
      </w:r>
    </w:p>
    <w:p w:rsidR="00121B42" w:rsidRPr="003B7BE2" w:rsidRDefault="00121B42" w:rsidP="00121B42">
      <w:pPr>
        <w:rPr>
          <w:rFonts w:ascii="Times New Roman" w:hAnsi="Times New Roman"/>
        </w:rPr>
      </w:pPr>
    </w:p>
    <w:p w:rsidR="00B506B4" w:rsidRPr="002E4E39" w:rsidRDefault="00121B42" w:rsidP="00B506B4">
      <w:pPr>
        <w:rPr>
          <w:rFonts w:ascii="Times New Roman" w:hAnsi="Times New Roman"/>
        </w:rPr>
      </w:pPr>
      <w:r w:rsidRPr="003B7BE2">
        <w:rPr>
          <w:rFonts w:ascii="Times New Roman" w:hAnsi="Times New Roman"/>
        </w:rPr>
        <w:tab/>
        <w:t xml:space="preserve">The item also gives short shrift to the argument that prior decisions to classify broadband Internet access service as an information service </w:t>
      </w:r>
      <w:r w:rsidR="00F833D1">
        <w:rPr>
          <w:rFonts w:ascii="Times New Roman" w:hAnsi="Times New Roman"/>
        </w:rPr>
        <w:t>“</w:t>
      </w:r>
      <w:r w:rsidRPr="003B7BE2">
        <w:rPr>
          <w:rFonts w:ascii="Times New Roman" w:hAnsi="Times New Roman"/>
        </w:rPr>
        <w:t>engendered serious reliance interests that must be taken into account.”</w:t>
      </w:r>
      <w:r w:rsidRPr="003B7BE2">
        <w:rPr>
          <w:rStyle w:val="FootnoteReference"/>
          <w:rFonts w:ascii="Times New Roman" w:hAnsi="Times New Roman"/>
        </w:rPr>
        <w:footnoteReference w:id="10"/>
      </w:r>
      <w:r w:rsidRPr="003B7BE2">
        <w:rPr>
          <w:rFonts w:ascii="Times New Roman" w:hAnsi="Times New Roman"/>
        </w:rPr>
        <w:t xml:space="preserve"> </w:t>
      </w:r>
    </w:p>
    <w:p w:rsidR="00121B42" w:rsidRPr="002E4E39" w:rsidRDefault="00121B42" w:rsidP="00121B42">
      <w:pPr>
        <w:rPr>
          <w:rFonts w:ascii="Times New Roman" w:hAnsi="Times New Roman"/>
          <w:highlight w:val="yellow"/>
        </w:rPr>
      </w:pPr>
    </w:p>
    <w:p w:rsidR="001806DF" w:rsidRDefault="001806DF" w:rsidP="001806DF">
      <w:pPr>
        <w:ind w:firstLine="720"/>
        <w:rPr>
          <w:rFonts w:ascii="Times New Roman" w:hAnsi="Times New Roman"/>
        </w:rPr>
      </w:pPr>
      <w:r w:rsidRPr="003B7BE2">
        <w:rPr>
          <w:rFonts w:ascii="Times New Roman" w:hAnsi="Times New Roman"/>
        </w:rPr>
        <w:t xml:space="preserve">I am just as troubled by the substantial factual errors underlying the decision.  Adherence to </w:t>
      </w:r>
      <w:r>
        <w:rPr>
          <w:rFonts w:ascii="Times New Roman" w:hAnsi="Times New Roman"/>
        </w:rPr>
        <w:t>“</w:t>
      </w:r>
      <w:r w:rsidRPr="003B7BE2">
        <w:rPr>
          <w:rFonts w:ascii="Times New Roman" w:hAnsi="Times New Roman"/>
        </w:rPr>
        <w:t>factually unsupportable assertion[s]</w:t>
      </w:r>
      <w:r>
        <w:rPr>
          <w:rFonts w:ascii="Times New Roman" w:hAnsi="Times New Roman"/>
        </w:rPr>
        <w:t>”</w:t>
      </w:r>
      <w:r w:rsidRPr="003B7BE2">
        <w:rPr>
          <w:rFonts w:ascii="Times New Roman" w:hAnsi="Times New Roman"/>
        </w:rPr>
        <w:t xml:space="preserve"> shows that the Commission has </w:t>
      </w:r>
      <w:r>
        <w:rPr>
          <w:rFonts w:ascii="Times New Roman" w:hAnsi="Times New Roman"/>
        </w:rPr>
        <w:t>“</w:t>
      </w:r>
      <w:r w:rsidRPr="003B7BE2">
        <w:rPr>
          <w:rFonts w:ascii="Times New Roman" w:hAnsi="Times New Roman"/>
        </w:rPr>
        <w:t>abdicate[d] its role as the expert federal agency on communications networks and services, and ignore[d] the administrative record in this proceeding.</w:t>
      </w:r>
      <w:r>
        <w:rPr>
          <w:rFonts w:ascii="Times New Roman" w:hAnsi="Times New Roman"/>
        </w:rPr>
        <w:t>”</w:t>
      </w:r>
      <w:r w:rsidRPr="003B7BE2">
        <w:rPr>
          <w:rStyle w:val="FootnoteReference"/>
          <w:rFonts w:ascii="Times New Roman" w:hAnsi="Times New Roman"/>
        </w:rPr>
        <w:footnoteReference w:id="11"/>
      </w:r>
    </w:p>
    <w:p w:rsidR="001806DF" w:rsidRDefault="001806DF" w:rsidP="00F85C93">
      <w:pPr>
        <w:rPr>
          <w:rFonts w:ascii="Times New Roman" w:hAnsi="Times New Roman"/>
        </w:rPr>
      </w:pPr>
    </w:p>
    <w:p w:rsidR="002F0765" w:rsidRPr="00754B01" w:rsidRDefault="002F0765" w:rsidP="00F85C93">
      <w:pPr>
        <w:rPr>
          <w:rFonts w:ascii="Times New Roman" w:hAnsi="Times New Roman"/>
          <w:i/>
        </w:rPr>
      </w:pPr>
      <w:r w:rsidRPr="00754B01">
        <w:rPr>
          <w:rFonts w:ascii="Times New Roman" w:hAnsi="Times New Roman"/>
          <w:i/>
        </w:rPr>
        <w:t xml:space="preserve">The Commission Cannot “Subsume” Internet Traffic Exchange into </w:t>
      </w:r>
      <w:r w:rsidR="00052E2E" w:rsidRPr="00052E2E">
        <w:rPr>
          <w:rFonts w:ascii="Times New Roman" w:hAnsi="Times New Roman"/>
          <w:i/>
        </w:rPr>
        <w:t>Broadband Internet Access Service</w:t>
      </w:r>
      <w:r w:rsidR="00052E2E" w:rsidRPr="00754B01" w:rsidDel="00052E2E">
        <w:rPr>
          <w:rFonts w:ascii="Times New Roman" w:hAnsi="Times New Roman"/>
          <w:i/>
        </w:rPr>
        <w:t xml:space="preserve"> </w:t>
      </w:r>
      <w:r w:rsidRPr="00754B01">
        <w:rPr>
          <w:rFonts w:ascii="Times New Roman" w:hAnsi="Times New Roman"/>
          <w:i/>
        </w:rPr>
        <w:t>to Regulate it Under Title II</w:t>
      </w:r>
    </w:p>
    <w:p w:rsidR="002F0765" w:rsidRPr="00754B01" w:rsidRDefault="002F0765" w:rsidP="00F85C93">
      <w:pPr>
        <w:rPr>
          <w:rFonts w:ascii="Times New Roman" w:hAnsi="Times New Roman"/>
          <w:i/>
        </w:rPr>
      </w:pPr>
    </w:p>
    <w:p w:rsidR="000A4505" w:rsidRPr="00754B01" w:rsidRDefault="009B1849" w:rsidP="005B01F6">
      <w:pPr>
        <w:autoSpaceDE w:val="0"/>
        <w:autoSpaceDN w:val="0"/>
        <w:adjustRightInd w:val="0"/>
        <w:ind w:firstLine="720"/>
        <w:rPr>
          <w:rFonts w:ascii="Times New Roman" w:hAnsi="Times New Roman"/>
        </w:rPr>
      </w:pPr>
      <w:r w:rsidRPr="00754B01">
        <w:rPr>
          <w:rFonts w:ascii="Times New Roman" w:hAnsi="Times New Roman"/>
        </w:rPr>
        <w:t>The record is replete with evidence</w:t>
      </w:r>
      <w:r w:rsidR="00C21DF0" w:rsidRPr="00754B01">
        <w:rPr>
          <w:rFonts w:ascii="Times New Roman" w:hAnsi="Times New Roman"/>
        </w:rPr>
        <w:t xml:space="preserve"> that </w:t>
      </w:r>
      <w:r w:rsidRPr="00754B01">
        <w:rPr>
          <w:rFonts w:ascii="Times New Roman" w:hAnsi="Times New Roman"/>
        </w:rPr>
        <w:t>content providers and network operators enter into interconnection relationships with ISPs th</w:t>
      </w:r>
      <w:r w:rsidR="00072D79">
        <w:rPr>
          <w:rFonts w:ascii="Times New Roman" w:hAnsi="Times New Roman"/>
        </w:rPr>
        <w:t>r</w:t>
      </w:r>
      <w:r w:rsidRPr="00754B01">
        <w:rPr>
          <w:rFonts w:ascii="Times New Roman" w:hAnsi="Times New Roman"/>
        </w:rPr>
        <w:t xml:space="preserve">ough individually negotiated </w:t>
      </w:r>
      <w:r w:rsidR="00013B66" w:rsidRPr="00754B01">
        <w:rPr>
          <w:rFonts w:ascii="Times New Roman" w:hAnsi="Times New Roman"/>
        </w:rPr>
        <w:t>private agreements.</w:t>
      </w:r>
      <w:r w:rsidR="00013B66" w:rsidRPr="00754B01">
        <w:rPr>
          <w:rStyle w:val="FootnoteReference"/>
          <w:rFonts w:ascii="Times New Roman" w:hAnsi="Times New Roman"/>
        </w:rPr>
        <w:footnoteReference w:id="12"/>
      </w:r>
      <w:r w:rsidR="00013B66" w:rsidRPr="00754B01">
        <w:rPr>
          <w:rFonts w:ascii="Times New Roman" w:hAnsi="Times New Roman"/>
        </w:rPr>
        <w:t xml:space="preserve">  </w:t>
      </w:r>
      <w:r w:rsidRPr="00754B01">
        <w:rPr>
          <w:rFonts w:ascii="Times New Roman" w:hAnsi="Times New Roman"/>
        </w:rPr>
        <w:t>Regardless of the form they take—“peering,” “transit,” or “on-net-only”—</w:t>
      </w:r>
      <w:r w:rsidR="00DC4A69">
        <w:rPr>
          <w:rFonts w:ascii="Times New Roman" w:hAnsi="Times New Roman"/>
        </w:rPr>
        <w:t>providers</w:t>
      </w:r>
      <w:r w:rsidR="00DC4A69" w:rsidRPr="00754B01">
        <w:rPr>
          <w:rFonts w:ascii="Times New Roman" w:hAnsi="Times New Roman"/>
        </w:rPr>
        <w:t xml:space="preserve"> </w:t>
      </w:r>
      <w:r w:rsidR="000A4505" w:rsidRPr="00754B01">
        <w:rPr>
          <w:rFonts w:ascii="Times New Roman" w:hAnsi="Times New Roman"/>
        </w:rPr>
        <w:t>do not hold themselves out to serve the public indifferently.</w:t>
      </w:r>
      <w:r w:rsidR="00AD76E6">
        <w:rPr>
          <w:rStyle w:val="FootnoteReference"/>
          <w:rFonts w:ascii="Times New Roman" w:hAnsi="Times New Roman"/>
        </w:rPr>
        <w:footnoteReference w:id="13"/>
      </w:r>
      <w:r w:rsidR="000A4505" w:rsidRPr="00754B01">
        <w:rPr>
          <w:rFonts w:ascii="Times New Roman" w:hAnsi="Times New Roman"/>
        </w:rPr>
        <w:t xml:space="preserve">  </w:t>
      </w:r>
      <w:r w:rsidR="008F296E" w:rsidRPr="00754B01">
        <w:rPr>
          <w:rFonts w:ascii="Times New Roman" w:hAnsi="Times New Roman"/>
        </w:rPr>
        <w:t>As such,</w:t>
      </w:r>
      <w:r w:rsidR="00B638A4">
        <w:rPr>
          <w:rFonts w:ascii="Times New Roman" w:hAnsi="Times New Roman"/>
        </w:rPr>
        <w:t xml:space="preserve"> these arrangements, which some mistakenly refer to as </w:t>
      </w:r>
      <w:r w:rsidR="00254111">
        <w:rPr>
          <w:rFonts w:ascii="Times New Roman" w:hAnsi="Times New Roman"/>
        </w:rPr>
        <w:t>“</w:t>
      </w:r>
      <w:r w:rsidR="008F296E" w:rsidRPr="00754B01">
        <w:rPr>
          <w:rFonts w:ascii="Times New Roman" w:hAnsi="Times New Roman"/>
        </w:rPr>
        <w:t>interconnection</w:t>
      </w:r>
      <w:r w:rsidR="00254111">
        <w:rPr>
          <w:rFonts w:ascii="Times New Roman" w:hAnsi="Times New Roman"/>
        </w:rPr>
        <w:t>”</w:t>
      </w:r>
      <w:r w:rsidR="00B638A4">
        <w:rPr>
          <w:rFonts w:ascii="Times New Roman" w:hAnsi="Times New Roman"/>
        </w:rPr>
        <w:t>,</w:t>
      </w:r>
      <w:r w:rsidR="008F296E" w:rsidRPr="00754B01">
        <w:rPr>
          <w:rFonts w:ascii="Times New Roman" w:hAnsi="Times New Roman"/>
        </w:rPr>
        <w:t xml:space="preserve"> ha</w:t>
      </w:r>
      <w:r w:rsidR="00B638A4">
        <w:rPr>
          <w:rFonts w:ascii="Times New Roman" w:hAnsi="Times New Roman"/>
        </w:rPr>
        <w:t>ve</w:t>
      </w:r>
      <w:r w:rsidR="008F296E" w:rsidRPr="00754B01">
        <w:rPr>
          <w:rFonts w:ascii="Times New Roman" w:hAnsi="Times New Roman"/>
        </w:rPr>
        <w:t xml:space="preserve"> never been regulated as common carriage service</w:t>
      </w:r>
      <w:r w:rsidR="00072D79">
        <w:rPr>
          <w:rFonts w:ascii="Times New Roman" w:hAnsi="Times New Roman"/>
        </w:rPr>
        <w:t>s</w:t>
      </w:r>
      <w:r w:rsidR="008F296E" w:rsidRPr="00754B01">
        <w:rPr>
          <w:rFonts w:ascii="Times New Roman" w:hAnsi="Times New Roman"/>
        </w:rPr>
        <w:t xml:space="preserve"> subject to Title II.</w:t>
      </w:r>
      <w:r w:rsidR="00995FB9" w:rsidRPr="00754B01">
        <w:rPr>
          <w:rStyle w:val="FootnoteReference"/>
          <w:rFonts w:ascii="Times New Roman" w:hAnsi="Times New Roman"/>
        </w:rPr>
        <w:footnoteReference w:id="14"/>
      </w:r>
    </w:p>
    <w:p w:rsidR="00AE5E47" w:rsidRPr="00754B01" w:rsidRDefault="00AE5E47" w:rsidP="00AE5E47">
      <w:pPr>
        <w:pStyle w:val="NormalWeb"/>
        <w:ind w:firstLine="720"/>
        <w:rPr>
          <w:sz w:val="22"/>
          <w:szCs w:val="22"/>
        </w:rPr>
      </w:pPr>
      <w:r w:rsidRPr="00754B01">
        <w:rPr>
          <w:sz w:val="22"/>
          <w:szCs w:val="22"/>
        </w:rPr>
        <w:t xml:space="preserve">Undeterred by this long history, the item concocts a novel service laundering scheme.  </w:t>
      </w:r>
      <w:r w:rsidR="00995FB9" w:rsidRPr="00754B01">
        <w:rPr>
          <w:sz w:val="22"/>
          <w:szCs w:val="22"/>
        </w:rPr>
        <w:t>I</w:t>
      </w:r>
      <w:r w:rsidRPr="00754B01">
        <w:rPr>
          <w:sz w:val="22"/>
          <w:szCs w:val="22"/>
        </w:rPr>
        <w:t xml:space="preserve">t attempts to </w:t>
      </w:r>
      <w:r w:rsidR="00C41831" w:rsidRPr="00754B01">
        <w:rPr>
          <w:sz w:val="22"/>
          <w:szCs w:val="22"/>
        </w:rPr>
        <w:t>transform</w:t>
      </w:r>
      <w:r w:rsidRPr="00754B01">
        <w:rPr>
          <w:sz w:val="22"/>
          <w:szCs w:val="22"/>
        </w:rPr>
        <w:t xml:space="preserve"> </w:t>
      </w:r>
      <w:r w:rsidR="00B638A4">
        <w:rPr>
          <w:sz w:val="22"/>
          <w:szCs w:val="22"/>
        </w:rPr>
        <w:t>this “</w:t>
      </w:r>
      <w:r w:rsidRPr="00355A29">
        <w:rPr>
          <w:sz w:val="22"/>
          <w:szCs w:val="22"/>
        </w:rPr>
        <w:t>interconnection</w:t>
      </w:r>
      <w:r w:rsidR="00B638A4">
        <w:rPr>
          <w:sz w:val="22"/>
          <w:szCs w:val="22"/>
        </w:rPr>
        <w:t>”</w:t>
      </w:r>
      <w:r w:rsidRPr="00355A29">
        <w:rPr>
          <w:sz w:val="22"/>
          <w:szCs w:val="22"/>
        </w:rPr>
        <w:t xml:space="preserve"> into a telecommunications service by </w:t>
      </w:r>
      <w:r w:rsidR="00F833D1">
        <w:rPr>
          <w:sz w:val="22"/>
          <w:szCs w:val="22"/>
        </w:rPr>
        <w:t>“</w:t>
      </w:r>
      <w:r w:rsidRPr="00355A29">
        <w:rPr>
          <w:sz w:val="22"/>
          <w:szCs w:val="22"/>
        </w:rPr>
        <w:t>subsuming</w:t>
      </w:r>
      <w:r w:rsidR="00F833D1">
        <w:rPr>
          <w:sz w:val="22"/>
          <w:szCs w:val="22"/>
        </w:rPr>
        <w:t>”</w:t>
      </w:r>
      <w:r w:rsidRPr="00355A29">
        <w:rPr>
          <w:sz w:val="22"/>
          <w:szCs w:val="22"/>
        </w:rPr>
        <w:t xml:space="preserve"> it into another service</w:t>
      </w:r>
      <w:r w:rsidR="00995FB9" w:rsidRPr="00355A29">
        <w:rPr>
          <w:sz w:val="22"/>
          <w:szCs w:val="22"/>
        </w:rPr>
        <w:t>—</w:t>
      </w:r>
      <w:r w:rsidR="00355A29" w:rsidRPr="00355A29">
        <w:rPr>
          <w:sz w:val="22"/>
          <w:szCs w:val="22"/>
        </w:rPr>
        <w:t>broadband Internet access service</w:t>
      </w:r>
      <w:r w:rsidRPr="00355A29">
        <w:rPr>
          <w:sz w:val="22"/>
          <w:szCs w:val="22"/>
        </w:rPr>
        <w:t xml:space="preserve">. </w:t>
      </w:r>
      <w:r w:rsidR="00355A29">
        <w:rPr>
          <w:sz w:val="22"/>
          <w:szCs w:val="22"/>
        </w:rPr>
        <w:t>And just like that, r</w:t>
      </w:r>
      <w:r w:rsidR="00355A29" w:rsidRPr="00355A29">
        <w:rPr>
          <w:sz w:val="22"/>
          <w:szCs w:val="22"/>
        </w:rPr>
        <w:t>etail broadband Internet access service</w:t>
      </w:r>
      <w:r w:rsidR="00C41831" w:rsidRPr="00754B01">
        <w:rPr>
          <w:sz w:val="22"/>
          <w:szCs w:val="22"/>
        </w:rPr>
        <w:t xml:space="preserve"> is no longer a last mile service; it </w:t>
      </w:r>
      <w:r w:rsidR="001C234C">
        <w:rPr>
          <w:sz w:val="22"/>
          <w:szCs w:val="22"/>
        </w:rPr>
        <w:t xml:space="preserve">is </w:t>
      </w:r>
      <w:r w:rsidR="00C41831" w:rsidRPr="00754B01">
        <w:rPr>
          <w:sz w:val="22"/>
          <w:szCs w:val="22"/>
        </w:rPr>
        <w:t>the entire “Internet traffic path”</w:t>
      </w:r>
      <w:r w:rsidR="00964209">
        <w:rPr>
          <w:sz w:val="22"/>
          <w:szCs w:val="22"/>
        </w:rPr>
        <w:t>,</w:t>
      </w:r>
      <w:r w:rsidR="00995FB9" w:rsidRPr="00754B01">
        <w:rPr>
          <w:sz w:val="22"/>
          <w:szCs w:val="22"/>
        </w:rPr>
        <w:t xml:space="preserve"> including all </w:t>
      </w:r>
      <w:r w:rsidR="00B638A4">
        <w:rPr>
          <w:sz w:val="22"/>
          <w:szCs w:val="22"/>
        </w:rPr>
        <w:t xml:space="preserve">Internet traffic </w:t>
      </w:r>
      <w:r w:rsidR="00995FB9" w:rsidRPr="00754B01">
        <w:rPr>
          <w:sz w:val="22"/>
          <w:szCs w:val="22"/>
        </w:rPr>
        <w:t>relationships</w:t>
      </w:r>
      <w:r w:rsidR="00C41831" w:rsidRPr="00754B01">
        <w:rPr>
          <w:sz w:val="22"/>
          <w:szCs w:val="22"/>
        </w:rPr>
        <w:t xml:space="preserve">.  </w:t>
      </w:r>
    </w:p>
    <w:p w:rsidR="00AE5E47" w:rsidRPr="00754B01" w:rsidRDefault="00995FB9" w:rsidP="00C41831">
      <w:pPr>
        <w:pStyle w:val="NormalWeb"/>
        <w:ind w:firstLine="720"/>
        <w:rPr>
          <w:sz w:val="22"/>
          <w:szCs w:val="22"/>
        </w:rPr>
      </w:pPr>
      <w:r w:rsidRPr="00754B01">
        <w:rPr>
          <w:sz w:val="22"/>
          <w:szCs w:val="22"/>
        </w:rPr>
        <w:t xml:space="preserve">This approach is riddled with </w:t>
      </w:r>
      <w:r w:rsidR="00522E0E" w:rsidRPr="00754B01">
        <w:rPr>
          <w:sz w:val="22"/>
          <w:szCs w:val="22"/>
        </w:rPr>
        <w:t>holes</w:t>
      </w:r>
      <w:r w:rsidRPr="00754B01">
        <w:rPr>
          <w:sz w:val="22"/>
          <w:szCs w:val="22"/>
        </w:rPr>
        <w:t xml:space="preserve">.  First, </w:t>
      </w:r>
      <w:r w:rsidR="00B638A4">
        <w:rPr>
          <w:sz w:val="22"/>
          <w:szCs w:val="22"/>
        </w:rPr>
        <w:t xml:space="preserve">such </w:t>
      </w:r>
      <w:r w:rsidR="00DC4A69">
        <w:rPr>
          <w:sz w:val="22"/>
          <w:szCs w:val="22"/>
        </w:rPr>
        <w:t>“</w:t>
      </w:r>
      <w:r w:rsidR="00DA5FDC" w:rsidRPr="00754B01">
        <w:rPr>
          <w:sz w:val="22"/>
          <w:szCs w:val="22"/>
        </w:rPr>
        <w:t>interconnection</w:t>
      </w:r>
      <w:r w:rsidR="00DC4A69">
        <w:rPr>
          <w:sz w:val="22"/>
          <w:szCs w:val="22"/>
        </w:rPr>
        <w:t>”</w:t>
      </w:r>
      <w:r w:rsidR="00DA5FDC" w:rsidRPr="00754B01">
        <w:rPr>
          <w:sz w:val="22"/>
          <w:szCs w:val="22"/>
        </w:rPr>
        <w:t xml:space="preserve"> has always been understood to be distinct from the last mile, </w:t>
      </w:r>
      <w:r w:rsidR="00CA0D22">
        <w:rPr>
          <w:sz w:val="22"/>
          <w:szCs w:val="22"/>
        </w:rPr>
        <w:t>including</w:t>
      </w:r>
      <w:r w:rsidR="00DA5FDC" w:rsidRPr="00754B01">
        <w:rPr>
          <w:sz w:val="22"/>
          <w:szCs w:val="22"/>
        </w:rPr>
        <w:t xml:space="preserve"> in this proceeding.</w:t>
      </w:r>
      <w:r w:rsidR="00DA5FDC" w:rsidRPr="00754B01">
        <w:rPr>
          <w:rStyle w:val="FootnoteReference"/>
          <w:sz w:val="22"/>
          <w:szCs w:val="22"/>
        </w:rPr>
        <w:footnoteReference w:id="15"/>
      </w:r>
      <w:r w:rsidR="00DA5FDC" w:rsidRPr="00754B01">
        <w:rPr>
          <w:sz w:val="22"/>
          <w:szCs w:val="22"/>
        </w:rPr>
        <w:t xml:space="preserve">  Second, </w:t>
      </w:r>
      <w:r w:rsidRPr="00754B01">
        <w:rPr>
          <w:sz w:val="22"/>
          <w:szCs w:val="22"/>
        </w:rPr>
        <w:t>t</w:t>
      </w:r>
      <w:r w:rsidR="00AE5E47" w:rsidRPr="00754B01">
        <w:rPr>
          <w:sz w:val="22"/>
          <w:szCs w:val="22"/>
        </w:rPr>
        <w:t xml:space="preserve">he item does not </w:t>
      </w:r>
      <w:r w:rsidR="00964209">
        <w:rPr>
          <w:sz w:val="22"/>
          <w:szCs w:val="22"/>
        </w:rPr>
        <w:t xml:space="preserve">show how this </w:t>
      </w:r>
      <w:r w:rsidR="00AE5E47" w:rsidRPr="00754B01">
        <w:rPr>
          <w:sz w:val="22"/>
          <w:szCs w:val="22"/>
        </w:rPr>
        <w:t>service laundering scheme</w:t>
      </w:r>
      <w:r w:rsidR="00964209">
        <w:rPr>
          <w:sz w:val="22"/>
          <w:szCs w:val="22"/>
        </w:rPr>
        <w:t xml:space="preserve"> is consistent with precedent</w:t>
      </w:r>
      <w:r w:rsidR="00AE5E47" w:rsidRPr="00754B01">
        <w:rPr>
          <w:sz w:val="22"/>
          <w:szCs w:val="22"/>
        </w:rPr>
        <w:t>.</w:t>
      </w:r>
      <w:r w:rsidR="00C41831" w:rsidRPr="00754B01">
        <w:rPr>
          <w:sz w:val="22"/>
          <w:szCs w:val="22"/>
        </w:rPr>
        <w:t xml:space="preserve">  </w:t>
      </w:r>
      <w:r w:rsidR="00DA5FDC" w:rsidRPr="00754B01">
        <w:rPr>
          <w:sz w:val="22"/>
          <w:szCs w:val="22"/>
        </w:rPr>
        <w:t>Third</w:t>
      </w:r>
      <w:r w:rsidRPr="00754B01">
        <w:rPr>
          <w:sz w:val="22"/>
          <w:szCs w:val="22"/>
        </w:rPr>
        <w:t xml:space="preserve">, it depends on </w:t>
      </w:r>
      <w:r w:rsidR="00052E2E" w:rsidRPr="00355A29">
        <w:rPr>
          <w:sz w:val="22"/>
          <w:szCs w:val="22"/>
        </w:rPr>
        <w:t>broadband Internet access service</w:t>
      </w:r>
      <w:r w:rsidR="00052E2E" w:rsidRPr="00754B01" w:rsidDel="00052E2E">
        <w:rPr>
          <w:sz w:val="22"/>
          <w:szCs w:val="22"/>
        </w:rPr>
        <w:t xml:space="preserve"> </w:t>
      </w:r>
      <w:r w:rsidRPr="00754B01">
        <w:rPr>
          <w:sz w:val="22"/>
          <w:szCs w:val="22"/>
        </w:rPr>
        <w:t xml:space="preserve">being a telecommunications service, which it is not.  </w:t>
      </w:r>
      <w:r w:rsidR="003A214C" w:rsidRPr="00754B01">
        <w:rPr>
          <w:sz w:val="22"/>
          <w:szCs w:val="22"/>
        </w:rPr>
        <w:t>Fourth</w:t>
      </w:r>
      <w:r w:rsidR="00694250" w:rsidRPr="00754B01">
        <w:rPr>
          <w:sz w:val="22"/>
          <w:szCs w:val="22"/>
        </w:rPr>
        <w:t xml:space="preserve">, </w:t>
      </w:r>
      <w:r w:rsidRPr="00754B01">
        <w:rPr>
          <w:sz w:val="22"/>
          <w:szCs w:val="22"/>
        </w:rPr>
        <w:t xml:space="preserve">there was absolutely no notice for this novel approach.  </w:t>
      </w:r>
      <w:r w:rsidR="003A214C" w:rsidRPr="00754B01">
        <w:rPr>
          <w:sz w:val="22"/>
          <w:szCs w:val="22"/>
        </w:rPr>
        <w:t xml:space="preserve">Even parties that guessed that interconnection might be subject to Title II (despite the lack of notice) clearly did not understand that the </w:t>
      </w:r>
      <w:r w:rsidR="00FE3AB5" w:rsidRPr="00754B01">
        <w:rPr>
          <w:sz w:val="22"/>
          <w:szCs w:val="22"/>
        </w:rPr>
        <w:t xml:space="preserve">primary </w:t>
      </w:r>
      <w:r w:rsidR="003A214C" w:rsidRPr="00754B01">
        <w:rPr>
          <w:sz w:val="22"/>
          <w:szCs w:val="22"/>
        </w:rPr>
        <w:t xml:space="preserve">mechanism for doing so would be to re-interpret </w:t>
      </w:r>
      <w:r w:rsidR="00052E2E" w:rsidRPr="00355A29">
        <w:rPr>
          <w:sz w:val="22"/>
          <w:szCs w:val="22"/>
        </w:rPr>
        <w:t>broadband Internet access service</w:t>
      </w:r>
      <w:r w:rsidR="00052E2E" w:rsidRPr="00754B01" w:rsidDel="00052E2E">
        <w:rPr>
          <w:sz w:val="22"/>
          <w:szCs w:val="22"/>
        </w:rPr>
        <w:t xml:space="preserve"> </w:t>
      </w:r>
      <w:r w:rsidR="003A214C" w:rsidRPr="00754B01">
        <w:rPr>
          <w:sz w:val="22"/>
          <w:szCs w:val="22"/>
        </w:rPr>
        <w:t>to include interconnection.</w:t>
      </w:r>
      <w:r w:rsidR="003A214C" w:rsidRPr="00754B01">
        <w:rPr>
          <w:rStyle w:val="FootnoteReference"/>
          <w:sz w:val="22"/>
          <w:szCs w:val="22"/>
        </w:rPr>
        <w:footnoteReference w:id="16"/>
      </w:r>
      <w:r w:rsidR="003A214C" w:rsidRPr="00754B01">
        <w:rPr>
          <w:sz w:val="22"/>
          <w:szCs w:val="22"/>
        </w:rPr>
        <w:t xml:space="preserve">  </w:t>
      </w:r>
    </w:p>
    <w:p w:rsidR="00AE5E47" w:rsidRPr="001F3848" w:rsidRDefault="005B01F6" w:rsidP="00754B01">
      <w:pPr>
        <w:autoSpaceDE w:val="0"/>
        <w:autoSpaceDN w:val="0"/>
        <w:adjustRightInd w:val="0"/>
        <w:ind w:firstLine="720"/>
        <w:jc w:val="both"/>
        <w:rPr>
          <w:rFonts w:ascii="Times New Roman" w:hAnsi="Times New Roman"/>
        </w:rPr>
      </w:pPr>
      <w:r w:rsidRPr="00754B01">
        <w:rPr>
          <w:rFonts w:ascii="Times New Roman" w:hAnsi="Times New Roman"/>
        </w:rPr>
        <w:t xml:space="preserve">Moreover, this shift to regulate </w:t>
      </w:r>
      <w:r w:rsidR="00254111">
        <w:rPr>
          <w:rFonts w:ascii="Times New Roman" w:hAnsi="Times New Roman"/>
        </w:rPr>
        <w:t>Internet traffic exchange</w:t>
      </w:r>
      <w:r w:rsidR="00254111" w:rsidRPr="00754B01">
        <w:rPr>
          <w:rFonts w:ascii="Times New Roman" w:hAnsi="Times New Roman"/>
        </w:rPr>
        <w:t xml:space="preserve"> </w:t>
      </w:r>
      <w:r w:rsidR="00753278" w:rsidRPr="00754B01">
        <w:rPr>
          <w:rFonts w:ascii="Times New Roman" w:hAnsi="Times New Roman"/>
        </w:rPr>
        <w:t>highlights</w:t>
      </w:r>
      <w:r w:rsidRPr="00754B01">
        <w:rPr>
          <w:rFonts w:ascii="Times New Roman" w:hAnsi="Times New Roman"/>
        </w:rPr>
        <w:t xml:space="preserve"> that the Commission’s real end game </w:t>
      </w:r>
      <w:r w:rsidR="00964209">
        <w:rPr>
          <w:rFonts w:ascii="Times New Roman" w:hAnsi="Times New Roman"/>
        </w:rPr>
        <w:t>has become</w:t>
      </w:r>
      <w:r w:rsidRPr="00964209">
        <w:rPr>
          <w:rFonts w:ascii="Times New Roman" w:hAnsi="Times New Roman"/>
        </w:rPr>
        <w:t xml:space="preserve"> </w:t>
      </w:r>
      <w:r w:rsidR="00B638A4">
        <w:rPr>
          <w:rFonts w:ascii="Times New Roman" w:hAnsi="Times New Roman"/>
        </w:rPr>
        <w:t xml:space="preserve">imposing </w:t>
      </w:r>
      <w:r w:rsidRPr="00964209">
        <w:rPr>
          <w:rFonts w:ascii="Times New Roman" w:hAnsi="Times New Roman"/>
        </w:rPr>
        <w:t>Title II</w:t>
      </w:r>
      <w:r w:rsidR="00694250" w:rsidRPr="00964209">
        <w:rPr>
          <w:rFonts w:ascii="Times New Roman" w:hAnsi="Times New Roman"/>
        </w:rPr>
        <w:t xml:space="preserve"> </w:t>
      </w:r>
      <w:r w:rsidR="001C234C">
        <w:rPr>
          <w:rFonts w:ascii="Times New Roman" w:hAnsi="Times New Roman"/>
        </w:rPr>
        <w:t>on</w:t>
      </w:r>
      <w:r w:rsidR="001C234C" w:rsidRPr="00964209">
        <w:rPr>
          <w:rFonts w:ascii="Times New Roman" w:hAnsi="Times New Roman"/>
        </w:rPr>
        <w:t xml:space="preserve"> </w:t>
      </w:r>
      <w:r w:rsidR="00694250" w:rsidRPr="00964209">
        <w:rPr>
          <w:rFonts w:ascii="Times New Roman" w:hAnsi="Times New Roman"/>
        </w:rPr>
        <w:t>all parts of the Internet</w:t>
      </w:r>
      <w:r w:rsidRPr="00964209">
        <w:rPr>
          <w:rFonts w:ascii="Times New Roman" w:hAnsi="Times New Roman"/>
        </w:rPr>
        <w:t xml:space="preserve">, not just </w:t>
      </w:r>
      <w:r w:rsidR="001C234C">
        <w:rPr>
          <w:rFonts w:ascii="Times New Roman" w:hAnsi="Times New Roman"/>
        </w:rPr>
        <w:t xml:space="preserve">setting up </w:t>
      </w:r>
      <w:r w:rsidRPr="00964209">
        <w:rPr>
          <w:rFonts w:ascii="Times New Roman" w:hAnsi="Times New Roman"/>
        </w:rPr>
        <w:t>net neutrality</w:t>
      </w:r>
      <w:r w:rsidR="001C234C">
        <w:rPr>
          <w:rFonts w:ascii="Times New Roman" w:hAnsi="Times New Roman"/>
        </w:rPr>
        <w:t xml:space="preserve"> rules</w:t>
      </w:r>
      <w:r w:rsidRPr="00964209">
        <w:rPr>
          <w:rFonts w:ascii="Times New Roman" w:hAnsi="Times New Roman"/>
        </w:rPr>
        <w:t xml:space="preserve">.  </w:t>
      </w:r>
      <w:r w:rsidR="00B40F55" w:rsidRPr="00754B01">
        <w:rPr>
          <w:rFonts w:ascii="Times New Roman" w:hAnsi="Times New Roman"/>
        </w:rPr>
        <w:t>In s</w:t>
      </w:r>
      <w:r w:rsidR="00694250" w:rsidRPr="00754B01">
        <w:rPr>
          <w:rFonts w:ascii="Times New Roman" w:hAnsi="Times New Roman"/>
        </w:rPr>
        <w:t>ubjecting a thriving, competitive market to regulation in the name of net neutrality</w:t>
      </w:r>
      <w:r w:rsidR="00B62BF8">
        <w:rPr>
          <w:rFonts w:ascii="Times New Roman" w:hAnsi="Times New Roman"/>
        </w:rPr>
        <w:t>,</w:t>
      </w:r>
      <w:r w:rsidR="00694250" w:rsidRPr="00754B01">
        <w:rPr>
          <w:rFonts w:ascii="Times New Roman" w:hAnsi="Times New Roman"/>
        </w:rPr>
        <w:t xml:space="preserve"> </w:t>
      </w:r>
      <w:r w:rsidR="00B40F55" w:rsidRPr="00754B01">
        <w:rPr>
          <w:rFonts w:ascii="Times New Roman" w:hAnsi="Times New Roman"/>
        </w:rPr>
        <w:t xml:space="preserve">the Commission is trying </w:t>
      </w:r>
      <w:r w:rsidR="00072D79">
        <w:rPr>
          <w:rFonts w:ascii="Times New Roman" w:hAnsi="Times New Roman"/>
        </w:rPr>
        <w:t xml:space="preserve">to </w:t>
      </w:r>
      <w:r w:rsidR="00B40F55" w:rsidRPr="00754B01">
        <w:rPr>
          <w:rFonts w:ascii="Times New Roman" w:hAnsi="Times New Roman"/>
        </w:rPr>
        <w:t xml:space="preserve">use </w:t>
      </w:r>
      <w:r w:rsidR="00072D79">
        <w:rPr>
          <w:rFonts w:ascii="Times New Roman" w:hAnsi="Times New Roman"/>
        </w:rPr>
        <w:t xml:space="preserve">a </w:t>
      </w:r>
      <w:r w:rsidR="00B40F55" w:rsidRPr="00754B01">
        <w:rPr>
          <w:rFonts w:ascii="Times New Roman" w:hAnsi="Times New Roman"/>
        </w:rPr>
        <w:t xml:space="preserve">small hook </w:t>
      </w:r>
      <w:r w:rsidR="001F3848">
        <w:rPr>
          <w:rFonts w:ascii="Times New Roman" w:hAnsi="Times New Roman"/>
        </w:rPr>
        <w:t xml:space="preserve">and a thin line </w:t>
      </w:r>
      <w:r w:rsidR="00B40F55" w:rsidRPr="001F3848">
        <w:rPr>
          <w:rFonts w:ascii="Times New Roman" w:hAnsi="Times New Roman"/>
        </w:rPr>
        <w:t xml:space="preserve">to reel in a very large </w:t>
      </w:r>
      <w:r w:rsidR="00964209">
        <w:rPr>
          <w:rFonts w:ascii="Times New Roman" w:hAnsi="Times New Roman"/>
        </w:rPr>
        <w:t>whale</w:t>
      </w:r>
      <w:r w:rsidR="00F62322" w:rsidRPr="001F3848">
        <w:rPr>
          <w:rFonts w:ascii="Times New Roman" w:hAnsi="Times New Roman"/>
        </w:rPr>
        <w:t xml:space="preserve">.  </w:t>
      </w:r>
      <w:r w:rsidR="001F3848">
        <w:rPr>
          <w:rFonts w:ascii="Times New Roman" w:hAnsi="Times New Roman"/>
        </w:rPr>
        <w:t>This line will surely break</w:t>
      </w:r>
      <w:r w:rsidR="00B40F55" w:rsidRPr="001F3848">
        <w:rPr>
          <w:rFonts w:ascii="Times New Roman" w:hAnsi="Times New Roman"/>
        </w:rPr>
        <w:t xml:space="preserve">.  </w:t>
      </w:r>
    </w:p>
    <w:p w:rsidR="008F296E" w:rsidRPr="000504B0" w:rsidRDefault="008F296E" w:rsidP="009B0D19">
      <w:pPr>
        <w:autoSpaceDE w:val="0"/>
        <w:autoSpaceDN w:val="0"/>
        <w:adjustRightInd w:val="0"/>
        <w:ind w:firstLine="720"/>
        <w:rPr>
          <w:rFonts w:ascii="Times New Roman" w:hAnsi="Times New Roman"/>
        </w:rPr>
      </w:pPr>
    </w:p>
    <w:p w:rsidR="00355A29" w:rsidRDefault="00355A29" w:rsidP="00355A29">
      <w:pPr>
        <w:rPr>
          <w:rFonts w:ascii="Times New Roman" w:hAnsi="Times New Roman"/>
          <w:i/>
        </w:rPr>
      </w:pPr>
      <w:r w:rsidRPr="009B06B6">
        <w:rPr>
          <w:rFonts w:ascii="Times New Roman" w:hAnsi="Times New Roman"/>
          <w:i/>
        </w:rPr>
        <w:t xml:space="preserve">Mobile broadband services </w:t>
      </w:r>
      <w:r>
        <w:rPr>
          <w:rFonts w:ascii="Times New Roman" w:hAnsi="Times New Roman"/>
          <w:i/>
        </w:rPr>
        <w:t>warrant different regulatory treatment</w:t>
      </w:r>
    </w:p>
    <w:p w:rsidR="00355A29" w:rsidRPr="009B06B6" w:rsidRDefault="00355A29" w:rsidP="00355A29">
      <w:pPr>
        <w:rPr>
          <w:rFonts w:ascii="Times New Roman" w:hAnsi="Times New Roman"/>
          <w:i/>
        </w:rPr>
      </w:pPr>
    </w:p>
    <w:p w:rsidR="00355A29" w:rsidRDefault="00355A29" w:rsidP="00355A29">
      <w:pPr>
        <w:ind w:firstLine="720"/>
        <w:rPr>
          <w:rFonts w:ascii="Times New Roman" w:hAnsi="Times New Roman"/>
        </w:rPr>
      </w:pPr>
      <w:r>
        <w:rPr>
          <w:rFonts w:ascii="Times New Roman" w:hAnsi="Times New Roman"/>
        </w:rPr>
        <w:t>Similarly, this order, for the first time, subsumes mobile broadband services under Title II common carrier regulation, reversing decades of precedent.</w:t>
      </w:r>
      <w:r w:rsidRPr="00D94793">
        <w:rPr>
          <w:rFonts w:ascii="Times New Roman" w:hAnsi="Times New Roman"/>
        </w:rPr>
        <w:t xml:space="preserve"> </w:t>
      </w:r>
      <w:r>
        <w:rPr>
          <w:rFonts w:ascii="Times New Roman" w:hAnsi="Times New Roman"/>
        </w:rPr>
        <w:t xml:space="preserve"> </w:t>
      </w:r>
      <w:r w:rsidRPr="009B06B6">
        <w:rPr>
          <w:rFonts w:ascii="Times New Roman" w:hAnsi="Times New Roman"/>
        </w:rPr>
        <w:t xml:space="preserve">Until </w:t>
      </w:r>
      <w:r>
        <w:rPr>
          <w:rFonts w:ascii="Times New Roman" w:hAnsi="Times New Roman"/>
        </w:rPr>
        <w:t>now</w:t>
      </w:r>
      <w:r w:rsidRPr="009B06B6">
        <w:rPr>
          <w:rFonts w:ascii="Times New Roman" w:hAnsi="Times New Roman"/>
        </w:rPr>
        <w:t>, the Commission has followed Congress’s mandate</w:t>
      </w:r>
      <w:r>
        <w:rPr>
          <w:rFonts w:ascii="Times New Roman" w:hAnsi="Times New Roman"/>
        </w:rPr>
        <w:t xml:space="preserve"> under section 332 </w:t>
      </w:r>
      <w:r w:rsidRPr="009B06B6">
        <w:rPr>
          <w:rFonts w:ascii="Times New Roman" w:hAnsi="Times New Roman"/>
        </w:rPr>
        <w:t>of the Communications Act and has correctly exercised regulatory restraint</w:t>
      </w:r>
      <w:r>
        <w:rPr>
          <w:rFonts w:ascii="Times New Roman" w:hAnsi="Times New Roman"/>
        </w:rPr>
        <w:t xml:space="preserve"> by classifying mobile broadband as an information service free from common carrier regulation</w:t>
      </w:r>
      <w:r w:rsidR="00B638A4">
        <w:rPr>
          <w:rFonts w:ascii="Times New Roman" w:hAnsi="Times New Roman"/>
        </w:rPr>
        <w:t xml:space="preserve"> as required by the statute</w:t>
      </w:r>
      <w:r w:rsidRPr="009B06B6">
        <w:rPr>
          <w:rFonts w:ascii="Times New Roman" w:hAnsi="Times New Roman"/>
        </w:rPr>
        <w:t>.</w:t>
      </w:r>
      <w:r w:rsidR="00235E56">
        <w:rPr>
          <w:rStyle w:val="FootnoteReference"/>
          <w:rFonts w:ascii="Times New Roman" w:hAnsi="Times New Roman"/>
        </w:rPr>
        <w:footnoteReference w:id="17"/>
      </w:r>
      <w:r w:rsidRPr="009B06B6">
        <w:rPr>
          <w:rFonts w:ascii="Times New Roman" w:hAnsi="Times New Roman"/>
        </w:rPr>
        <w:t xml:space="preserve">  Yet today, we use sleight of hand to change our definitions so that </w:t>
      </w:r>
      <w:r>
        <w:rPr>
          <w:rFonts w:ascii="Times New Roman" w:hAnsi="Times New Roman"/>
        </w:rPr>
        <w:t xml:space="preserve">overnight </w:t>
      </w:r>
      <w:r w:rsidRPr="009B06B6">
        <w:rPr>
          <w:rFonts w:ascii="Times New Roman" w:hAnsi="Times New Roman"/>
        </w:rPr>
        <w:t xml:space="preserve">mobile broadband magically falls under the confines of Title II.  </w:t>
      </w:r>
    </w:p>
    <w:p w:rsidR="00355A29" w:rsidRPr="009B06B6" w:rsidRDefault="00355A29" w:rsidP="00355A29">
      <w:pPr>
        <w:ind w:firstLine="720"/>
        <w:rPr>
          <w:rFonts w:ascii="Times New Roman" w:hAnsi="Times New Roman"/>
        </w:rPr>
      </w:pPr>
    </w:p>
    <w:p w:rsidR="00355A29" w:rsidRDefault="00355A29" w:rsidP="00355A29">
      <w:pPr>
        <w:ind w:firstLine="720"/>
        <w:rPr>
          <w:rFonts w:ascii="Times New Roman" w:hAnsi="Times New Roman"/>
        </w:rPr>
      </w:pPr>
      <w:r>
        <w:rPr>
          <w:rFonts w:ascii="Times New Roman" w:hAnsi="Times New Roman"/>
        </w:rPr>
        <w:t xml:space="preserve">In subjecting wireless broadband to Title II, the majority ignores fundamental differences between the wireless and </w:t>
      </w:r>
      <w:r w:rsidR="007812F8">
        <w:rPr>
          <w:rFonts w:ascii="Times New Roman" w:hAnsi="Times New Roman"/>
        </w:rPr>
        <w:t xml:space="preserve">fixed </w:t>
      </w:r>
      <w:r>
        <w:rPr>
          <w:rFonts w:ascii="Times New Roman" w:hAnsi="Times New Roman"/>
        </w:rPr>
        <w:t xml:space="preserve">broadband industries and technologies.  </w:t>
      </w:r>
      <w:r w:rsidR="007812F8">
        <w:rPr>
          <w:rFonts w:ascii="Times New Roman" w:hAnsi="Times New Roman"/>
        </w:rPr>
        <w:t>U</w:t>
      </w:r>
      <w:r w:rsidRPr="009B06B6">
        <w:rPr>
          <w:rFonts w:ascii="Times New Roman" w:hAnsi="Times New Roman"/>
        </w:rPr>
        <w:t>nlike last century’s voice-only telephone service, the wireless sector has developed and flourished in a fiercely competitive environment.</w:t>
      </w:r>
      <w:r w:rsidR="00235E56">
        <w:rPr>
          <w:rStyle w:val="FootnoteReference"/>
          <w:rFonts w:ascii="Times New Roman" w:hAnsi="Times New Roman"/>
        </w:rPr>
        <w:footnoteReference w:id="18"/>
      </w:r>
      <w:r w:rsidRPr="009B06B6">
        <w:rPr>
          <w:rFonts w:ascii="Times New Roman" w:hAnsi="Times New Roman"/>
        </w:rPr>
        <w:t xml:space="preserve">  </w:t>
      </w:r>
      <w:r w:rsidR="007812F8">
        <w:rPr>
          <w:rFonts w:ascii="Times New Roman" w:hAnsi="Times New Roman"/>
        </w:rPr>
        <w:t>Wireless c</w:t>
      </w:r>
      <w:r>
        <w:rPr>
          <w:rFonts w:ascii="Times New Roman" w:hAnsi="Times New Roman"/>
        </w:rPr>
        <w:t>onsumers have ample choice</w:t>
      </w:r>
      <w:r w:rsidR="00072D79">
        <w:rPr>
          <w:rFonts w:ascii="Times New Roman" w:hAnsi="Times New Roman"/>
        </w:rPr>
        <w:t>s</w:t>
      </w:r>
      <w:r>
        <w:rPr>
          <w:rFonts w:ascii="Times New Roman" w:hAnsi="Times New Roman"/>
        </w:rPr>
        <w:t xml:space="preserve"> and can readily switch between offerings.</w:t>
      </w:r>
      <w:r w:rsidR="00235E56">
        <w:rPr>
          <w:rStyle w:val="FootnoteReference"/>
          <w:rFonts w:ascii="Times New Roman" w:hAnsi="Times New Roman"/>
        </w:rPr>
        <w:footnoteReference w:id="19"/>
      </w:r>
      <w:r>
        <w:rPr>
          <w:rFonts w:ascii="Times New Roman" w:hAnsi="Times New Roman"/>
        </w:rPr>
        <w:t xml:space="preserve">  This c</w:t>
      </w:r>
      <w:r w:rsidRPr="009B06B6">
        <w:rPr>
          <w:rFonts w:ascii="Times New Roman" w:hAnsi="Times New Roman"/>
        </w:rPr>
        <w:t>ompetition has yielded unparalleled investment and innovation, lower prices, higher speeds and product differentiation as sector participants vie for an edge to attract and retain subscribers.</w:t>
      </w:r>
      <w:r w:rsidR="00235E56">
        <w:rPr>
          <w:rStyle w:val="FootnoteReference"/>
          <w:rFonts w:ascii="Times New Roman" w:hAnsi="Times New Roman"/>
        </w:rPr>
        <w:footnoteReference w:id="20"/>
      </w:r>
      <w:r w:rsidRPr="009B06B6">
        <w:rPr>
          <w:rFonts w:ascii="Times New Roman" w:hAnsi="Times New Roman"/>
        </w:rPr>
        <w:t xml:space="preserve">  </w:t>
      </w:r>
      <w:r w:rsidR="007812F8">
        <w:rPr>
          <w:rFonts w:ascii="Times New Roman" w:hAnsi="Times New Roman"/>
        </w:rPr>
        <w:t>A</w:t>
      </w:r>
      <w:r w:rsidRPr="009B06B6">
        <w:rPr>
          <w:rFonts w:ascii="Times New Roman" w:hAnsi="Times New Roman"/>
        </w:rPr>
        <w:t>pply</w:t>
      </w:r>
      <w:r w:rsidR="007812F8">
        <w:rPr>
          <w:rFonts w:ascii="Times New Roman" w:hAnsi="Times New Roman"/>
        </w:rPr>
        <w:t>ing</w:t>
      </w:r>
      <w:r w:rsidRPr="009B06B6">
        <w:rPr>
          <w:rFonts w:ascii="Times New Roman" w:hAnsi="Times New Roman"/>
        </w:rPr>
        <w:t xml:space="preserve"> a regulatory regime established for monopoly voice service to the dynamic mobile sector</w:t>
      </w:r>
      <w:r w:rsidR="007812F8" w:rsidRPr="007812F8">
        <w:rPr>
          <w:rFonts w:ascii="Times New Roman" w:hAnsi="Times New Roman"/>
        </w:rPr>
        <w:t xml:space="preserve"> </w:t>
      </w:r>
      <w:r w:rsidR="007812F8" w:rsidRPr="009B06B6">
        <w:rPr>
          <w:rFonts w:ascii="Times New Roman" w:hAnsi="Times New Roman"/>
        </w:rPr>
        <w:t>defies logic</w:t>
      </w:r>
      <w:r w:rsidRPr="009B06B6">
        <w:rPr>
          <w:rFonts w:ascii="Times New Roman" w:hAnsi="Times New Roman"/>
        </w:rPr>
        <w:t>.</w:t>
      </w:r>
    </w:p>
    <w:p w:rsidR="00355A29" w:rsidRPr="009B06B6" w:rsidRDefault="00355A29" w:rsidP="00355A29">
      <w:pPr>
        <w:ind w:firstLine="720"/>
        <w:rPr>
          <w:rFonts w:ascii="Times New Roman" w:hAnsi="Times New Roman"/>
        </w:rPr>
      </w:pPr>
    </w:p>
    <w:p w:rsidR="00355A29" w:rsidRDefault="00355A29" w:rsidP="00355A29">
      <w:pPr>
        <w:ind w:firstLine="720"/>
        <w:rPr>
          <w:rFonts w:ascii="Times New Roman" w:hAnsi="Times New Roman"/>
        </w:rPr>
      </w:pPr>
      <w:r w:rsidRPr="009B06B6">
        <w:rPr>
          <w:rFonts w:ascii="Times New Roman" w:hAnsi="Times New Roman"/>
        </w:rPr>
        <w:t xml:space="preserve">The </w:t>
      </w:r>
      <w:r>
        <w:rPr>
          <w:rFonts w:ascii="Times New Roman" w:hAnsi="Times New Roman"/>
        </w:rPr>
        <w:t>majority</w:t>
      </w:r>
      <w:r w:rsidRPr="009B06B6">
        <w:rPr>
          <w:rFonts w:ascii="Times New Roman" w:hAnsi="Times New Roman"/>
        </w:rPr>
        <w:t xml:space="preserve"> also flagrantly ignores </w:t>
      </w:r>
      <w:r>
        <w:rPr>
          <w:rFonts w:ascii="Times New Roman" w:hAnsi="Times New Roman"/>
        </w:rPr>
        <w:t xml:space="preserve">the </w:t>
      </w:r>
      <w:r w:rsidRPr="009B06B6">
        <w:rPr>
          <w:rFonts w:ascii="Times New Roman" w:hAnsi="Times New Roman"/>
        </w:rPr>
        <w:t xml:space="preserve">fundamental </w:t>
      </w:r>
      <w:r>
        <w:rPr>
          <w:rFonts w:ascii="Times New Roman" w:hAnsi="Times New Roman"/>
        </w:rPr>
        <w:t>technical and operational</w:t>
      </w:r>
      <w:r w:rsidRPr="009B06B6">
        <w:rPr>
          <w:rFonts w:ascii="Times New Roman" w:hAnsi="Times New Roman"/>
        </w:rPr>
        <w:t xml:space="preserve"> </w:t>
      </w:r>
      <w:r w:rsidR="00B638A4">
        <w:rPr>
          <w:rFonts w:ascii="Times New Roman" w:hAnsi="Times New Roman"/>
        </w:rPr>
        <w:t xml:space="preserve">requirements necessary for </w:t>
      </w:r>
      <w:r w:rsidRPr="009B06B6">
        <w:rPr>
          <w:rFonts w:ascii="Times New Roman" w:hAnsi="Times New Roman"/>
        </w:rPr>
        <w:t xml:space="preserve">mobile broadband networks.  Unlike </w:t>
      </w:r>
      <w:r w:rsidR="007812F8">
        <w:rPr>
          <w:rFonts w:ascii="Times New Roman" w:hAnsi="Times New Roman"/>
        </w:rPr>
        <w:t>fixed</w:t>
      </w:r>
      <w:r w:rsidR="007812F8" w:rsidRPr="009B06B6">
        <w:rPr>
          <w:rFonts w:ascii="Times New Roman" w:hAnsi="Times New Roman"/>
        </w:rPr>
        <w:t xml:space="preserve"> </w:t>
      </w:r>
      <w:r w:rsidRPr="009B06B6">
        <w:rPr>
          <w:rFonts w:ascii="Times New Roman" w:hAnsi="Times New Roman"/>
        </w:rPr>
        <w:t xml:space="preserve">systems, mobile network capacity is constrained by </w:t>
      </w:r>
      <w:r w:rsidR="007812F8">
        <w:rPr>
          <w:rFonts w:ascii="Times New Roman" w:hAnsi="Times New Roman"/>
        </w:rPr>
        <w:t xml:space="preserve">the relative scarcity of </w:t>
      </w:r>
      <w:r w:rsidRPr="009B06B6">
        <w:rPr>
          <w:rFonts w:ascii="Times New Roman" w:hAnsi="Times New Roman"/>
        </w:rPr>
        <w:t>spectrum</w:t>
      </w:r>
      <w:r>
        <w:rPr>
          <w:rFonts w:ascii="Times New Roman" w:hAnsi="Times New Roman"/>
        </w:rPr>
        <w:t xml:space="preserve"> resources</w:t>
      </w:r>
      <w:r w:rsidRPr="009B06B6">
        <w:rPr>
          <w:rFonts w:ascii="Times New Roman" w:hAnsi="Times New Roman"/>
        </w:rPr>
        <w:t xml:space="preserve">.  </w:t>
      </w:r>
      <w:r w:rsidR="007812F8">
        <w:rPr>
          <w:rFonts w:ascii="Times New Roman" w:hAnsi="Times New Roman"/>
        </w:rPr>
        <w:t>Given this unique limitation, w</w:t>
      </w:r>
      <w:r w:rsidRPr="009B06B6">
        <w:rPr>
          <w:rFonts w:ascii="Times New Roman" w:hAnsi="Times New Roman"/>
        </w:rPr>
        <w:t xml:space="preserve">ireless providers </w:t>
      </w:r>
      <w:r w:rsidR="007812F8">
        <w:rPr>
          <w:rFonts w:ascii="Times New Roman" w:hAnsi="Times New Roman"/>
        </w:rPr>
        <w:t>must maintain their ability to vigorously and nimbly mitigate the congestion inherent to wireless networks</w:t>
      </w:r>
      <w:r w:rsidRPr="009B06B6">
        <w:rPr>
          <w:rFonts w:ascii="Times New Roman" w:hAnsi="Times New Roman"/>
        </w:rPr>
        <w:t>.</w:t>
      </w:r>
      <w:r w:rsidR="00235E56">
        <w:rPr>
          <w:rStyle w:val="FootnoteReference"/>
          <w:rFonts w:ascii="Times New Roman" w:hAnsi="Times New Roman"/>
        </w:rPr>
        <w:footnoteReference w:id="21"/>
      </w:r>
      <w:r w:rsidRPr="009B06B6">
        <w:rPr>
          <w:rFonts w:ascii="Times New Roman" w:hAnsi="Times New Roman"/>
        </w:rPr>
        <w:t xml:space="preserve">  </w:t>
      </w:r>
      <w:r w:rsidR="007812F8">
        <w:rPr>
          <w:rFonts w:ascii="Times New Roman" w:hAnsi="Times New Roman"/>
        </w:rPr>
        <w:t xml:space="preserve">I expect that the </w:t>
      </w:r>
      <w:r w:rsidRPr="009B06B6">
        <w:rPr>
          <w:rFonts w:ascii="Times New Roman" w:hAnsi="Times New Roman"/>
        </w:rPr>
        <w:t>rigid Title II rules</w:t>
      </w:r>
      <w:r w:rsidR="007812F8">
        <w:rPr>
          <w:rFonts w:ascii="Times New Roman" w:hAnsi="Times New Roman"/>
        </w:rPr>
        <w:t xml:space="preserve"> adopted today will hamstring the smooth</w:t>
      </w:r>
      <w:r w:rsidRPr="009B06B6">
        <w:rPr>
          <w:rFonts w:ascii="Times New Roman" w:hAnsi="Times New Roman"/>
        </w:rPr>
        <w:t xml:space="preserve"> functioning of these networks. </w:t>
      </w:r>
      <w:r>
        <w:rPr>
          <w:rFonts w:ascii="Times New Roman" w:hAnsi="Times New Roman"/>
        </w:rPr>
        <w:t xml:space="preserve"> </w:t>
      </w:r>
      <w:r w:rsidR="007812F8">
        <w:rPr>
          <w:rFonts w:ascii="Times New Roman" w:hAnsi="Times New Roman"/>
        </w:rPr>
        <w:t>Although some may argue that the exception for reasonable network management will allow such flexibility, a case-by-case approach whereby a wireless provider’s congestion management practices are judged after the fact by the Commission’s Enforcement Bureau is unlikely to provide much comfort to wireless providers.</w:t>
      </w:r>
    </w:p>
    <w:p w:rsidR="00355A29" w:rsidRDefault="00355A29" w:rsidP="00355A29">
      <w:pPr>
        <w:ind w:firstLine="720"/>
        <w:rPr>
          <w:rFonts w:ascii="Times New Roman" w:hAnsi="Times New Roman"/>
        </w:rPr>
      </w:pPr>
    </w:p>
    <w:p w:rsidR="002F0765" w:rsidRPr="00754B01" w:rsidRDefault="007812F8" w:rsidP="00355A29">
      <w:pPr>
        <w:ind w:firstLine="720"/>
        <w:rPr>
          <w:rFonts w:ascii="Times New Roman" w:hAnsi="Times New Roman"/>
        </w:rPr>
      </w:pPr>
      <w:r>
        <w:rPr>
          <w:rFonts w:ascii="Times New Roman" w:hAnsi="Times New Roman"/>
        </w:rPr>
        <w:t>Finally, t</w:t>
      </w:r>
      <w:r w:rsidR="00355A29" w:rsidRPr="009B06B6">
        <w:rPr>
          <w:rFonts w:ascii="Times New Roman" w:hAnsi="Times New Roman"/>
        </w:rPr>
        <w:t xml:space="preserve">he majority </w:t>
      </w:r>
      <w:r>
        <w:rPr>
          <w:rFonts w:ascii="Times New Roman" w:hAnsi="Times New Roman"/>
        </w:rPr>
        <w:t xml:space="preserve">defines </w:t>
      </w:r>
      <w:r w:rsidR="00355A29">
        <w:rPr>
          <w:rFonts w:ascii="Times New Roman" w:hAnsi="Times New Roman"/>
        </w:rPr>
        <w:t xml:space="preserve">mobile broadband </w:t>
      </w:r>
      <w:r>
        <w:rPr>
          <w:rFonts w:ascii="Times New Roman" w:hAnsi="Times New Roman"/>
        </w:rPr>
        <w:t xml:space="preserve">as a telecommunications </w:t>
      </w:r>
      <w:r w:rsidR="001C234C">
        <w:rPr>
          <w:rFonts w:ascii="Times New Roman" w:hAnsi="Times New Roman"/>
        </w:rPr>
        <w:t xml:space="preserve">service </w:t>
      </w:r>
      <w:r w:rsidR="00355A29">
        <w:rPr>
          <w:rFonts w:ascii="Times New Roman" w:hAnsi="Times New Roman"/>
        </w:rPr>
        <w:t xml:space="preserve">without adequately </w:t>
      </w:r>
      <w:r>
        <w:rPr>
          <w:rFonts w:ascii="Times New Roman" w:hAnsi="Times New Roman"/>
        </w:rPr>
        <w:t xml:space="preserve">explaining its </w:t>
      </w:r>
      <w:r w:rsidR="00355A29">
        <w:rPr>
          <w:rFonts w:ascii="Times New Roman" w:hAnsi="Times New Roman"/>
        </w:rPr>
        <w:t xml:space="preserve">rationale for </w:t>
      </w:r>
      <w:r>
        <w:rPr>
          <w:rFonts w:ascii="Times New Roman" w:hAnsi="Times New Roman"/>
        </w:rPr>
        <w:t>the</w:t>
      </w:r>
      <w:r w:rsidR="00355A29">
        <w:rPr>
          <w:rFonts w:ascii="Times New Roman" w:hAnsi="Times New Roman"/>
        </w:rPr>
        <w:t xml:space="preserve"> drastic change of course</w:t>
      </w:r>
      <w:r>
        <w:rPr>
          <w:rFonts w:ascii="Times New Roman" w:hAnsi="Times New Roman"/>
        </w:rPr>
        <w:t>.</w:t>
      </w:r>
      <w:r w:rsidR="00235E56">
        <w:rPr>
          <w:rStyle w:val="FootnoteReference"/>
          <w:rFonts w:ascii="Times New Roman" w:hAnsi="Times New Roman"/>
        </w:rPr>
        <w:footnoteReference w:id="22"/>
      </w:r>
      <w:r>
        <w:rPr>
          <w:rFonts w:ascii="Times New Roman" w:hAnsi="Times New Roman"/>
        </w:rPr>
        <w:t xml:space="preserve">  In addition</w:t>
      </w:r>
      <w:r w:rsidR="00355A29">
        <w:rPr>
          <w:rFonts w:ascii="Times New Roman" w:hAnsi="Times New Roman"/>
        </w:rPr>
        <w:t>, there has been no</w:t>
      </w:r>
      <w:r w:rsidR="00355A29" w:rsidRPr="009B06B6">
        <w:rPr>
          <w:rFonts w:ascii="Times New Roman" w:hAnsi="Times New Roman"/>
        </w:rPr>
        <w:t xml:space="preserve"> meaningful opportunity for public comment</w:t>
      </w:r>
      <w:r w:rsidR="00355A29">
        <w:rPr>
          <w:rFonts w:ascii="Times New Roman" w:hAnsi="Times New Roman"/>
        </w:rPr>
        <w:t xml:space="preserve"> on </w:t>
      </w:r>
      <w:r>
        <w:rPr>
          <w:rFonts w:ascii="Times New Roman" w:hAnsi="Times New Roman"/>
        </w:rPr>
        <w:t xml:space="preserve">this </w:t>
      </w:r>
      <w:r w:rsidR="00355A29">
        <w:rPr>
          <w:rFonts w:ascii="Times New Roman" w:hAnsi="Times New Roman"/>
        </w:rPr>
        <w:t>change of definition</w:t>
      </w:r>
      <w:r w:rsidR="00355A29" w:rsidRPr="009B06B6">
        <w:rPr>
          <w:rFonts w:ascii="Times New Roman" w:hAnsi="Times New Roman"/>
        </w:rPr>
        <w:t>.</w:t>
      </w:r>
      <w:r w:rsidR="00235E56">
        <w:rPr>
          <w:rStyle w:val="FootnoteReference"/>
          <w:rFonts w:ascii="Times New Roman" w:hAnsi="Times New Roman"/>
        </w:rPr>
        <w:footnoteReference w:id="23"/>
      </w:r>
      <w:r w:rsidR="00355A29" w:rsidRPr="009B06B6">
        <w:rPr>
          <w:rFonts w:ascii="Times New Roman" w:hAnsi="Times New Roman"/>
        </w:rPr>
        <w:t xml:space="preserve">  </w:t>
      </w:r>
      <w:r w:rsidR="00355A29">
        <w:rPr>
          <w:rFonts w:ascii="Times New Roman" w:hAnsi="Times New Roman"/>
        </w:rPr>
        <w:t xml:space="preserve">This </w:t>
      </w:r>
      <w:r>
        <w:rPr>
          <w:rFonts w:ascii="Times New Roman" w:hAnsi="Times New Roman"/>
        </w:rPr>
        <w:t xml:space="preserve">action </w:t>
      </w:r>
      <w:r w:rsidR="00355A29">
        <w:rPr>
          <w:rFonts w:ascii="Times New Roman" w:hAnsi="Times New Roman"/>
        </w:rPr>
        <w:t xml:space="preserve">is nothing less than an </w:t>
      </w:r>
      <w:r w:rsidR="00072D79">
        <w:rPr>
          <w:rFonts w:ascii="Times New Roman" w:hAnsi="Times New Roman"/>
        </w:rPr>
        <w:t>attempt</w:t>
      </w:r>
      <w:r w:rsidR="00355A29">
        <w:rPr>
          <w:rFonts w:ascii="Times New Roman" w:hAnsi="Times New Roman"/>
        </w:rPr>
        <w:t xml:space="preserve"> to improperly </w:t>
      </w:r>
      <w:r w:rsidR="00AB624C">
        <w:rPr>
          <w:rFonts w:ascii="Times New Roman" w:hAnsi="Times New Roman"/>
        </w:rPr>
        <w:t xml:space="preserve">capture </w:t>
      </w:r>
      <w:r w:rsidR="00355A29">
        <w:rPr>
          <w:rFonts w:ascii="Times New Roman" w:hAnsi="Times New Roman"/>
        </w:rPr>
        <w:t xml:space="preserve">mobile broadband under Title II, </w:t>
      </w:r>
      <w:r>
        <w:rPr>
          <w:rFonts w:ascii="Times New Roman" w:hAnsi="Times New Roman"/>
        </w:rPr>
        <w:t>in direct contravention of congressional intent,</w:t>
      </w:r>
      <w:r w:rsidR="00235E56">
        <w:rPr>
          <w:rStyle w:val="FootnoteReference"/>
          <w:rFonts w:ascii="Times New Roman" w:hAnsi="Times New Roman"/>
        </w:rPr>
        <w:footnoteReference w:id="24"/>
      </w:r>
      <w:r>
        <w:rPr>
          <w:rFonts w:ascii="Times New Roman" w:hAnsi="Times New Roman"/>
        </w:rPr>
        <w:t xml:space="preserve"> </w:t>
      </w:r>
      <w:r w:rsidR="00355A29">
        <w:rPr>
          <w:rFonts w:ascii="Times New Roman" w:hAnsi="Times New Roman"/>
        </w:rPr>
        <w:t>and it is not likely to survive judicial scrutiny.</w:t>
      </w:r>
      <w:r w:rsidR="00355A29" w:rsidRPr="00527F49">
        <w:rPr>
          <w:rFonts w:ascii="Times New Roman" w:hAnsi="Times New Roman"/>
        </w:rPr>
        <w:t xml:space="preserve"> </w:t>
      </w:r>
    </w:p>
    <w:p w:rsidR="002F0765" w:rsidRPr="00754B01" w:rsidRDefault="002F0765" w:rsidP="00F85C93">
      <w:pPr>
        <w:rPr>
          <w:rFonts w:ascii="Times New Roman" w:hAnsi="Times New Roman"/>
          <w:i/>
        </w:rPr>
      </w:pPr>
    </w:p>
    <w:p w:rsidR="00F85C93" w:rsidRPr="00754B01" w:rsidRDefault="00F85C93" w:rsidP="00F85C93">
      <w:pPr>
        <w:rPr>
          <w:rFonts w:ascii="Times New Roman" w:hAnsi="Times New Roman"/>
          <w:i/>
        </w:rPr>
      </w:pPr>
      <w:r w:rsidRPr="00754B01">
        <w:rPr>
          <w:rFonts w:ascii="Times New Roman" w:hAnsi="Times New Roman"/>
          <w:i/>
        </w:rPr>
        <w:t>The Promised Forbearance is Fauxbearance</w:t>
      </w:r>
    </w:p>
    <w:p w:rsidR="00202288" w:rsidRPr="00754B01" w:rsidRDefault="00202288" w:rsidP="00F85C93">
      <w:pPr>
        <w:rPr>
          <w:rFonts w:ascii="Times New Roman" w:hAnsi="Times New Roman"/>
        </w:rPr>
      </w:pPr>
    </w:p>
    <w:p w:rsidR="00202288" w:rsidRPr="00754B01" w:rsidRDefault="008E6FD3" w:rsidP="00F85C93">
      <w:pPr>
        <w:rPr>
          <w:rFonts w:ascii="Times New Roman" w:hAnsi="Times New Roman"/>
        </w:rPr>
      </w:pPr>
      <w:r w:rsidRPr="00754B01">
        <w:rPr>
          <w:rFonts w:ascii="Times New Roman" w:hAnsi="Times New Roman"/>
        </w:rPr>
        <w:tab/>
        <w:t xml:space="preserve">Perhaps the most surprising—and troubling—aspect of the item is that it promises forbearance from most of Title II but does not actually forbear from the substance of those provisions.  </w:t>
      </w:r>
      <w:r w:rsidR="00767A33" w:rsidRPr="00754B01">
        <w:rPr>
          <w:rFonts w:ascii="Times New Roman" w:hAnsi="Times New Roman"/>
        </w:rPr>
        <w:t xml:space="preserve">Instead, the item </w:t>
      </w:r>
      <w:r w:rsidR="00F946B7" w:rsidRPr="00754B01">
        <w:rPr>
          <w:rFonts w:ascii="Times New Roman" w:hAnsi="Times New Roman"/>
        </w:rPr>
        <w:t xml:space="preserve">intends </w:t>
      </w:r>
      <w:r w:rsidR="00767A33" w:rsidRPr="00754B01">
        <w:rPr>
          <w:rFonts w:ascii="Times New Roman" w:hAnsi="Times New Roman"/>
        </w:rPr>
        <w:t xml:space="preserve">to provide the same protections using a few of the </w:t>
      </w:r>
      <w:r w:rsidR="00F833D1">
        <w:rPr>
          <w:rFonts w:ascii="Times New Roman" w:hAnsi="Times New Roman"/>
        </w:rPr>
        <w:t>“</w:t>
      </w:r>
      <w:r w:rsidR="00767A33" w:rsidRPr="00754B01">
        <w:rPr>
          <w:rFonts w:ascii="Times New Roman" w:hAnsi="Times New Roman"/>
        </w:rPr>
        <w:t>core</w:t>
      </w:r>
      <w:r w:rsidR="00F833D1">
        <w:rPr>
          <w:rFonts w:ascii="Times New Roman" w:hAnsi="Times New Roman"/>
        </w:rPr>
        <w:t>”</w:t>
      </w:r>
      <w:r w:rsidR="00767A33" w:rsidRPr="00754B01">
        <w:rPr>
          <w:rFonts w:ascii="Times New Roman" w:hAnsi="Times New Roman"/>
        </w:rPr>
        <w:t xml:space="preserve"> Title </w:t>
      </w:r>
      <w:r w:rsidRPr="00754B01">
        <w:rPr>
          <w:rFonts w:ascii="Times New Roman" w:hAnsi="Times New Roman"/>
        </w:rPr>
        <w:t>I</w:t>
      </w:r>
      <w:r w:rsidR="00767A33" w:rsidRPr="00754B01">
        <w:rPr>
          <w:rFonts w:ascii="Times New Roman" w:hAnsi="Times New Roman"/>
        </w:rPr>
        <w:t xml:space="preserve">I provisions that are retained:  </w:t>
      </w:r>
      <w:r w:rsidR="007C7558" w:rsidRPr="00754B01">
        <w:rPr>
          <w:rFonts w:ascii="Times New Roman" w:hAnsi="Times New Roman"/>
        </w:rPr>
        <w:t xml:space="preserve">chiefly, </w:t>
      </w:r>
      <w:r w:rsidR="00767A33" w:rsidRPr="00754B01">
        <w:rPr>
          <w:rFonts w:ascii="Times New Roman" w:hAnsi="Times New Roman"/>
        </w:rPr>
        <w:t xml:space="preserve">sections 201, 202, and 706.  I </w:t>
      </w:r>
      <w:r w:rsidRPr="00754B01">
        <w:rPr>
          <w:rFonts w:ascii="Times New Roman" w:hAnsi="Times New Roman"/>
        </w:rPr>
        <w:t>call this maneuver fauxbearance.</w:t>
      </w:r>
    </w:p>
    <w:p w:rsidR="003C1B08" w:rsidRPr="00754B01" w:rsidRDefault="003C1B08" w:rsidP="00F85C93">
      <w:pPr>
        <w:rPr>
          <w:rFonts w:ascii="Times New Roman" w:hAnsi="Times New Roman"/>
        </w:rPr>
      </w:pPr>
    </w:p>
    <w:p w:rsidR="00974526" w:rsidRPr="00754B01" w:rsidRDefault="00767A33" w:rsidP="00F85C93">
      <w:pPr>
        <w:rPr>
          <w:rFonts w:ascii="Times New Roman" w:hAnsi="Times New Roman"/>
        </w:rPr>
      </w:pPr>
      <w:r w:rsidRPr="00754B01">
        <w:rPr>
          <w:rFonts w:ascii="Times New Roman" w:hAnsi="Times New Roman"/>
        </w:rPr>
        <w:tab/>
      </w:r>
      <w:r w:rsidR="00F02235" w:rsidRPr="00754B01">
        <w:rPr>
          <w:rFonts w:ascii="Times New Roman" w:hAnsi="Times New Roman"/>
        </w:rPr>
        <w:t>The item is quite candid about this strategy</w:t>
      </w:r>
      <w:r w:rsidR="00AE1E8A" w:rsidRPr="00754B01">
        <w:rPr>
          <w:rFonts w:ascii="Times New Roman" w:hAnsi="Times New Roman"/>
        </w:rPr>
        <w:t xml:space="preserve">, stating, </w:t>
      </w:r>
      <w:r w:rsidR="00F833D1">
        <w:rPr>
          <w:rFonts w:ascii="Times New Roman" w:hAnsi="Times New Roman"/>
        </w:rPr>
        <w:t>“</w:t>
      </w:r>
      <w:r w:rsidR="00AE1E8A" w:rsidRPr="00754B01">
        <w:rPr>
          <w:rFonts w:ascii="Times New Roman" w:hAnsi="Times New Roman"/>
        </w:rPr>
        <w:t>[A]pplying [sections 201 and 202] enables us to protect consumers of broadband Internet access service from potentially harm</w:t>
      </w:r>
      <w:r w:rsidR="00AE1E8A" w:rsidRPr="00964209">
        <w:rPr>
          <w:rFonts w:ascii="Times New Roman" w:hAnsi="Times New Roman"/>
        </w:rPr>
        <w:t>ful conduct by broadband providers both by providing a basis for our ope</w:t>
      </w:r>
      <w:r w:rsidR="008B0E99" w:rsidRPr="000504B0">
        <w:rPr>
          <w:rFonts w:ascii="Times New Roman" w:hAnsi="Times New Roman"/>
        </w:rPr>
        <w:t>n</w:t>
      </w:r>
      <w:r w:rsidR="00AE1E8A" w:rsidRPr="00754B01">
        <w:rPr>
          <w:rFonts w:ascii="Times New Roman" w:hAnsi="Times New Roman"/>
        </w:rPr>
        <w:t xml:space="preserve"> Internet rules </w:t>
      </w:r>
      <w:r w:rsidR="00AE1E8A" w:rsidRPr="00754B01">
        <w:rPr>
          <w:rFonts w:ascii="Times New Roman" w:hAnsi="Times New Roman"/>
          <w:i/>
        </w:rPr>
        <w:t xml:space="preserve">and </w:t>
      </w:r>
      <w:r w:rsidR="008B0E99" w:rsidRPr="00754B01">
        <w:rPr>
          <w:rFonts w:ascii="Times New Roman" w:hAnsi="Times New Roman"/>
          <w:i/>
        </w:rPr>
        <w:t>for the important statutory backstop they provide regarding broadband provider practices more generally</w:t>
      </w:r>
      <w:r w:rsidR="008B0E99" w:rsidRPr="00754B01">
        <w:rPr>
          <w:rFonts w:ascii="Times New Roman" w:hAnsi="Times New Roman"/>
        </w:rPr>
        <w:t>.</w:t>
      </w:r>
      <w:r w:rsidR="00F833D1">
        <w:rPr>
          <w:rFonts w:ascii="Times New Roman" w:hAnsi="Times New Roman"/>
        </w:rPr>
        <w:t>”</w:t>
      </w:r>
      <w:r w:rsidR="008B0E99" w:rsidRPr="00754B01">
        <w:rPr>
          <w:rStyle w:val="FootnoteReference"/>
          <w:rFonts w:ascii="Times New Roman" w:hAnsi="Times New Roman"/>
        </w:rPr>
        <w:footnoteReference w:id="25"/>
      </w:r>
      <w:r w:rsidR="00AB624C">
        <w:rPr>
          <w:rFonts w:ascii="Times New Roman" w:hAnsi="Times New Roman"/>
        </w:rPr>
        <w:t xml:space="preserve">  </w:t>
      </w:r>
      <w:r w:rsidR="00974526" w:rsidRPr="00577DBF">
        <w:rPr>
          <w:rFonts w:ascii="Times New Roman" w:hAnsi="Times New Roman"/>
        </w:rPr>
        <w:t>Indeed, in section after section, the item claims to forbear from a provision but then quickly points to available protections in other provisions</w:t>
      </w:r>
      <w:r w:rsidR="00AB624C">
        <w:rPr>
          <w:rFonts w:ascii="Times New Roman" w:hAnsi="Times New Roman"/>
        </w:rPr>
        <w:t xml:space="preserve"> that effectively gut the forbearance</w:t>
      </w:r>
      <w:r w:rsidR="00974526" w:rsidRPr="00577DBF">
        <w:rPr>
          <w:rFonts w:ascii="Times New Roman" w:hAnsi="Times New Roman"/>
        </w:rPr>
        <w:t xml:space="preserve">.  </w:t>
      </w:r>
      <w:r w:rsidR="00AB624C">
        <w:rPr>
          <w:rFonts w:ascii="Times New Roman" w:hAnsi="Times New Roman"/>
        </w:rPr>
        <w:t>It</w:t>
      </w:r>
      <w:r w:rsidR="003B7BE2">
        <w:rPr>
          <w:rFonts w:ascii="Times New Roman" w:hAnsi="Times New Roman"/>
        </w:rPr>
        <w:t>’</w:t>
      </w:r>
      <w:r w:rsidR="00AB624C">
        <w:rPr>
          <w:rFonts w:ascii="Times New Roman" w:hAnsi="Times New Roman"/>
        </w:rPr>
        <w:t xml:space="preserve">s an end run for purposes of spin and allows proponents to claim that it’s a new “modern Title II” when really it only would exclude 56 percent directly and even then allow the inexcusably broad language of certain sections to govern.  Suffice it to say, the majority seems to be comfortable with suggesting that they can forbear from parts of </w:t>
      </w:r>
      <w:r w:rsidR="00052E2E">
        <w:rPr>
          <w:rFonts w:ascii="Times New Roman" w:hAnsi="Times New Roman"/>
        </w:rPr>
        <w:t>T</w:t>
      </w:r>
      <w:r w:rsidR="00AB624C">
        <w:rPr>
          <w:rFonts w:ascii="Times New Roman" w:hAnsi="Times New Roman"/>
        </w:rPr>
        <w:t xml:space="preserve">itle II because section 201 does it all anyway.  </w:t>
      </w:r>
      <w:r w:rsidR="00974526" w:rsidRPr="00577DBF">
        <w:rPr>
          <w:rFonts w:ascii="Times New Roman" w:hAnsi="Times New Roman"/>
        </w:rPr>
        <w:t xml:space="preserve">I will highlight a </w:t>
      </w:r>
      <w:r w:rsidR="00AB624C">
        <w:rPr>
          <w:rFonts w:ascii="Times New Roman" w:hAnsi="Times New Roman"/>
        </w:rPr>
        <w:t xml:space="preserve">just </w:t>
      </w:r>
      <w:r w:rsidR="00974526" w:rsidRPr="00577DBF">
        <w:rPr>
          <w:rFonts w:ascii="Times New Roman" w:hAnsi="Times New Roman"/>
        </w:rPr>
        <w:t>few</w:t>
      </w:r>
      <w:r w:rsidR="00AB624C">
        <w:rPr>
          <w:rFonts w:ascii="Times New Roman" w:hAnsi="Times New Roman"/>
        </w:rPr>
        <w:t xml:space="preserve"> examples in this meeting to make my point</w:t>
      </w:r>
      <w:r w:rsidR="00974526" w:rsidRPr="00754B01">
        <w:rPr>
          <w:rFonts w:ascii="Times New Roman" w:hAnsi="Times New Roman"/>
        </w:rPr>
        <w:t>:</w:t>
      </w:r>
    </w:p>
    <w:p w:rsidR="00974526" w:rsidRPr="00754B01" w:rsidRDefault="00974526" w:rsidP="00F85C93">
      <w:pPr>
        <w:rPr>
          <w:rFonts w:ascii="Times New Roman" w:hAnsi="Times New Roman"/>
        </w:rPr>
      </w:pPr>
    </w:p>
    <w:p w:rsidR="00974526" w:rsidRPr="00754B01" w:rsidRDefault="00974526" w:rsidP="00F85C93">
      <w:pPr>
        <w:rPr>
          <w:rFonts w:ascii="Times New Roman" w:hAnsi="Times New Roman"/>
        </w:rPr>
      </w:pPr>
      <w:r w:rsidRPr="00754B01">
        <w:rPr>
          <w:rFonts w:ascii="Times New Roman" w:hAnsi="Times New Roman"/>
        </w:rPr>
        <w:tab/>
      </w:r>
      <w:r w:rsidRPr="00754B01">
        <w:rPr>
          <w:rFonts w:ascii="Times New Roman" w:hAnsi="Times New Roman"/>
          <w:u w:val="single"/>
        </w:rPr>
        <w:t>Fauxbearance from Tariffing (sections 203, 204)</w:t>
      </w:r>
      <w:r w:rsidRPr="00754B01">
        <w:rPr>
          <w:rFonts w:ascii="Times New Roman" w:hAnsi="Times New Roman"/>
        </w:rPr>
        <w:t xml:space="preserve">:  </w:t>
      </w:r>
      <w:r w:rsidR="00AB624C">
        <w:rPr>
          <w:rFonts w:ascii="Times New Roman" w:hAnsi="Times New Roman"/>
        </w:rPr>
        <w:t xml:space="preserve">To quote the item, </w:t>
      </w:r>
      <w:r w:rsidR="00F833D1">
        <w:rPr>
          <w:rFonts w:ascii="Times New Roman" w:hAnsi="Times New Roman"/>
        </w:rPr>
        <w:t>“</w:t>
      </w:r>
      <w:r w:rsidRPr="00754B01">
        <w:rPr>
          <w:rFonts w:ascii="Times New Roman" w:hAnsi="Times New Roman"/>
        </w:rPr>
        <w:t xml:space="preserve">It is our predictive judgment that </w:t>
      </w:r>
      <w:r w:rsidR="00577DBF">
        <w:rPr>
          <w:rFonts w:ascii="Times New Roman" w:hAnsi="Times New Roman"/>
        </w:rPr>
        <w:t>[</w:t>
      </w:r>
      <w:r w:rsidRPr="00577DBF">
        <w:rPr>
          <w:rFonts w:ascii="Times New Roman" w:hAnsi="Times New Roman"/>
        </w:rPr>
        <w:t>the protections in sections 201 and 202 of the Act</w:t>
      </w:r>
      <w:r w:rsidR="00577DBF">
        <w:rPr>
          <w:rFonts w:ascii="Times New Roman" w:hAnsi="Times New Roman"/>
        </w:rPr>
        <w:t>]</w:t>
      </w:r>
      <w:r w:rsidRPr="00577DBF">
        <w:rPr>
          <w:rFonts w:ascii="Times New Roman" w:hAnsi="Times New Roman"/>
        </w:rPr>
        <w:t xml:space="preserve"> will be adequate to protect the interests of consumers—including the interest in just, reasonable, and nondiscriminatory conduct—that might otherwise be threatened by the actions of b</w:t>
      </w:r>
      <w:r w:rsidRPr="000504B0">
        <w:rPr>
          <w:rFonts w:ascii="Times New Roman" w:hAnsi="Times New Roman"/>
        </w:rPr>
        <w:t xml:space="preserve">roadband providers.  Importantly, broadband providers </w:t>
      </w:r>
      <w:r w:rsidR="004D0715" w:rsidRPr="00754B01">
        <w:rPr>
          <w:rFonts w:ascii="Times New Roman" w:hAnsi="Times New Roman"/>
        </w:rPr>
        <w:t>also are subject to complaints and Commission enforcement in the event that they violate sections 201 or 202 of the Act, the Open Internet Rules, or other elements of the core broadband Internet access requirements.</w:t>
      </w:r>
      <w:r w:rsidR="00F833D1">
        <w:rPr>
          <w:rFonts w:ascii="Times New Roman" w:hAnsi="Times New Roman"/>
        </w:rPr>
        <w:t>”</w:t>
      </w:r>
      <w:r w:rsidR="008A22AF" w:rsidRPr="00754B01">
        <w:rPr>
          <w:rStyle w:val="FootnoteReference"/>
          <w:rFonts w:ascii="Times New Roman" w:hAnsi="Times New Roman"/>
        </w:rPr>
        <w:footnoteReference w:id="26"/>
      </w:r>
      <w:r w:rsidR="00AB624C">
        <w:rPr>
          <w:rFonts w:ascii="Times New Roman" w:hAnsi="Times New Roman"/>
        </w:rPr>
        <w:t xml:space="preserve">  This is backdoor </w:t>
      </w:r>
      <w:r w:rsidR="00052E2E">
        <w:rPr>
          <w:rFonts w:ascii="Times New Roman" w:hAnsi="Times New Roman"/>
        </w:rPr>
        <w:t>rate-setting</w:t>
      </w:r>
      <w:r w:rsidR="00AB624C">
        <w:rPr>
          <w:rFonts w:ascii="Times New Roman" w:hAnsi="Times New Roman"/>
        </w:rPr>
        <w:t xml:space="preserve"> authority.  </w:t>
      </w:r>
    </w:p>
    <w:p w:rsidR="004D0715" w:rsidRPr="000504B0" w:rsidRDefault="004D0715" w:rsidP="00F85C93">
      <w:pPr>
        <w:rPr>
          <w:rFonts w:ascii="Times New Roman" w:hAnsi="Times New Roman"/>
        </w:rPr>
      </w:pPr>
    </w:p>
    <w:p w:rsidR="00560932" w:rsidRPr="00754B01" w:rsidRDefault="00560932" w:rsidP="00F85C93">
      <w:pPr>
        <w:rPr>
          <w:rFonts w:ascii="Times New Roman" w:hAnsi="Times New Roman"/>
        </w:rPr>
      </w:pPr>
      <w:r w:rsidRPr="00754B01">
        <w:rPr>
          <w:rFonts w:ascii="Times New Roman" w:hAnsi="Times New Roman"/>
        </w:rPr>
        <w:tab/>
      </w:r>
      <w:r w:rsidRPr="00754B01">
        <w:rPr>
          <w:rFonts w:ascii="Times New Roman" w:hAnsi="Times New Roman"/>
          <w:u w:val="single"/>
        </w:rPr>
        <w:t>Fauxbearance from Discontinuance Approval (section 214(a))</w:t>
      </w:r>
      <w:r w:rsidRPr="00754B01">
        <w:rPr>
          <w:rFonts w:ascii="Times New Roman" w:hAnsi="Times New Roman"/>
        </w:rPr>
        <w:t xml:space="preserve">:  </w:t>
      </w:r>
      <w:r w:rsidR="00F833D1">
        <w:rPr>
          <w:rFonts w:ascii="Times New Roman" w:hAnsi="Times New Roman"/>
        </w:rPr>
        <w:t>“</w:t>
      </w:r>
      <w:r w:rsidRPr="00754B01">
        <w:rPr>
          <w:rFonts w:ascii="Times New Roman" w:hAnsi="Times New Roman"/>
        </w:rPr>
        <w:t>Further, the conduct standards in our open Internet rules provide important protections against reduction or impairment of broadband Internet access service short of the complete cessation of providing that service.</w:t>
      </w:r>
      <w:r w:rsidR="00F833D1">
        <w:rPr>
          <w:rFonts w:ascii="Times New Roman" w:hAnsi="Times New Roman"/>
        </w:rPr>
        <w:t>”</w:t>
      </w:r>
      <w:r w:rsidR="008A22AF" w:rsidRPr="00754B01">
        <w:rPr>
          <w:rStyle w:val="FootnoteReference"/>
          <w:rFonts w:ascii="Times New Roman" w:hAnsi="Times New Roman"/>
        </w:rPr>
        <w:footnoteReference w:id="27"/>
      </w:r>
    </w:p>
    <w:p w:rsidR="00EE2E35" w:rsidRPr="000504B0" w:rsidRDefault="00EE2E35" w:rsidP="00F85C93">
      <w:pPr>
        <w:rPr>
          <w:rFonts w:ascii="Times New Roman" w:hAnsi="Times New Roman"/>
        </w:rPr>
      </w:pPr>
    </w:p>
    <w:p w:rsidR="00560932" w:rsidRPr="00754B01" w:rsidRDefault="00560932" w:rsidP="00F85C93">
      <w:pPr>
        <w:rPr>
          <w:rFonts w:ascii="Times New Roman" w:hAnsi="Times New Roman"/>
        </w:rPr>
      </w:pPr>
      <w:r w:rsidRPr="00754B01">
        <w:rPr>
          <w:rFonts w:ascii="Times New Roman" w:hAnsi="Times New Roman"/>
        </w:rPr>
        <w:tab/>
      </w:r>
      <w:r w:rsidRPr="00577DBF">
        <w:rPr>
          <w:rFonts w:ascii="Times New Roman" w:hAnsi="Times New Roman"/>
          <w:u w:val="single"/>
        </w:rPr>
        <w:t>Fauxbearance from Interconnection and Market-Opening (sections 251, 252, 256)</w:t>
      </w:r>
      <w:r w:rsidRPr="00577DBF">
        <w:rPr>
          <w:rFonts w:ascii="Times New Roman" w:hAnsi="Times New Roman"/>
        </w:rPr>
        <w:t xml:space="preserve">:  </w:t>
      </w:r>
      <w:r w:rsidR="00F833D1">
        <w:rPr>
          <w:rFonts w:ascii="Times New Roman" w:hAnsi="Times New Roman"/>
        </w:rPr>
        <w:t>“</w:t>
      </w:r>
      <w:r w:rsidR="000D2F48" w:rsidRPr="00577DBF">
        <w:rPr>
          <w:rFonts w:ascii="Times New Roman" w:hAnsi="Times New Roman"/>
        </w:rPr>
        <w:t>The Commission retains authority under section</w:t>
      </w:r>
      <w:r w:rsidR="00577DBF" w:rsidRPr="00577DBF">
        <w:rPr>
          <w:rFonts w:ascii="Times New Roman" w:hAnsi="Times New Roman"/>
        </w:rPr>
        <w:t>s</w:t>
      </w:r>
      <w:r w:rsidR="000D2F48" w:rsidRPr="00577DBF">
        <w:rPr>
          <w:rFonts w:ascii="Times New Roman" w:hAnsi="Times New Roman"/>
        </w:rPr>
        <w:t xml:space="preserve"> 201</w:t>
      </w:r>
      <w:r w:rsidR="00577DBF" w:rsidRPr="00577DBF">
        <w:rPr>
          <w:rFonts w:ascii="Times New Roman" w:hAnsi="Times New Roman"/>
        </w:rPr>
        <w:t>, 202 and the open Internet rules</w:t>
      </w:r>
      <w:r w:rsidR="000D2F48" w:rsidRPr="00577DBF">
        <w:rPr>
          <w:rFonts w:ascii="Times New Roman" w:hAnsi="Times New Roman"/>
        </w:rPr>
        <w:t xml:space="preserve"> to require a provider of broadband Internet access to </w:t>
      </w:r>
      <w:r w:rsidR="00577DBF" w:rsidRPr="00577DBF">
        <w:rPr>
          <w:rFonts w:ascii="Times New Roman" w:hAnsi="Times New Roman"/>
        </w:rPr>
        <w:t>address interconnection issues should they arise, including through evaluating whether broadband providers’ conduct is just and reasonable on a case-by-case basis</w:t>
      </w:r>
      <w:r w:rsidR="000D2F48" w:rsidRPr="00577DBF">
        <w:rPr>
          <w:rFonts w:ascii="Times New Roman" w:hAnsi="Times New Roman"/>
        </w:rPr>
        <w:t xml:space="preserve">.  We therefore conclude that </w:t>
      </w:r>
      <w:r w:rsidR="00577DBF" w:rsidRPr="00577DBF">
        <w:rPr>
          <w:rFonts w:ascii="Times New Roman" w:hAnsi="Times New Roman"/>
        </w:rPr>
        <w:t xml:space="preserve">these remaining legal protections that apply </w:t>
      </w:r>
      <w:r w:rsidR="000D2F48" w:rsidRPr="00577DBF">
        <w:rPr>
          <w:rFonts w:ascii="Times New Roman" w:hAnsi="Times New Roman"/>
        </w:rPr>
        <w:t>with respect to providers of broadband Internet access service will enable us to act if needed to ensure that a broadband provider does not unreasonably refuse to provide service or interconnect.</w:t>
      </w:r>
      <w:r w:rsidR="00F833D1">
        <w:rPr>
          <w:rFonts w:ascii="Times New Roman" w:hAnsi="Times New Roman"/>
        </w:rPr>
        <w:t>”</w:t>
      </w:r>
      <w:r w:rsidR="008A22AF" w:rsidRPr="00754B01">
        <w:rPr>
          <w:rStyle w:val="FootnoteReference"/>
          <w:rFonts w:ascii="Times New Roman" w:hAnsi="Times New Roman"/>
        </w:rPr>
        <w:footnoteReference w:id="28"/>
      </w:r>
    </w:p>
    <w:p w:rsidR="003C1B08" w:rsidRDefault="003C1B08" w:rsidP="00F85C93">
      <w:pPr>
        <w:rPr>
          <w:rFonts w:ascii="Times New Roman" w:hAnsi="Times New Roman"/>
        </w:rPr>
      </w:pPr>
    </w:p>
    <w:p w:rsidR="00773AA7" w:rsidRPr="00754B01" w:rsidRDefault="00E36A83" w:rsidP="00F85C93">
      <w:pPr>
        <w:rPr>
          <w:rFonts w:ascii="Times New Roman" w:hAnsi="Times New Roman"/>
          <w:i/>
        </w:rPr>
      </w:pPr>
      <w:r w:rsidRPr="00754B01">
        <w:rPr>
          <w:rFonts w:ascii="Times New Roman" w:hAnsi="Times New Roman"/>
          <w:i/>
        </w:rPr>
        <w:t>The Commission Does Not Have Authority to Re-Write the Act</w:t>
      </w:r>
    </w:p>
    <w:p w:rsidR="003C3F69" w:rsidRPr="00754B01" w:rsidRDefault="003C3F69" w:rsidP="00F85C93">
      <w:pPr>
        <w:rPr>
          <w:rFonts w:ascii="Times New Roman" w:hAnsi="Times New Roman"/>
        </w:rPr>
      </w:pPr>
    </w:p>
    <w:p w:rsidR="00F33261" w:rsidRPr="00754B01" w:rsidRDefault="00EB58BA" w:rsidP="00F85C93">
      <w:pPr>
        <w:rPr>
          <w:rFonts w:ascii="Times New Roman" w:hAnsi="Times New Roman"/>
        </w:rPr>
      </w:pPr>
      <w:r w:rsidRPr="00754B01">
        <w:rPr>
          <w:rFonts w:ascii="Times New Roman" w:hAnsi="Times New Roman"/>
        </w:rPr>
        <w:tab/>
      </w:r>
      <w:r w:rsidR="00F33261" w:rsidRPr="00754B01">
        <w:rPr>
          <w:rFonts w:ascii="Times New Roman" w:hAnsi="Times New Roman"/>
        </w:rPr>
        <w:t>The Supreme Court has made clear that “an agency has no power to ‘tailor’ legislation to bureaucratic policy goals” by interpreting a statute to create a regulatory system “unrecognizable to the Congress that designed it.”</w:t>
      </w:r>
      <w:r w:rsidR="00706349" w:rsidRPr="00754B01">
        <w:rPr>
          <w:rStyle w:val="FootnoteReference"/>
          <w:rFonts w:ascii="Times New Roman" w:hAnsi="Times New Roman"/>
        </w:rPr>
        <w:footnoteReference w:id="29"/>
      </w:r>
      <w:r w:rsidR="00F33261" w:rsidRPr="00754B01">
        <w:rPr>
          <w:rFonts w:ascii="Times New Roman" w:hAnsi="Times New Roman"/>
        </w:rPr>
        <w:t xml:space="preserve">  </w:t>
      </w:r>
      <w:r w:rsidR="00706349" w:rsidRPr="00754B01">
        <w:rPr>
          <w:rFonts w:ascii="Times New Roman" w:hAnsi="Times New Roman"/>
        </w:rPr>
        <w:t>Yet the item</w:t>
      </w:r>
      <w:r w:rsidR="00F33261" w:rsidRPr="00754B01">
        <w:rPr>
          <w:rFonts w:ascii="Times New Roman" w:hAnsi="Times New Roman"/>
        </w:rPr>
        <w:t xml:space="preserve"> attempt</w:t>
      </w:r>
      <w:r w:rsidR="00412932" w:rsidRPr="00754B01">
        <w:rPr>
          <w:rFonts w:ascii="Times New Roman" w:hAnsi="Times New Roman"/>
        </w:rPr>
        <w:t>s</w:t>
      </w:r>
      <w:r w:rsidR="00F33261" w:rsidRPr="00754B01">
        <w:rPr>
          <w:rFonts w:ascii="Times New Roman" w:hAnsi="Times New Roman"/>
        </w:rPr>
        <w:t xml:space="preserve"> to </w:t>
      </w:r>
      <w:r w:rsidR="00706349" w:rsidRPr="001F3848">
        <w:rPr>
          <w:rFonts w:ascii="Times New Roman" w:hAnsi="Times New Roman"/>
        </w:rPr>
        <w:t xml:space="preserve">do just that by engaging in a wholesale </w:t>
      </w:r>
      <w:r w:rsidR="00F33261" w:rsidRPr="001F3848">
        <w:rPr>
          <w:rFonts w:ascii="Times New Roman" w:hAnsi="Times New Roman"/>
        </w:rPr>
        <w:t xml:space="preserve">re-write </w:t>
      </w:r>
      <w:r w:rsidR="00706349" w:rsidRPr="001F3848">
        <w:rPr>
          <w:rFonts w:ascii="Times New Roman" w:hAnsi="Times New Roman"/>
        </w:rPr>
        <w:t xml:space="preserve">of </w:t>
      </w:r>
      <w:r w:rsidR="00F33261" w:rsidRPr="000504B0">
        <w:rPr>
          <w:rFonts w:ascii="Times New Roman" w:hAnsi="Times New Roman"/>
        </w:rPr>
        <w:t xml:space="preserve">the Communications Act </w:t>
      </w:r>
      <w:r w:rsidR="00706349" w:rsidRPr="00754B01">
        <w:rPr>
          <w:rFonts w:ascii="Times New Roman" w:hAnsi="Times New Roman"/>
        </w:rPr>
        <w:t xml:space="preserve">to </w:t>
      </w:r>
      <w:r w:rsidR="00D4014E" w:rsidRPr="00754B01">
        <w:rPr>
          <w:rFonts w:ascii="Times New Roman" w:hAnsi="Times New Roman"/>
        </w:rPr>
        <w:t>advance</w:t>
      </w:r>
      <w:r w:rsidR="00706349" w:rsidRPr="00754B01">
        <w:rPr>
          <w:rFonts w:ascii="Times New Roman" w:hAnsi="Times New Roman"/>
        </w:rPr>
        <w:t xml:space="preserve"> its own </w:t>
      </w:r>
      <w:r w:rsidR="00412932" w:rsidRPr="00754B01">
        <w:rPr>
          <w:rFonts w:ascii="Times New Roman" w:hAnsi="Times New Roman"/>
        </w:rPr>
        <w:t>vision</w:t>
      </w:r>
      <w:r w:rsidR="00D4014E" w:rsidRPr="00754B01">
        <w:rPr>
          <w:rFonts w:ascii="Times New Roman" w:hAnsi="Times New Roman"/>
        </w:rPr>
        <w:t xml:space="preserve"> for the Internet</w:t>
      </w:r>
      <w:r w:rsidR="00706349" w:rsidRPr="00754B01">
        <w:rPr>
          <w:rFonts w:ascii="Times New Roman" w:hAnsi="Times New Roman"/>
        </w:rPr>
        <w:t xml:space="preserve">.  </w:t>
      </w:r>
    </w:p>
    <w:p w:rsidR="00706349" w:rsidRPr="00754B01" w:rsidRDefault="00706349" w:rsidP="00F85C93">
      <w:pPr>
        <w:rPr>
          <w:rFonts w:ascii="Times New Roman" w:hAnsi="Times New Roman"/>
        </w:rPr>
      </w:pPr>
    </w:p>
    <w:p w:rsidR="00706349" w:rsidRPr="00754B01" w:rsidRDefault="00706349" w:rsidP="00706349">
      <w:pPr>
        <w:rPr>
          <w:rFonts w:ascii="Times New Roman" w:hAnsi="Times New Roman"/>
        </w:rPr>
      </w:pPr>
      <w:r w:rsidRPr="00754B01">
        <w:rPr>
          <w:rFonts w:ascii="Times New Roman" w:eastAsia="Times New Roman" w:hAnsi="Times New Roman"/>
          <w:color w:val="000000" w:themeColor="text1"/>
        </w:rPr>
        <w:tab/>
      </w:r>
      <w:r w:rsidR="00412932" w:rsidRPr="00754B01">
        <w:rPr>
          <w:rFonts w:ascii="Times New Roman" w:eastAsia="Times New Roman" w:hAnsi="Times New Roman"/>
          <w:color w:val="000000" w:themeColor="text1"/>
        </w:rPr>
        <w:t>T</w:t>
      </w:r>
      <w:r w:rsidRPr="00754B01">
        <w:rPr>
          <w:rFonts w:ascii="Times New Roman" w:eastAsia="Times New Roman" w:hAnsi="Times New Roman"/>
          <w:color w:val="000000" w:themeColor="text1"/>
        </w:rPr>
        <w:t xml:space="preserve">he item </w:t>
      </w:r>
      <w:r w:rsidR="00412932" w:rsidRPr="00754B01">
        <w:rPr>
          <w:rFonts w:ascii="Times New Roman" w:eastAsia="Times New Roman" w:hAnsi="Times New Roman"/>
          <w:color w:val="000000" w:themeColor="text1"/>
        </w:rPr>
        <w:t>casts its re-write as a</w:t>
      </w:r>
      <w:r w:rsidRPr="00754B01">
        <w:rPr>
          <w:rFonts w:ascii="Times New Roman" w:eastAsia="Times New Roman" w:hAnsi="Times New Roman"/>
          <w:color w:val="000000" w:themeColor="text1"/>
        </w:rPr>
        <w:t xml:space="preserve"> </w:t>
      </w:r>
      <w:r w:rsidR="00F833D1">
        <w:rPr>
          <w:rFonts w:ascii="Times New Roman" w:eastAsia="Times New Roman" w:hAnsi="Times New Roman"/>
          <w:color w:val="000000" w:themeColor="text1"/>
        </w:rPr>
        <w:t>“</w:t>
      </w:r>
      <w:r w:rsidRPr="00754B01">
        <w:rPr>
          <w:rFonts w:ascii="Times New Roman" w:eastAsia="Times New Roman" w:hAnsi="Times New Roman"/>
          <w:color w:val="000000" w:themeColor="text1"/>
        </w:rPr>
        <w:t>modernized</w:t>
      </w:r>
      <w:r w:rsidR="00F833D1">
        <w:rPr>
          <w:rFonts w:ascii="Times New Roman" w:eastAsia="Times New Roman" w:hAnsi="Times New Roman"/>
          <w:color w:val="000000" w:themeColor="text1"/>
        </w:rPr>
        <w:t>”</w:t>
      </w:r>
      <w:r w:rsidRPr="00754B01">
        <w:rPr>
          <w:rFonts w:ascii="Times New Roman" w:eastAsia="Times New Roman" w:hAnsi="Times New Roman"/>
          <w:color w:val="000000" w:themeColor="text1"/>
        </w:rPr>
        <w:t xml:space="preserve"> version of Title II.  In doing so, </w:t>
      </w:r>
      <w:r w:rsidR="00412932" w:rsidRPr="00754B01">
        <w:rPr>
          <w:rFonts w:ascii="Times New Roman" w:eastAsia="Times New Roman" w:hAnsi="Times New Roman"/>
          <w:color w:val="000000" w:themeColor="text1"/>
        </w:rPr>
        <w:t xml:space="preserve">the </w:t>
      </w:r>
      <w:r w:rsidR="00AC6119" w:rsidRPr="00754B01">
        <w:rPr>
          <w:rFonts w:ascii="Times New Roman" w:eastAsia="Times New Roman" w:hAnsi="Times New Roman"/>
          <w:color w:val="000000" w:themeColor="text1"/>
        </w:rPr>
        <w:t>Commission</w:t>
      </w:r>
      <w:r w:rsidR="00412932" w:rsidRPr="00754B01">
        <w:rPr>
          <w:rFonts w:ascii="Times New Roman" w:eastAsia="Times New Roman" w:hAnsi="Times New Roman"/>
          <w:color w:val="000000" w:themeColor="text1"/>
        </w:rPr>
        <w:t xml:space="preserve"> forget</w:t>
      </w:r>
      <w:r w:rsidR="00AC6119" w:rsidRPr="00754B01">
        <w:rPr>
          <w:rFonts w:ascii="Times New Roman" w:eastAsia="Times New Roman" w:hAnsi="Times New Roman"/>
          <w:color w:val="000000" w:themeColor="text1"/>
        </w:rPr>
        <w:t>s</w:t>
      </w:r>
      <w:r w:rsidR="00412932" w:rsidRPr="00754B01">
        <w:rPr>
          <w:rFonts w:ascii="Times New Roman" w:eastAsia="Times New Roman" w:hAnsi="Times New Roman"/>
          <w:color w:val="000000" w:themeColor="text1"/>
        </w:rPr>
        <w:t xml:space="preserve"> that </w:t>
      </w:r>
      <w:r w:rsidR="00F833D1">
        <w:rPr>
          <w:rFonts w:ascii="Times New Roman" w:eastAsia="Times New Roman" w:hAnsi="Times New Roman"/>
          <w:color w:val="000000" w:themeColor="text1"/>
        </w:rPr>
        <w:t>“</w:t>
      </w:r>
      <w:r w:rsidRPr="00754B01">
        <w:rPr>
          <w:rFonts w:ascii="Times New Roman" w:eastAsia="Times New Roman" w:hAnsi="Times New Roman"/>
          <w:color w:val="000000" w:themeColor="text1"/>
        </w:rPr>
        <w:t>it may not exercise its authority in a manner that is inconsistent with the administrative structure that Congress enacted into law.</w:t>
      </w:r>
      <w:r w:rsidR="00F833D1">
        <w:rPr>
          <w:rFonts w:ascii="Times New Roman" w:eastAsia="Times New Roman" w:hAnsi="Times New Roman"/>
          <w:color w:val="000000" w:themeColor="text1"/>
        </w:rPr>
        <w:t>”</w:t>
      </w:r>
      <w:r w:rsidRPr="00754B01">
        <w:rPr>
          <w:rStyle w:val="FootnoteReference"/>
          <w:rFonts w:ascii="Times New Roman" w:eastAsia="Times New Roman" w:hAnsi="Times New Roman"/>
          <w:color w:val="000000" w:themeColor="text1"/>
        </w:rPr>
        <w:footnoteReference w:id="30"/>
      </w:r>
      <w:r w:rsidRPr="00754B01">
        <w:rPr>
          <w:rFonts w:ascii="Times New Roman" w:eastAsia="Times New Roman" w:hAnsi="Times New Roman"/>
          <w:color w:val="000000" w:themeColor="text1"/>
        </w:rPr>
        <w:t xml:space="preserve">  Congress gave us 48 provisions in Title II, but apparently all we really need is section 151 (w</w:t>
      </w:r>
      <w:r w:rsidRPr="00577DBF">
        <w:rPr>
          <w:rFonts w:ascii="Times New Roman" w:eastAsia="Times New Roman" w:hAnsi="Times New Roman"/>
          <w:color w:val="000000" w:themeColor="text1"/>
        </w:rPr>
        <w:t xml:space="preserve">hich establishes the FCC and gives it authority over all interstate service) and 201 (which provides the substantive basis for all FCC rules).  </w:t>
      </w:r>
      <w:r w:rsidRPr="00577DBF">
        <w:rPr>
          <w:rFonts w:ascii="Times New Roman" w:hAnsi="Times New Roman"/>
        </w:rPr>
        <w:t xml:space="preserve">Or, to put it another way:  </w:t>
      </w:r>
      <w:r w:rsidR="00F833D1">
        <w:rPr>
          <w:rFonts w:ascii="Times New Roman" w:hAnsi="Times New Roman"/>
        </w:rPr>
        <w:t>“</w:t>
      </w:r>
      <w:r w:rsidRPr="00577DBF">
        <w:rPr>
          <w:rFonts w:ascii="Times New Roman" w:hAnsi="Times New Roman"/>
        </w:rPr>
        <w:t>Presto, we have a new statute</w:t>
      </w:r>
      <w:r w:rsidR="00F833D1">
        <w:rPr>
          <w:rFonts w:ascii="Times New Roman" w:hAnsi="Times New Roman"/>
        </w:rPr>
        <w:t>”</w:t>
      </w:r>
      <w:r w:rsidRPr="00577DBF">
        <w:rPr>
          <w:rFonts w:ascii="Times New Roman" w:hAnsi="Times New Roman"/>
        </w:rPr>
        <w:t>.</w:t>
      </w:r>
      <w:r w:rsidRPr="00754B01">
        <w:rPr>
          <w:rStyle w:val="FootnoteReference"/>
          <w:rFonts w:ascii="Times New Roman" w:hAnsi="Times New Roman"/>
        </w:rPr>
        <w:footnoteReference w:id="31"/>
      </w:r>
    </w:p>
    <w:p w:rsidR="00706349" w:rsidRPr="000504B0" w:rsidRDefault="00706349" w:rsidP="00F85C93">
      <w:pPr>
        <w:rPr>
          <w:rFonts w:ascii="Times New Roman" w:eastAsia="Times New Roman" w:hAnsi="Times New Roman"/>
          <w:color w:val="000000" w:themeColor="text1"/>
        </w:rPr>
      </w:pPr>
    </w:p>
    <w:p w:rsidR="00706349" w:rsidRDefault="00706349" w:rsidP="00F85C93">
      <w:pPr>
        <w:rPr>
          <w:rFonts w:ascii="Times New Roman" w:eastAsia="Times New Roman" w:hAnsi="Times New Roman"/>
          <w:color w:val="000000" w:themeColor="text1"/>
        </w:rPr>
      </w:pPr>
      <w:r w:rsidRPr="00754B01">
        <w:rPr>
          <w:rFonts w:ascii="Times New Roman" w:eastAsia="Times New Roman" w:hAnsi="Times New Roman"/>
          <w:color w:val="000000" w:themeColor="text1"/>
        </w:rPr>
        <w:tab/>
      </w:r>
      <w:r w:rsidR="00412932" w:rsidRPr="00754B01">
        <w:rPr>
          <w:rFonts w:ascii="Times New Roman" w:eastAsia="Times New Roman" w:hAnsi="Times New Roman"/>
          <w:color w:val="000000" w:themeColor="text1"/>
        </w:rPr>
        <w:t xml:space="preserve">Moreover, </w:t>
      </w:r>
      <w:r w:rsidR="00F66B7B" w:rsidRPr="00754B01">
        <w:rPr>
          <w:rFonts w:ascii="Times New Roman" w:eastAsia="Times New Roman" w:hAnsi="Times New Roman"/>
          <w:color w:val="000000" w:themeColor="text1"/>
        </w:rPr>
        <w:t>the</w:t>
      </w:r>
      <w:r w:rsidRPr="00754B01">
        <w:rPr>
          <w:rFonts w:ascii="Times New Roman" w:eastAsia="Times New Roman" w:hAnsi="Times New Roman"/>
          <w:color w:val="000000" w:themeColor="text1"/>
        </w:rPr>
        <w:t xml:space="preserve"> Commission </w:t>
      </w:r>
      <w:r w:rsidR="00F66B7B" w:rsidRPr="00754B01">
        <w:rPr>
          <w:rFonts w:ascii="Times New Roman" w:eastAsia="Times New Roman" w:hAnsi="Times New Roman"/>
          <w:color w:val="000000" w:themeColor="text1"/>
        </w:rPr>
        <w:t>cannot</w:t>
      </w:r>
      <w:r w:rsidRPr="00754B01">
        <w:rPr>
          <w:rFonts w:ascii="Times New Roman" w:eastAsia="Times New Roman" w:hAnsi="Times New Roman"/>
          <w:color w:val="000000" w:themeColor="text1"/>
        </w:rPr>
        <w:t xml:space="preserve"> cast aside specific provisions in favor of more general provisions of the Act.  If Congress had thought that sections 201 and 202 provided the authority necessary to regulate interconnection, for example, then why was it compelled to add section 251 in 1996?  </w:t>
      </w:r>
    </w:p>
    <w:p w:rsidR="00F833D1" w:rsidRPr="00754B01" w:rsidRDefault="00F833D1" w:rsidP="00F85C93">
      <w:pPr>
        <w:rPr>
          <w:rFonts w:ascii="Times New Roman" w:hAnsi="Times New Roman"/>
        </w:rPr>
      </w:pPr>
    </w:p>
    <w:p w:rsidR="003C3F69" w:rsidRPr="00754B01" w:rsidRDefault="00706349" w:rsidP="00F85C93">
      <w:pPr>
        <w:rPr>
          <w:rFonts w:ascii="Times New Roman" w:hAnsi="Times New Roman"/>
        </w:rPr>
      </w:pPr>
      <w:r w:rsidRPr="00754B01">
        <w:rPr>
          <w:rFonts w:ascii="Times New Roman" w:hAnsi="Times New Roman"/>
        </w:rPr>
        <w:tab/>
      </w:r>
      <w:r w:rsidR="00D4014E" w:rsidRPr="00754B01">
        <w:rPr>
          <w:rFonts w:ascii="Times New Roman" w:hAnsi="Times New Roman"/>
        </w:rPr>
        <w:t>Additionally</w:t>
      </w:r>
      <w:r w:rsidRPr="00754B01">
        <w:rPr>
          <w:rFonts w:ascii="Times New Roman" w:hAnsi="Times New Roman"/>
        </w:rPr>
        <w:t>, t</w:t>
      </w:r>
      <w:r w:rsidR="0069123A" w:rsidRPr="00754B01">
        <w:rPr>
          <w:rFonts w:ascii="Times New Roman" w:hAnsi="Times New Roman"/>
        </w:rPr>
        <w:t xml:space="preserve">he </w:t>
      </w:r>
      <w:r w:rsidRPr="00754B01">
        <w:rPr>
          <w:rFonts w:ascii="Times New Roman" w:hAnsi="Times New Roman"/>
        </w:rPr>
        <w:t xml:space="preserve">fact that the agency has forbearance authority does not justify the re-write.  Using Title II combined with forbearance </w:t>
      </w:r>
      <w:r w:rsidR="0069123A" w:rsidRPr="00754B01">
        <w:rPr>
          <w:rFonts w:ascii="Times New Roman" w:hAnsi="Times New Roman"/>
        </w:rPr>
        <w:t xml:space="preserve">to cherry pick its preferred provisions is an egregious abuse of </w:t>
      </w:r>
      <w:r w:rsidR="00965D35" w:rsidRPr="00754B01">
        <w:rPr>
          <w:rFonts w:ascii="Times New Roman" w:hAnsi="Times New Roman"/>
        </w:rPr>
        <w:t xml:space="preserve">forbearance </w:t>
      </w:r>
      <w:r w:rsidR="0069123A" w:rsidRPr="00754B01">
        <w:rPr>
          <w:rFonts w:ascii="Times New Roman" w:hAnsi="Times New Roman"/>
        </w:rPr>
        <w:t>authority</w:t>
      </w:r>
      <w:r w:rsidR="00735E9E" w:rsidRPr="00754B01">
        <w:rPr>
          <w:rFonts w:ascii="Times New Roman" w:hAnsi="Times New Roman"/>
        </w:rPr>
        <w:t>.</w:t>
      </w:r>
      <w:r w:rsidR="0069123A" w:rsidRPr="00754B01">
        <w:rPr>
          <w:rFonts w:ascii="Times New Roman" w:hAnsi="Times New Roman"/>
        </w:rPr>
        <w:t xml:space="preserve">  </w:t>
      </w:r>
      <w:r w:rsidR="00965D35" w:rsidRPr="00754B01">
        <w:rPr>
          <w:rFonts w:ascii="Times New Roman" w:hAnsi="Times New Roman"/>
        </w:rPr>
        <w:t xml:space="preserve">As the D.C. Circuit has explained, </w:t>
      </w:r>
      <w:r w:rsidR="00F833D1">
        <w:rPr>
          <w:rFonts w:ascii="Times New Roman" w:hAnsi="Times New Roman"/>
        </w:rPr>
        <w:t>“</w:t>
      </w:r>
      <w:r w:rsidR="00965D35" w:rsidRPr="00754B01">
        <w:rPr>
          <w:rFonts w:ascii="Times New Roman" w:hAnsi="Times New Roman"/>
        </w:rPr>
        <w:t xml:space="preserve">To further the deregulatory aims underlying the 1996 overhaul of the Communications Act, </w:t>
      </w:r>
      <w:r w:rsidR="0069123A" w:rsidRPr="00754B01">
        <w:rPr>
          <w:rFonts w:ascii="Times New Roman" w:hAnsi="Times New Roman"/>
        </w:rPr>
        <w:t>Congress provided the FCC with the unusual authority to forbear from enforcing provisions of the Act as well as its own regulations.</w:t>
      </w:r>
      <w:r w:rsidR="00F833D1">
        <w:rPr>
          <w:rFonts w:ascii="Times New Roman" w:hAnsi="Times New Roman"/>
        </w:rPr>
        <w:t>”</w:t>
      </w:r>
      <w:r w:rsidR="0069123A" w:rsidRPr="00754B01">
        <w:rPr>
          <w:rStyle w:val="FootnoteReference"/>
          <w:rFonts w:ascii="Times New Roman" w:hAnsi="Times New Roman"/>
        </w:rPr>
        <w:footnoteReference w:id="32"/>
      </w:r>
      <w:r w:rsidR="0069123A" w:rsidRPr="00754B01">
        <w:rPr>
          <w:rFonts w:ascii="Times New Roman" w:hAnsi="Times New Roman"/>
        </w:rPr>
        <w:t xml:space="preserve">  That is, forbearance was intended to </w:t>
      </w:r>
      <w:r w:rsidR="0069123A" w:rsidRPr="000504B0">
        <w:rPr>
          <w:rFonts w:ascii="Times New Roman" w:hAnsi="Times New Roman"/>
          <w:i/>
        </w:rPr>
        <w:t>relie</w:t>
      </w:r>
      <w:r w:rsidR="0069123A" w:rsidRPr="00754B01">
        <w:rPr>
          <w:rFonts w:ascii="Times New Roman" w:hAnsi="Times New Roman"/>
          <w:i/>
        </w:rPr>
        <w:t>ve</w:t>
      </w:r>
      <w:r w:rsidR="0069123A" w:rsidRPr="00754B01">
        <w:rPr>
          <w:rFonts w:ascii="Times New Roman" w:hAnsi="Times New Roman"/>
        </w:rPr>
        <w:t xml:space="preserve"> </w:t>
      </w:r>
      <w:r w:rsidR="00B94700" w:rsidRPr="00754B01">
        <w:rPr>
          <w:rFonts w:ascii="Times New Roman" w:hAnsi="Times New Roman"/>
        </w:rPr>
        <w:t xml:space="preserve">carriers of </w:t>
      </w:r>
      <w:r w:rsidR="00B94700" w:rsidRPr="00754B01">
        <w:rPr>
          <w:rFonts w:ascii="Times New Roman" w:hAnsi="Times New Roman"/>
          <w:i/>
        </w:rPr>
        <w:t>existing</w:t>
      </w:r>
      <w:r w:rsidR="00B94700" w:rsidRPr="00754B01">
        <w:rPr>
          <w:rFonts w:ascii="Times New Roman" w:hAnsi="Times New Roman"/>
        </w:rPr>
        <w:t xml:space="preserve"> regulations during a time of regulatory transition.  It was not meant to be used as a tool to selectively </w:t>
      </w:r>
      <w:r w:rsidR="00965D35" w:rsidRPr="00754B01">
        <w:rPr>
          <w:rFonts w:ascii="Times New Roman" w:hAnsi="Times New Roman"/>
        </w:rPr>
        <w:t>subject</w:t>
      </w:r>
      <w:r w:rsidR="00B94700" w:rsidRPr="00754B01">
        <w:rPr>
          <w:rFonts w:ascii="Times New Roman" w:hAnsi="Times New Roman"/>
        </w:rPr>
        <w:t xml:space="preserve"> new services</w:t>
      </w:r>
      <w:r w:rsidR="00965D35" w:rsidRPr="00754B01">
        <w:rPr>
          <w:rFonts w:ascii="Times New Roman" w:hAnsi="Times New Roman"/>
        </w:rPr>
        <w:t xml:space="preserve"> to </w:t>
      </w:r>
      <w:r w:rsidR="001B5275" w:rsidRPr="00754B01">
        <w:rPr>
          <w:rFonts w:ascii="Times New Roman" w:hAnsi="Times New Roman"/>
        </w:rPr>
        <w:t>previously inapplicable</w:t>
      </w:r>
      <w:r w:rsidR="00965D35" w:rsidRPr="00754B01">
        <w:rPr>
          <w:rFonts w:ascii="Times New Roman" w:hAnsi="Times New Roman"/>
        </w:rPr>
        <w:t xml:space="preserve"> provisions</w:t>
      </w:r>
      <w:r w:rsidR="00B94700" w:rsidRPr="00754B01">
        <w:rPr>
          <w:rFonts w:ascii="Times New Roman" w:hAnsi="Times New Roman"/>
        </w:rPr>
        <w:t xml:space="preserve">.  </w:t>
      </w:r>
    </w:p>
    <w:p w:rsidR="00965D35" w:rsidRPr="00754B01" w:rsidRDefault="00965D35" w:rsidP="00F85C93">
      <w:pPr>
        <w:rPr>
          <w:rFonts w:ascii="Times New Roman" w:hAnsi="Times New Roman"/>
        </w:rPr>
      </w:pPr>
    </w:p>
    <w:p w:rsidR="002145E4" w:rsidRPr="00754B01" w:rsidRDefault="002145E4" w:rsidP="00F85C93">
      <w:pPr>
        <w:rPr>
          <w:rFonts w:ascii="Times New Roman" w:hAnsi="Times New Roman"/>
        </w:rPr>
      </w:pPr>
      <w:r w:rsidRPr="00754B01">
        <w:rPr>
          <w:rFonts w:ascii="Times New Roman" w:eastAsia="Times New Roman" w:hAnsi="Times New Roman"/>
          <w:color w:val="000000" w:themeColor="text1"/>
        </w:rPr>
        <w:tab/>
      </w:r>
      <w:r w:rsidRPr="00754B01">
        <w:rPr>
          <w:rFonts w:ascii="Times New Roman" w:hAnsi="Times New Roman"/>
        </w:rPr>
        <w:t xml:space="preserve">This usurpation of Congressional authority is especially troubling given that Congress started the process to legislate in this space.  The FCC leadership did not even consider a </w:t>
      </w:r>
      <w:r w:rsidR="004F26BD" w:rsidRPr="00754B01">
        <w:rPr>
          <w:rFonts w:ascii="Times New Roman" w:hAnsi="Times New Roman"/>
        </w:rPr>
        <w:t xml:space="preserve">brief </w:t>
      </w:r>
      <w:r w:rsidRPr="00754B01">
        <w:rPr>
          <w:rFonts w:ascii="Times New Roman" w:hAnsi="Times New Roman"/>
        </w:rPr>
        <w:t>pause to see that process play out.  Instead, they invited Congress to supplement the FCC</w:t>
      </w:r>
      <w:r w:rsidR="00F833D1">
        <w:rPr>
          <w:rFonts w:ascii="Times New Roman" w:hAnsi="Times New Roman"/>
        </w:rPr>
        <w:t>’</w:t>
      </w:r>
      <w:r w:rsidRPr="00754B01">
        <w:rPr>
          <w:rFonts w:ascii="Times New Roman" w:hAnsi="Times New Roman"/>
        </w:rPr>
        <w:t xml:space="preserve">s re-write.  </w:t>
      </w:r>
      <w:r w:rsidR="004F268B" w:rsidRPr="00754B01">
        <w:rPr>
          <w:rFonts w:ascii="Times New Roman" w:hAnsi="Times New Roman"/>
        </w:rPr>
        <w:t>Not surprisingly</w:t>
      </w:r>
      <w:r w:rsidRPr="00754B01">
        <w:rPr>
          <w:rFonts w:ascii="Times New Roman" w:hAnsi="Times New Roman"/>
        </w:rPr>
        <w:t xml:space="preserve">, the </w:t>
      </w:r>
      <w:r w:rsidR="00363D99" w:rsidRPr="00754B01">
        <w:rPr>
          <w:rFonts w:ascii="Times New Roman" w:hAnsi="Times New Roman"/>
        </w:rPr>
        <w:t>FCC</w:t>
      </w:r>
      <w:r w:rsidR="00363D99">
        <w:rPr>
          <w:rFonts w:ascii="Times New Roman" w:hAnsi="Times New Roman"/>
        </w:rPr>
        <w:t>’</w:t>
      </w:r>
      <w:r w:rsidR="00363D99" w:rsidRPr="00754B01">
        <w:rPr>
          <w:rFonts w:ascii="Times New Roman" w:hAnsi="Times New Roman"/>
        </w:rPr>
        <w:t xml:space="preserve">s </w:t>
      </w:r>
      <w:r w:rsidRPr="00754B01">
        <w:rPr>
          <w:rFonts w:ascii="Times New Roman" w:hAnsi="Times New Roman"/>
        </w:rPr>
        <w:t>arrogance has already invited greater Congressional scrutiny</w:t>
      </w:r>
      <w:r w:rsidR="00AC2BAF" w:rsidRPr="00754B01">
        <w:rPr>
          <w:rFonts w:ascii="Times New Roman" w:hAnsi="Times New Roman"/>
        </w:rPr>
        <w:t xml:space="preserve"> and the FCC ultimately could see its authority curtailed</w:t>
      </w:r>
      <w:r w:rsidR="00D80223">
        <w:rPr>
          <w:rFonts w:ascii="Times New Roman" w:hAnsi="Times New Roman"/>
        </w:rPr>
        <w:t xml:space="preserve"> in many areas</w:t>
      </w:r>
      <w:r w:rsidRPr="00754B01">
        <w:rPr>
          <w:rFonts w:ascii="Times New Roman" w:hAnsi="Times New Roman"/>
        </w:rPr>
        <w:t>.</w:t>
      </w:r>
      <w:r w:rsidR="00D80223">
        <w:rPr>
          <w:rFonts w:ascii="Times New Roman" w:hAnsi="Times New Roman"/>
        </w:rPr>
        <w:t xml:space="preserve">  </w:t>
      </w:r>
      <w:r w:rsidR="00AC2BAF" w:rsidRPr="00754B01">
        <w:rPr>
          <w:rFonts w:ascii="Times New Roman" w:hAnsi="Times New Roman"/>
        </w:rPr>
        <w:t xml:space="preserve">    </w:t>
      </w:r>
      <w:r w:rsidRPr="00754B01">
        <w:rPr>
          <w:rFonts w:ascii="Times New Roman" w:hAnsi="Times New Roman"/>
        </w:rPr>
        <w:t xml:space="preserve">  </w:t>
      </w:r>
    </w:p>
    <w:p w:rsidR="001B5275" w:rsidRPr="00754B01" w:rsidRDefault="001B5275" w:rsidP="00F85C93">
      <w:pPr>
        <w:rPr>
          <w:rFonts w:ascii="Times New Roman" w:hAnsi="Times New Roman"/>
        </w:rPr>
      </w:pPr>
    </w:p>
    <w:p w:rsidR="002F0765" w:rsidRPr="00754B01" w:rsidRDefault="002F0765" w:rsidP="00F85C93">
      <w:pPr>
        <w:rPr>
          <w:rFonts w:ascii="Times New Roman" w:hAnsi="Times New Roman"/>
          <w:i/>
        </w:rPr>
      </w:pPr>
      <w:r w:rsidRPr="00754B01">
        <w:rPr>
          <w:rFonts w:ascii="Times New Roman" w:hAnsi="Times New Roman"/>
          <w:i/>
        </w:rPr>
        <w:t>Case-by-case Enforcement Will be a Trap for the Unwary</w:t>
      </w:r>
    </w:p>
    <w:p w:rsidR="002F0765" w:rsidRPr="00754B01" w:rsidRDefault="002F0765" w:rsidP="00F85C93">
      <w:pPr>
        <w:rPr>
          <w:rFonts w:ascii="Times New Roman" w:hAnsi="Times New Roman"/>
        </w:rPr>
      </w:pPr>
    </w:p>
    <w:p w:rsidR="00B14023" w:rsidRPr="00754B01" w:rsidRDefault="00B56C2E" w:rsidP="00460732">
      <w:pPr>
        <w:ind w:firstLine="720"/>
        <w:rPr>
          <w:rFonts w:ascii="Times New Roman" w:hAnsi="Times New Roman"/>
        </w:rPr>
      </w:pPr>
      <w:r w:rsidRPr="00754B01">
        <w:rPr>
          <w:rFonts w:ascii="Times New Roman" w:hAnsi="Times New Roman"/>
        </w:rPr>
        <w:t>The FCC “fact” sheet promised bright line rules, but the reality is that the bulk of this rulemaking will be conducted through case-by-case adjudication, mostly at the Bureau level</w:t>
      </w:r>
      <w:r w:rsidR="00553CF9" w:rsidRPr="00754B01">
        <w:rPr>
          <w:rFonts w:ascii="Times New Roman" w:hAnsi="Times New Roman"/>
        </w:rPr>
        <w:t xml:space="preserve"> and in the courts</w:t>
      </w:r>
      <w:r w:rsidRPr="00754B01">
        <w:rPr>
          <w:rFonts w:ascii="Times New Roman" w:hAnsi="Times New Roman"/>
        </w:rPr>
        <w:t xml:space="preserve">.  To be sure, there are three bright line rules:  no blocking, no throttling, and no paid prioritization.  But those are mere needles in a Title II haystack.  </w:t>
      </w:r>
    </w:p>
    <w:p w:rsidR="00B14023" w:rsidRPr="00754B01" w:rsidRDefault="00B14023" w:rsidP="00F85C93">
      <w:pPr>
        <w:rPr>
          <w:rFonts w:ascii="Times New Roman" w:hAnsi="Times New Roman"/>
        </w:rPr>
      </w:pPr>
    </w:p>
    <w:p w:rsidR="00A41809" w:rsidRPr="00225021" w:rsidRDefault="001E06F6" w:rsidP="00460732">
      <w:pPr>
        <w:ind w:firstLine="720"/>
        <w:rPr>
          <w:rFonts w:ascii="Times New Roman" w:hAnsi="Times New Roman"/>
        </w:rPr>
      </w:pPr>
      <w:r w:rsidRPr="00754B01">
        <w:rPr>
          <w:rFonts w:ascii="Times New Roman" w:hAnsi="Times New Roman"/>
        </w:rPr>
        <w:t>Many</w:t>
      </w:r>
      <w:r w:rsidR="00B14023" w:rsidRPr="00754B01">
        <w:rPr>
          <w:rFonts w:ascii="Times New Roman" w:hAnsi="Times New Roman"/>
        </w:rPr>
        <w:t xml:space="preserve"> practices will be reviewed under the </w:t>
      </w:r>
      <w:r w:rsidRPr="00754B01">
        <w:rPr>
          <w:rFonts w:ascii="Times New Roman" w:hAnsi="Times New Roman"/>
        </w:rPr>
        <w:t xml:space="preserve">general conduct </w:t>
      </w:r>
      <w:r w:rsidR="00B14023" w:rsidRPr="00754B01">
        <w:rPr>
          <w:rFonts w:ascii="Times New Roman" w:hAnsi="Times New Roman"/>
        </w:rPr>
        <w:t xml:space="preserve">standard </w:t>
      </w:r>
      <w:r w:rsidRPr="00754B01">
        <w:rPr>
          <w:rFonts w:ascii="Times New Roman" w:hAnsi="Times New Roman"/>
        </w:rPr>
        <w:t>that will be, quite literally, a catch-</w:t>
      </w:r>
      <w:r w:rsidRPr="00754B01">
        <w:rPr>
          <w:rFonts w:ascii="Times New Roman" w:hAnsi="Times New Roman"/>
          <w:i/>
        </w:rPr>
        <w:t>all</w:t>
      </w:r>
      <w:r w:rsidR="00B14023" w:rsidRPr="00754B01">
        <w:rPr>
          <w:rFonts w:ascii="Times New Roman" w:hAnsi="Times New Roman"/>
        </w:rPr>
        <w:t>.  Moreover, r</w:t>
      </w:r>
      <w:r w:rsidR="00B56C2E" w:rsidRPr="00754B01">
        <w:rPr>
          <w:rFonts w:ascii="Times New Roman" w:hAnsi="Times New Roman"/>
        </w:rPr>
        <w:t xml:space="preserve">ates, charges, and classifications will </w:t>
      </w:r>
      <w:r w:rsidR="00363D99" w:rsidRPr="00754B01">
        <w:rPr>
          <w:rFonts w:ascii="Times New Roman" w:hAnsi="Times New Roman"/>
        </w:rPr>
        <w:t xml:space="preserve">also </w:t>
      </w:r>
      <w:r w:rsidR="00B56C2E" w:rsidRPr="00754B01">
        <w:rPr>
          <w:rFonts w:ascii="Times New Roman" w:hAnsi="Times New Roman"/>
        </w:rPr>
        <w:t>be reviewed under the amorphous just and reasonable standard</w:t>
      </w:r>
      <w:r w:rsidR="00400090" w:rsidRPr="00754B01">
        <w:rPr>
          <w:rFonts w:ascii="Times New Roman" w:hAnsi="Times New Roman"/>
        </w:rPr>
        <w:t xml:space="preserve"> in sections 201 and 202</w:t>
      </w:r>
      <w:r w:rsidR="00B56C2E" w:rsidRPr="00754B01">
        <w:rPr>
          <w:rFonts w:ascii="Times New Roman" w:hAnsi="Times New Roman"/>
        </w:rPr>
        <w:t xml:space="preserve">.  </w:t>
      </w:r>
      <w:r w:rsidR="00A41809" w:rsidRPr="00754B01">
        <w:rPr>
          <w:rFonts w:ascii="Times New Roman" w:hAnsi="Times New Roman"/>
        </w:rPr>
        <w:t>Parties will have no way of knowing, in advance, how a Bureau</w:t>
      </w:r>
      <w:r w:rsidR="00363D99">
        <w:rPr>
          <w:rFonts w:ascii="Times New Roman" w:hAnsi="Times New Roman"/>
        </w:rPr>
        <w:t xml:space="preserve"> or</w:t>
      </w:r>
      <w:r w:rsidR="00A41809" w:rsidRPr="00754B01">
        <w:rPr>
          <w:rFonts w:ascii="Times New Roman" w:hAnsi="Times New Roman"/>
        </w:rPr>
        <w:t xml:space="preserve"> the Commission—much less courts acting pursuant to sections 206 and 207</w:t>
      </w:r>
      <w:r w:rsidR="004A2D61" w:rsidRPr="00754B01">
        <w:rPr>
          <w:rStyle w:val="FootnoteReference"/>
          <w:rFonts w:ascii="Times New Roman" w:hAnsi="Times New Roman"/>
        </w:rPr>
        <w:footnoteReference w:id="33"/>
      </w:r>
      <w:r w:rsidR="00A41809" w:rsidRPr="00754B01">
        <w:rPr>
          <w:rFonts w:ascii="Times New Roman" w:hAnsi="Times New Roman"/>
        </w:rPr>
        <w:t xml:space="preserve">—will rule on a </w:t>
      </w:r>
      <w:r w:rsidR="00A41809" w:rsidRPr="00225021">
        <w:rPr>
          <w:rFonts w:ascii="Times New Roman" w:hAnsi="Times New Roman"/>
        </w:rPr>
        <w:t xml:space="preserve">particular matter.  </w:t>
      </w:r>
      <w:r w:rsidR="00553CF9" w:rsidRPr="00225021">
        <w:rPr>
          <w:rFonts w:ascii="Times New Roman" w:hAnsi="Times New Roman"/>
        </w:rPr>
        <w:t>There will be no certainty</w:t>
      </w:r>
      <w:r w:rsidR="00A41809" w:rsidRPr="00225021">
        <w:rPr>
          <w:rFonts w:ascii="Times New Roman" w:hAnsi="Times New Roman"/>
        </w:rPr>
        <w:t xml:space="preserve">.  </w:t>
      </w:r>
      <w:r w:rsidR="00225021" w:rsidRPr="00225021">
        <w:rPr>
          <w:rFonts w:ascii="Times New Roman" w:hAnsi="Times New Roman"/>
        </w:rPr>
        <w:t xml:space="preserve">Indeed, one public interest group called the catch-all </w:t>
      </w:r>
      <w:r w:rsidR="00D80223" w:rsidRPr="00225021">
        <w:rPr>
          <w:rFonts w:ascii="Times New Roman" w:hAnsi="Times New Roman"/>
        </w:rPr>
        <w:t xml:space="preserve">a </w:t>
      </w:r>
      <w:r w:rsidR="00D80223" w:rsidRPr="00225021">
        <w:rPr>
          <w:rFonts w:ascii="Times New Roman" w:hAnsi="Times New Roman"/>
          <w:color w:val="000000"/>
          <w:shd w:val="clear" w:color="auto" w:fill="FFFFFF"/>
        </w:rPr>
        <w:t>“recipe</w:t>
      </w:r>
      <w:r w:rsidR="00225021" w:rsidRPr="00225021">
        <w:rPr>
          <w:rFonts w:ascii="Times New Roman" w:hAnsi="Times New Roman"/>
          <w:color w:val="000000"/>
          <w:shd w:val="clear" w:color="auto" w:fill="FFFFFF"/>
        </w:rPr>
        <w:t xml:space="preserve"> for overreach and confusion”.</w:t>
      </w:r>
      <w:r w:rsidR="00225021" w:rsidRPr="00225021">
        <w:rPr>
          <w:rStyle w:val="FootnoteReference"/>
          <w:rFonts w:ascii="Times New Roman" w:hAnsi="Times New Roman"/>
          <w:color w:val="000000"/>
          <w:shd w:val="clear" w:color="auto" w:fill="FFFFFF"/>
        </w:rPr>
        <w:footnoteReference w:id="34"/>
      </w:r>
    </w:p>
    <w:p w:rsidR="00A41809" w:rsidRPr="00754B01" w:rsidRDefault="00A41809" w:rsidP="00460732">
      <w:pPr>
        <w:ind w:firstLine="720"/>
        <w:rPr>
          <w:rFonts w:ascii="Times New Roman" w:hAnsi="Times New Roman"/>
        </w:rPr>
      </w:pPr>
    </w:p>
    <w:p w:rsidR="002F0765" w:rsidRPr="00754B01" w:rsidRDefault="00B14023" w:rsidP="00460732">
      <w:pPr>
        <w:ind w:firstLine="720"/>
        <w:rPr>
          <w:rFonts w:ascii="Times New Roman" w:hAnsi="Times New Roman"/>
        </w:rPr>
      </w:pPr>
      <w:r w:rsidRPr="00754B01">
        <w:rPr>
          <w:rFonts w:ascii="Times New Roman" w:hAnsi="Times New Roman"/>
        </w:rPr>
        <w:t>The item notes that parties may seek an advisory opinion</w:t>
      </w:r>
      <w:r w:rsidR="00D80223">
        <w:rPr>
          <w:rFonts w:ascii="Times New Roman" w:hAnsi="Times New Roman"/>
        </w:rPr>
        <w:t xml:space="preserve">, which appears utterly useless: </w:t>
      </w:r>
      <w:r w:rsidR="00A41809" w:rsidRPr="00754B01">
        <w:rPr>
          <w:rFonts w:ascii="Times New Roman" w:hAnsi="Times New Roman"/>
        </w:rPr>
        <w:t xml:space="preserve"> </w:t>
      </w:r>
      <w:r w:rsidRPr="00754B01">
        <w:rPr>
          <w:rFonts w:ascii="Times New Roman" w:hAnsi="Times New Roman"/>
        </w:rPr>
        <w:t xml:space="preserve">they are only available in certain circumstances and are not binding.  </w:t>
      </w:r>
      <w:r w:rsidR="008B463F" w:rsidRPr="00754B01">
        <w:rPr>
          <w:rFonts w:ascii="Times New Roman" w:hAnsi="Times New Roman"/>
        </w:rPr>
        <w:t>(</w:t>
      </w:r>
      <w:r w:rsidRPr="00754B01">
        <w:rPr>
          <w:rFonts w:ascii="Times New Roman" w:hAnsi="Times New Roman"/>
        </w:rPr>
        <w:t xml:space="preserve">I’m </w:t>
      </w:r>
      <w:r w:rsidR="008B463F" w:rsidRPr="00754B01">
        <w:rPr>
          <w:rFonts w:ascii="Times New Roman" w:hAnsi="Times New Roman"/>
        </w:rPr>
        <w:t xml:space="preserve">also </w:t>
      </w:r>
      <w:r w:rsidRPr="00754B01">
        <w:rPr>
          <w:rFonts w:ascii="Times New Roman" w:hAnsi="Times New Roman"/>
        </w:rPr>
        <w:t>not sure why any party would want to refer itself to the Enforcement Bureau when its request could be used against it later.</w:t>
      </w:r>
      <w:r w:rsidR="008B463F" w:rsidRPr="00754B01">
        <w:rPr>
          <w:rFonts w:ascii="Times New Roman" w:hAnsi="Times New Roman"/>
        </w:rPr>
        <w:t xml:space="preserve">)  </w:t>
      </w:r>
    </w:p>
    <w:p w:rsidR="00B14023" w:rsidRPr="00754B01" w:rsidRDefault="00B14023" w:rsidP="00460732">
      <w:pPr>
        <w:ind w:firstLine="720"/>
        <w:rPr>
          <w:rFonts w:ascii="Times New Roman" w:hAnsi="Times New Roman"/>
        </w:rPr>
      </w:pPr>
    </w:p>
    <w:p w:rsidR="00F04E34" w:rsidRPr="00754B01" w:rsidRDefault="00D4014E" w:rsidP="00F85C93">
      <w:pPr>
        <w:rPr>
          <w:rFonts w:ascii="Times New Roman" w:hAnsi="Times New Roman"/>
          <w:i/>
        </w:rPr>
      </w:pPr>
      <w:r w:rsidRPr="00754B01">
        <w:rPr>
          <w:rFonts w:ascii="Times New Roman" w:hAnsi="Times New Roman"/>
          <w:i/>
        </w:rPr>
        <w:t>This is Just the Beginning</w:t>
      </w:r>
    </w:p>
    <w:p w:rsidR="00F04E34" w:rsidRPr="00754B01" w:rsidRDefault="00F04E34" w:rsidP="00F85C93">
      <w:pPr>
        <w:rPr>
          <w:rFonts w:ascii="Times New Roman" w:hAnsi="Times New Roman"/>
        </w:rPr>
      </w:pPr>
    </w:p>
    <w:p w:rsidR="00F04E34" w:rsidRPr="00754B01" w:rsidRDefault="006E4052" w:rsidP="00F85C93">
      <w:pPr>
        <w:rPr>
          <w:rFonts w:ascii="Times New Roman" w:hAnsi="Times New Roman"/>
        </w:rPr>
      </w:pPr>
      <w:r w:rsidRPr="00754B01">
        <w:rPr>
          <w:rFonts w:ascii="Times New Roman" w:hAnsi="Times New Roman"/>
        </w:rPr>
        <w:tab/>
      </w:r>
      <w:r w:rsidR="00D4014E" w:rsidRPr="00754B01">
        <w:rPr>
          <w:rFonts w:ascii="Times New Roman" w:hAnsi="Times New Roman"/>
        </w:rPr>
        <w:t xml:space="preserve">Although there are many caveats about what </w:t>
      </w:r>
      <w:r w:rsidR="00F833D1">
        <w:rPr>
          <w:rFonts w:ascii="Times New Roman" w:hAnsi="Times New Roman"/>
        </w:rPr>
        <w:t>“</w:t>
      </w:r>
      <w:r w:rsidR="00D4014E" w:rsidRPr="00754B01">
        <w:rPr>
          <w:rFonts w:ascii="Times New Roman" w:hAnsi="Times New Roman"/>
        </w:rPr>
        <w:t>this item</w:t>
      </w:r>
      <w:r w:rsidR="00F833D1">
        <w:rPr>
          <w:rFonts w:ascii="Times New Roman" w:hAnsi="Times New Roman"/>
        </w:rPr>
        <w:t>”</w:t>
      </w:r>
      <w:r w:rsidR="00D4014E" w:rsidRPr="00754B01">
        <w:rPr>
          <w:rFonts w:ascii="Times New Roman" w:hAnsi="Times New Roman"/>
        </w:rPr>
        <w:t xml:space="preserve"> does, the </w:t>
      </w:r>
      <w:r w:rsidR="00363D99" w:rsidRPr="00754B01">
        <w:rPr>
          <w:rFonts w:ascii="Times New Roman" w:hAnsi="Times New Roman"/>
        </w:rPr>
        <w:t>Commission</w:t>
      </w:r>
      <w:r w:rsidR="00363D99">
        <w:rPr>
          <w:rFonts w:ascii="Times New Roman" w:hAnsi="Times New Roman"/>
        </w:rPr>
        <w:t>’</w:t>
      </w:r>
      <w:r w:rsidR="00363D99" w:rsidRPr="00754B01">
        <w:rPr>
          <w:rFonts w:ascii="Times New Roman" w:hAnsi="Times New Roman"/>
        </w:rPr>
        <w:t xml:space="preserve">s </w:t>
      </w:r>
      <w:r w:rsidR="00D4014E" w:rsidRPr="00754B01">
        <w:rPr>
          <w:rFonts w:ascii="Times New Roman" w:hAnsi="Times New Roman"/>
        </w:rPr>
        <w:t xml:space="preserve">path forward is clear.  For example, </w:t>
      </w:r>
      <w:r w:rsidR="0010592A" w:rsidRPr="00754B01">
        <w:rPr>
          <w:rFonts w:ascii="Times New Roman" w:hAnsi="Times New Roman"/>
        </w:rPr>
        <w:t>the Commission</w:t>
      </w:r>
      <w:r w:rsidR="00D4014E" w:rsidRPr="00754B01">
        <w:rPr>
          <w:rFonts w:ascii="Times New Roman" w:hAnsi="Times New Roman"/>
        </w:rPr>
        <w:t xml:space="preserve"> claims that this item does not require broadband providers to contribute to the federal universal service </w:t>
      </w:r>
      <w:r w:rsidR="001C234C">
        <w:rPr>
          <w:rFonts w:ascii="Times New Roman" w:hAnsi="Times New Roman"/>
        </w:rPr>
        <w:t xml:space="preserve">fund </w:t>
      </w:r>
      <w:r w:rsidR="00D4014E" w:rsidRPr="00754B01">
        <w:rPr>
          <w:rFonts w:ascii="Times New Roman" w:hAnsi="Times New Roman"/>
        </w:rPr>
        <w:t xml:space="preserve">at this time.  But </w:t>
      </w:r>
      <w:r w:rsidR="00363D99" w:rsidRPr="00754B01">
        <w:rPr>
          <w:rFonts w:ascii="Times New Roman" w:hAnsi="Times New Roman"/>
        </w:rPr>
        <w:t>that</w:t>
      </w:r>
      <w:r w:rsidR="00363D99">
        <w:rPr>
          <w:rFonts w:ascii="Times New Roman" w:hAnsi="Times New Roman"/>
        </w:rPr>
        <w:t>’</w:t>
      </w:r>
      <w:r w:rsidR="00363D99" w:rsidRPr="00754B01">
        <w:rPr>
          <w:rFonts w:ascii="Times New Roman" w:hAnsi="Times New Roman"/>
        </w:rPr>
        <w:t xml:space="preserve">s </w:t>
      </w:r>
      <w:r w:rsidR="00D4014E" w:rsidRPr="00754B01">
        <w:rPr>
          <w:rFonts w:ascii="Times New Roman" w:hAnsi="Times New Roman"/>
        </w:rPr>
        <w:t xml:space="preserve">because it defers </w:t>
      </w:r>
      <w:r w:rsidR="0010592A" w:rsidRPr="00754B01">
        <w:rPr>
          <w:rFonts w:ascii="Times New Roman" w:hAnsi="Times New Roman"/>
        </w:rPr>
        <w:t>that decision to</w:t>
      </w:r>
      <w:r w:rsidR="00D4014E" w:rsidRPr="00754B01">
        <w:rPr>
          <w:rFonts w:ascii="Times New Roman" w:hAnsi="Times New Roman"/>
        </w:rPr>
        <w:t xml:space="preserve"> a pending proceeding which is likely to result in new fees on broadband service.  </w:t>
      </w:r>
    </w:p>
    <w:p w:rsidR="00F04E34" w:rsidRPr="00754B01" w:rsidRDefault="00F04E34" w:rsidP="00F85C93">
      <w:pPr>
        <w:rPr>
          <w:rFonts w:ascii="Times New Roman" w:hAnsi="Times New Roman"/>
        </w:rPr>
      </w:pPr>
    </w:p>
    <w:p w:rsidR="00D4014E" w:rsidRPr="00754B01" w:rsidRDefault="006E4052" w:rsidP="00D4014E">
      <w:pPr>
        <w:rPr>
          <w:rFonts w:ascii="Times New Roman" w:hAnsi="Times New Roman"/>
        </w:rPr>
      </w:pPr>
      <w:r w:rsidRPr="00754B01">
        <w:rPr>
          <w:rFonts w:ascii="Times New Roman" w:hAnsi="Times New Roman"/>
        </w:rPr>
        <w:tab/>
      </w:r>
      <w:r w:rsidR="00D4014E" w:rsidRPr="00754B01">
        <w:rPr>
          <w:rFonts w:ascii="Times New Roman" w:hAnsi="Times New Roman"/>
        </w:rPr>
        <w:t xml:space="preserve">Nor can providers take any comfort in the </w:t>
      </w:r>
      <w:r w:rsidR="00363D99" w:rsidRPr="00754B01">
        <w:rPr>
          <w:rFonts w:ascii="Times New Roman" w:hAnsi="Times New Roman"/>
        </w:rPr>
        <w:t>item</w:t>
      </w:r>
      <w:r w:rsidR="00363D99">
        <w:rPr>
          <w:rFonts w:ascii="Times New Roman" w:hAnsi="Times New Roman"/>
        </w:rPr>
        <w:t>’</w:t>
      </w:r>
      <w:r w:rsidR="00363D99" w:rsidRPr="00754B01">
        <w:rPr>
          <w:rFonts w:ascii="Times New Roman" w:hAnsi="Times New Roman"/>
        </w:rPr>
        <w:t xml:space="preserve">s </w:t>
      </w:r>
      <w:r w:rsidR="00D4014E" w:rsidRPr="00754B01">
        <w:rPr>
          <w:rFonts w:ascii="Times New Roman" w:hAnsi="Times New Roman"/>
        </w:rPr>
        <w:t xml:space="preserve">other promises to refrain from </w:t>
      </w:r>
      <w:r w:rsidR="00F66B7B" w:rsidRPr="00754B01">
        <w:rPr>
          <w:rFonts w:ascii="Times New Roman" w:hAnsi="Times New Roman"/>
        </w:rPr>
        <w:t xml:space="preserve">further </w:t>
      </w:r>
      <w:r w:rsidR="00D4014E" w:rsidRPr="00754B01">
        <w:rPr>
          <w:rFonts w:ascii="Times New Roman" w:hAnsi="Times New Roman"/>
        </w:rPr>
        <w:t xml:space="preserve">regulation.  In particular, the item repeatedly disavows any present intent to adopt </w:t>
      </w:r>
      <w:r w:rsidR="00D4014E" w:rsidRPr="00754B01">
        <w:rPr>
          <w:rFonts w:ascii="Times New Roman" w:hAnsi="Times New Roman"/>
          <w:i/>
        </w:rPr>
        <w:t xml:space="preserve">ex ante </w:t>
      </w:r>
      <w:r w:rsidR="00D4014E" w:rsidRPr="00754B01">
        <w:rPr>
          <w:rFonts w:ascii="Times New Roman" w:hAnsi="Times New Roman"/>
        </w:rPr>
        <w:t xml:space="preserve">rate regulation.  Banning paid prioritization is, itself, a form of </w:t>
      </w:r>
      <w:r w:rsidR="00D4014E" w:rsidRPr="00754B01">
        <w:rPr>
          <w:rFonts w:ascii="Times New Roman" w:hAnsi="Times New Roman"/>
          <w:i/>
        </w:rPr>
        <w:t>ex ante</w:t>
      </w:r>
      <w:r w:rsidR="00D4014E" w:rsidRPr="00754B01">
        <w:rPr>
          <w:rFonts w:ascii="Times New Roman" w:hAnsi="Times New Roman"/>
        </w:rPr>
        <w:t xml:space="preserve"> rate regulation.  The Commission expressly contemplates examining, on a case-by-case basis, whether interconnection agreements are jus</w:t>
      </w:r>
      <w:r w:rsidR="00D4014E" w:rsidRPr="000504B0">
        <w:rPr>
          <w:rFonts w:ascii="Times New Roman" w:hAnsi="Times New Roman"/>
        </w:rPr>
        <w:t xml:space="preserve">t and reasonable under sections 201 and 202.  That necessarily includes an evaluation of the rates, terms, and conditions of such arrangements.  The Commission also intends to review data allowances and usage-based pricing plans on a case-by-case basis.   </w:t>
      </w:r>
      <w:r w:rsidR="00D4014E" w:rsidRPr="00754B01">
        <w:rPr>
          <w:rFonts w:ascii="Times New Roman" w:hAnsi="Times New Roman"/>
        </w:rPr>
        <w:t xml:space="preserve"> </w:t>
      </w:r>
    </w:p>
    <w:p w:rsidR="00D4014E" w:rsidRPr="00754B01" w:rsidRDefault="00D4014E" w:rsidP="00D4014E">
      <w:pPr>
        <w:rPr>
          <w:rFonts w:ascii="Times New Roman" w:hAnsi="Times New Roman"/>
        </w:rPr>
      </w:pPr>
    </w:p>
    <w:p w:rsidR="00AC428C" w:rsidRPr="000504B0" w:rsidRDefault="006E4052" w:rsidP="00F66B7B">
      <w:pPr>
        <w:rPr>
          <w:rFonts w:ascii="Times New Roman" w:hAnsi="Times New Roman"/>
        </w:rPr>
      </w:pPr>
      <w:r w:rsidRPr="00754B01">
        <w:rPr>
          <w:rFonts w:ascii="Times New Roman" w:hAnsi="Times New Roman"/>
        </w:rPr>
        <w:tab/>
      </w:r>
      <w:r w:rsidR="0010592A" w:rsidRPr="00754B01">
        <w:rPr>
          <w:rFonts w:ascii="Times New Roman" w:hAnsi="Times New Roman"/>
        </w:rPr>
        <w:t xml:space="preserve">Moreover, last-mile </w:t>
      </w:r>
      <w:r w:rsidRPr="00754B01">
        <w:rPr>
          <w:rFonts w:ascii="Times New Roman" w:hAnsi="Times New Roman"/>
        </w:rPr>
        <w:t>ISPs</w:t>
      </w:r>
      <w:r w:rsidR="00D4014E" w:rsidRPr="00754B01">
        <w:rPr>
          <w:rFonts w:ascii="Times New Roman" w:hAnsi="Times New Roman"/>
        </w:rPr>
        <w:t xml:space="preserve"> </w:t>
      </w:r>
      <w:r w:rsidR="00363D99" w:rsidRPr="00754B01">
        <w:rPr>
          <w:rFonts w:ascii="Times New Roman" w:hAnsi="Times New Roman"/>
        </w:rPr>
        <w:t>aren</w:t>
      </w:r>
      <w:r w:rsidR="00363D99">
        <w:rPr>
          <w:rFonts w:ascii="Times New Roman" w:hAnsi="Times New Roman"/>
        </w:rPr>
        <w:t>’</w:t>
      </w:r>
      <w:r w:rsidR="00363D99" w:rsidRPr="00754B01">
        <w:rPr>
          <w:rFonts w:ascii="Times New Roman" w:hAnsi="Times New Roman"/>
        </w:rPr>
        <w:t xml:space="preserve">t </w:t>
      </w:r>
      <w:r w:rsidR="00D4014E" w:rsidRPr="00754B01">
        <w:rPr>
          <w:rFonts w:ascii="Times New Roman" w:hAnsi="Times New Roman"/>
        </w:rPr>
        <w:t>the only ones that should be concerned</w:t>
      </w:r>
      <w:r w:rsidR="004376AC" w:rsidRPr="00754B01">
        <w:rPr>
          <w:rFonts w:ascii="Times New Roman" w:hAnsi="Times New Roman"/>
        </w:rPr>
        <w:t xml:space="preserve"> by </w:t>
      </w:r>
      <w:r w:rsidR="00363D99" w:rsidRPr="00754B01">
        <w:rPr>
          <w:rFonts w:ascii="Times New Roman" w:hAnsi="Times New Roman"/>
        </w:rPr>
        <w:t>today</w:t>
      </w:r>
      <w:r w:rsidR="00363D99">
        <w:rPr>
          <w:rFonts w:ascii="Times New Roman" w:hAnsi="Times New Roman"/>
        </w:rPr>
        <w:t>’</w:t>
      </w:r>
      <w:r w:rsidR="00363D99" w:rsidRPr="00754B01">
        <w:rPr>
          <w:rFonts w:ascii="Times New Roman" w:hAnsi="Times New Roman"/>
        </w:rPr>
        <w:t xml:space="preserve">s </w:t>
      </w:r>
      <w:r w:rsidR="004376AC" w:rsidRPr="00754B01">
        <w:rPr>
          <w:rFonts w:ascii="Times New Roman" w:hAnsi="Times New Roman"/>
        </w:rPr>
        <w:t>actions</w:t>
      </w:r>
      <w:r w:rsidR="00D4014E" w:rsidRPr="00754B01">
        <w:rPr>
          <w:rFonts w:ascii="Times New Roman" w:hAnsi="Times New Roman"/>
        </w:rPr>
        <w:t xml:space="preserve">.  </w:t>
      </w:r>
      <w:r w:rsidRPr="00754B01">
        <w:rPr>
          <w:rFonts w:ascii="Times New Roman" w:hAnsi="Times New Roman"/>
        </w:rPr>
        <w:t>The item attempts</w:t>
      </w:r>
      <w:r w:rsidR="00363D99">
        <w:rPr>
          <w:rFonts w:ascii="Times New Roman" w:hAnsi="Times New Roman"/>
        </w:rPr>
        <w:t>—</w:t>
      </w:r>
      <w:r w:rsidR="00485F20">
        <w:rPr>
          <w:rFonts w:ascii="Times New Roman" w:hAnsi="Times New Roman"/>
        </w:rPr>
        <w:t>albeit in a failed way</w:t>
      </w:r>
      <w:r w:rsidR="00363D99">
        <w:rPr>
          <w:rFonts w:ascii="Times New Roman" w:hAnsi="Times New Roman"/>
        </w:rPr>
        <w:t>—</w:t>
      </w:r>
      <w:r w:rsidRPr="00754B01">
        <w:rPr>
          <w:rFonts w:ascii="Times New Roman" w:hAnsi="Times New Roman"/>
        </w:rPr>
        <w:t xml:space="preserve">to carve out, for now, CDNs, transit providers, backbone providers, edge providers, and certain specialized services, including e-readers.  But the new legal framework for telecommunications services has let the </w:t>
      </w:r>
      <w:r w:rsidR="004376AC" w:rsidRPr="00754B01">
        <w:rPr>
          <w:rFonts w:ascii="Times New Roman" w:hAnsi="Times New Roman"/>
        </w:rPr>
        <w:t xml:space="preserve">proverbial </w:t>
      </w:r>
      <w:r w:rsidRPr="00754B01">
        <w:rPr>
          <w:rFonts w:ascii="Times New Roman" w:hAnsi="Times New Roman"/>
        </w:rPr>
        <w:t xml:space="preserve">genie out of the bottle.  </w:t>
      </w:r>
      <w:r w:rsidR="0010592A" w:rsidRPr="00577DBF">
        <w:rPr>
          <w:rFonts w:ascii="Times New Roman" w:hAnsi="Times New Roman"/>
        </w:rPr>
        <w:t>The fact that certain decisions will happen later does nothing to diminish the culpability of the current majority.</w:t>
      </w:r>
    </w:p>
    <w:sectPr w:rsidR="00AC428C" w:rsidRPr="000504B0" w:rsidSect="004C00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F6" w:rsidRDefault="00A275F6" w:rsidP="006C5CD2">
      <w:r>
        <w:separator/>
      </w:r>
    </w:p>
  </w:endnote>
  <w:endnote w:type="continuationSeparator" w:id="0">
    <w:p w:rsidR="00A275F6" w:rsidRDefault="00A275F6" w:rsidP="006C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F8" w:rsidRDefault="00226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92364"/>
      <w:docPartObj>
        <w:docPartGallery w:val="Page Numbers (Bottom of Page)"/>
        <w:docPartUnique/>
      </w:docPartObj>
    </w:sdtPr>
    <w:sdtEndPr>
      <w:rPr>
        <w:noProof/>
      </w:rPr>
    </w:sdtEndPr>
    <w:sdtContent>
      <w:p w:rsidR="004C00C0" w:rsidRDefault="004C00C0">
        <w:pPr>
          <w:pStyle w:val="Footer"/>
          <w:jc w:val="center"/>
        </w:pPr>
        <w:r w:rsidRPr="004C00C0">
          <w:rPr>
            <w:rFonts w:ascii="Times New Roman" w:hAnsi="Times New Roman"/>
          </w:rPr>
          <w:fldChar w:fldCharType="begin"/>
        </w:r>
        <w:r w:rsidRPr="004C00C0">
          <w:rPr>
            <w:rFonts w:ascii="Times New Roman" w:hAnsi="Times New Roman"/>
          </w:rPr>
          <w:instrText xml:space="preserve"> PAGE   \* MERGEFORMAT </w:instrText>
        </w:r>
        <w:r w:rsidRPr="004C00C0">
          <w:rPr>
            <w:rFonts w:ascii="Times New Roman" w:hAnsi="Times New Roman"/>
          </w:rPr>
          <w:fldChar w:fldCharType="separate"/>
        </w:r>
        <w:r>
          <w:rPr>
            <w:rFonts w:ascii="Times New Roman" w:hAnsi="Times New Roman"/>
            <w:noProof/>
          </w:rPr>
          <w:t>9</w:t>
        </w:r>
        <w:r w:rsidRPr="004C00C0">
          <w:rPr>
            <w:rFonts w:ascii="Times New Roman" w:hAnsi="Times New Roman"/>
            <w:noProof/>
          </w:rPr>
          <w:fldChar w:fldCharType="end"/>
        </w:r>
      </w:p>
    </w:sdtContent>
  </w:sdt>
  <w:p w:rsidR="004C00C0" w:rsidRDefault="004C0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F8" w:rsidRDefault="00226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F6" w:rsidRPr="004C00C0" w:rsidRDefault="00A275F6" w:rsidP="006C5CD2">
      <w:pPr>
        <w:rPr>
          <w:rFonts w:ascii="Times New Roman" w:hAnsi="Times New Roman"/>
          <w:sz w:val="20"/>
          <w:szCs w:val="20"/>
        </w:rPr>
      </w:pPr>
      <w:r w:rsidRPr="004C00C0">
        <w:rPr>
          <w:rFonts w:ascii="Times New Roman" w:hAnsi="Times New Roman"/>
          <w:sz w:val="20"/>
          <w:szCs w:val="20"/>
        </w:rPr>
        <w:separator/>
      </w:r>
    </w:p>
  </w:footnote>
  <w:footnote w:type="continuationSeparator" w:id="0">
    <w:p w:rsidR="00A275F6" w:rsidRPr="004C00C0" w:rsidRDefault="004C00C0" w:rsidP="006C5CD2">
      <w:pPr>
        <w:rPr>
          <w:rFonts w:ascii="Times New Roman" w:hAnsi="Times New Roman"/>
          <w:sz w:val="20"/>
          <w:szCs w:val="20"/>
        </w:rPr>
      </w:pPr>
      <w:r>
        <w:rPr>
          <w:rFonts w:ascii="Times New Roman" w:hAnsi="Times New Roman"/>
          <w:sz w:val="20"/>
          <w:szCs w:val="20"/>
        </w:rPr>
        <w:t xml:space="preserve">(Continued from previous page) </w:t>
      </w:r>
      <w:r w:rsidRPr="004C00C0">
        <w:rPr>
          <w:rFonts w:ascii="Times New Roman" w:hAnsi="Times New Roman"/>
          <w:sz w:val="20"/>
          <w:szCs w:val="20"/>
        </w:rPr>
        <w:separator/>
      </w:r>
    </w:p>
  </w:footnote>
  <w:footnote w:type="continuationNotice" w:id="1">
    <w:p w:rsidR="004C00C0" w:rsidRPr="004C00C0" w:rsidRDefault="004C00C0" w:rsidP="004C00C0">
      <w:pPr>
        <w:jc w:val="right"/>
        <w:rPr>
          <w:rFonts w:ascii="Times New Roman" w:hAnsi="Times New Roman"/>
          <w:sz w:val="20"/>
          <w:szCs w:val="20"/>
        </w:rPr>
      </w:pPr>
      <w:r>
        <w:rPr>
          <w:rFonts w:ascii="Times New Roman" w:hAnsi="Times New Roman"/>
          <w:sz w:val="20"/>
          <w:szCs w:val="20"/>
        </w:rPr>
        <w:t>(continued…)</w:t>
      </w:r>
    </w:p>
  </w:footnote>
  <w:footnote w:id="2">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Perhaps not </w:t>
      </w:r>
      <w:r w:rsidRPr="001F3848">
        <w:rPr>
          <w:rFonts w:ascii="Times New Roman" w:hAnsi="Times New Roman"/>
          <w:i/>
        </w:rPr>
        <w:t>every</w:t>
      </w:r>
      <w:r w:rsidRPr="001F3848">
        <w:rPr>
          <w:rFonts w:ascii="Times New Roman" w:hAnsi="Times New Roman"/>
        </w:rPr>
        <w:t xml:space="preserve"> bad idea.  At least the Commission won’t be </w:t>
      </w:r>
      <w:r w:rsidR="00754B01" w:rsidRPr="001F3848">
        <w:rPr>
          <w:rFonts w:ascii="Times New Roman" w:hAnsi="Times New Roman"/>
        </w:rPr>
        <w:t xml:space="preserve">separately </w:t>
      </w:r>
      <w:r w:rsidRPr="001F3848">
        <w:rPr>
          <w:rFonts w:ascii="Times New Roman" w:hAnsi="Times New Roman"/>
        </w:rPr>
        <w:t xml:space="preserve">classifying and regulating “broadband subscriber access service,” which </w:t>
      </w:r>
      <w:r w:rsidR="000504B0">
        <w:rPr>
          <w:rFonts w:ascii="Times New Roman" w:hAnsi="Times New Roman"/>
        </w:rPr>
        <w:t>was</w:t>
      </w:r>
      <w:r w:rsidRPr="001F3848">
        <w:rPr>
          <w:rFonts w:ascii="Times New Roman" w:hAnsi="Times New Roman"/>
        </w:rPr>
        <w:t xml:space="preserve"> widely regarded to be an imaginary service.  </w:t>
      </w:r>
    </w:p>
  </w:footnote>
  <w:footnote w:id="3">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color w:val="000000"/>
        </w:rPr>
        <w:t>Agape Church, Inc. v. FCC</w:t>
      </w:r>
      <w:r w:rsidRPr="001F3848">
        <w:rPr>
          <w:rFonts w:ascii="Times New Roman" w:hAnsi="Times New Roman"/>
          <w:color w:val="000000"/>
        </w:rPr>
        <w:t>, 738 F.3d 397, 411 (D.C.</w:t>
      </w:r>
      <w:r w:rsidR="00EB2275">
        <w:rPr>
          <w:rFonts w:ascii="Times New Roman" w:hAnsi="Times New Roman"/>
          <w:color w:val="000000"/>
        </w:rPr>
        <w:t xml:space="preserve"> </w:t>
      </w:r>
      <w:r w:rsidRPr="001F3848">
        <w:rPr>
          <w:rFonts w:ascii="Times New Roman" w:hAnsi="Times New Roman"/>
          <w:color w:val="000000"/>
        </w:rPr>
        <w:t>Cir. 2013)</w:t>
      </w:r>
      <w:r w:rsidRPr="00EB2275">
        <w:rPr>
          <w:rFonts w:ascii="Times New Roman" w:hAnsi="Times New Roman"/>
          <w:color w:val="000000"/>
        </w:rPr>
        <w:t>.</w:t>
      </w:r>
    </w:p>
  </w:footnote>
  <w:footnote w:id="4">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See, e.g</w:t>
      </w:r>
      <w:r w:rsidRPr="001F3848">
        <w:rPr>
          <w:rFonts w:ascii="Times New Roman" w:hAnsi="Times New Roman"/>
        </w:rPr>
        <w:t xml:space="preserve">., </w:t>
      </w:r>
      <w:r w:rsidR="00F87177">
        <w:rPr>
          <w:rFonts w:ascii="Times New Roman" w:hAnsi="Times New Roman"/>
        </w:rPr>
        <w:t xml:space="preserve">Letter from Henry G. Hultquist, AT&amp;T to Marlene H. Dortch, FCC, GN Docket Nos. 14-28 &amp; 10-127 </w:t>
      </w:r>
      <w:r w:rsidR="00F87177" w:rsidRPr="001F3848">
        <w:rPr>
          <w:rFonts w:ascii="Times New Roman" w:hAnsi="Times New Roman"/>
        </w:rPr>
        <w:t>at 2</w:t>
      </w:r>
      <w:r w:rsidR="00F87177">
        <w:rPr>
          <w:rFonts w:ascii="Times New Roman" w:hAnsi="Times New Roman"/>
        </w:rPr>
        <w:t xml:space="preserve"> (filed Feb. 19, 2015) (</w:t>
      </w:r>
      <w:r w:rsidRPr="001F3848">
        <w:rPr>
          <w:rFonts w:ascii="Times New Roman" w:hAnsi="Times New Roman"/>
        </w:rPr>
        <w:t>AT&amp;T Feb. 19, 2015 Ex Parte Letter</w:t>
      </w:r>
      <w:r w:rsidR="00F87177">
        <w:rPr>
          <w:rFonts w:ascii="Times New Roman" w:hAnsi="Times New Roman"/>
        </w:rPr>
        <w:t>)</w:t>
      </w:r>
      <w:r w:rsidR="00EB2275">
        <w:rPr>
          <w:rFonts w:ascii="Times New Roman" w:hAnsi="Times New Roman"/>
        </w:rPr>
        <w:t>,</w:t>
      </w:r>
      <w:r w:rsidRPr="001F3848">
        <w:rPr>
          <w:rFonts w:ascii="Times New Roman" w:hAnsi="Times New Roman"/>
        </w:rPr>
        <w:t xml:space="preserve"> </w:t>
      </w:r>
      <w:r w:rsidR="00EB2275" w:rsidRPr="001F3848">
        <w:rPr>
          <w:rFonts w:ascii="Times New Roman" w:hAnsi="Times New Roman"/>
        </w:rPr>
        <w:t xml:space="preserve">http://apps.fcc.gov/ecfs/document/view?id=60001031079 </w:t>
      </w:r>
      <w:r w:rsidRPr="001F3848">
        <w:rPr>
          <w:rFonts w:ascii="Times New Roman" w:hAnsi="Times New Roman"/>
        </w:rPr>
        <w:t>(</w:t>
      </w:r>
      <w:r w:rsidR="00EB2275">
        <w:rPr>
          <w:rFonts w:ascii="Times New Roman" w:hAnsi="Times New Roman"/>
        </w:rPr>
        <w:t>“</w:t>
      </w:r>
      <w:r w:rsidRPr="001F3848">
        <w:rPr>
          <w:rFonts w:ascii="Times New Roman" w:hAnsi="Times New Roman"/>
        </w:rPr>
        <w:t>The Commission</w:t>
      </w:r>
      <w:r w:rsidR="00072D79">
        <w:rPr>
          <w:rFonts w:ascii="Times New Roman" w:hAnsi="Times New Roman"/>
        </w:rPr>
        <w:t>’</w:t>
      </w:r>
      <w:r w:rsidRPr="001F3848">
        <w:rPr>
          <w:rFonts w:ascii="Times New Roman" w:hAnsi="Times New Roman"/>
        </w:rPr>
        <w:t>s failure to provide adequate notice for a number of the proposals under consideration has resulted in a record that is bereft of support for the Commission's actions. For example, the Commission has no record basis on which it could determine that every ISP holds itself out as a common carrier. To give just one example, AT&amp;T does not offer its GigaPower service indifferently to the public, and there is no basis in the record on which the Commission could mandate that AT&amp;T do so.</w:t>
      </w:r>
      <w:r w:rsidR="00EB2275">
        <w:rPr>
          <w:rFonts w:ascii="Times New Roman" w:hAnsi="Times New Roman"/>
        </w:rPr>
        <w:t>”</w:t>
      </w:r>
      <w:r w:rsidRPr="001F3848">
        <w:rPr>
          <w:rFonts w:ascii="Times New Roman" w:hAnsi="Times New Roman"/>
        </w:rPr>
        <w:t xml:space="preserve">); </w:t>
      </w:r>
      <w:r w:rsidR="00F87177">
        <w:rPr>
          <w:rFonts w:ascii="Times New Roman" w:hAnsi="Times New Roman"/>
        </w:rPr>
        <w:t>Letter from William H. Johnson, Verizon to Marlene H. Dortch, FCC, GN Docket Nos. 14-28 &amp;10-127 at 4 (filed Feb. 19, 2015) (</w:t>
      </w:r>
      <w:r w:rsidRPr="001F3848">
        <w:rPr>
          <w:rFonts w:ascii="Times New Roman" w:hAnsi="Times New Roman"/>
        </w:rPr>
        <w:t>Verizon Feb, 19, 2015 Title II Ex Parte Letter</w:t>
      </w:r>
      <w:r w:rsidR="00F87177">
        <w:rPr>
          <w:rFonts w:ascii="Times New Roman" w:hAnsi="Times New Roman"/>
        </w:rPr>
        <w:t>)</w:t>
      </w:r>
      <w:r w:rsidR="00EB2275">
        <w:rPr>
          <w:rFonts w:ascii="Times New Roman" w:hAnsi="Times New Roman"/>
        </w:rPr>
        <w:t>,</w:t>
      </w:r>
      <w:r w:rsidRPr="001F3848">
        <w:rPr>
          <w:rFonts w:ascii="Times New Roman" w:hAnsi="Times New Roman"/>
        </w:rPr>
        <w:t xml:space="preserve"> </w:t>
      </w:r>
      <w:r w:rsidR="00EB2275" w:rsidRPr="001F3848">
        <w:rPr>
          <w:rFonts w:ascii="Times New Roman" w:hAnsi="Times New Roman"/>
        </w:rPr>
        <w:t xml:space="preserve">http://apps.fcc.gov/ecfs/document/view?id=60001031374 </w:t>
      </w:r>
      <w:r w:rsidRPr="001F3848">
        <w:rPr>
          <w:rFonts w:ascii="Times New Roman" w:hAnsi="Times New Roman"/>
        </w:rPr>
        <w:t>(</w:t>
      </w:r>
      <w:r w:rsidR="00EB2275">
        <w:rPr>
          <w:rFonts w:ascii="Times New Roman" w:hAnsi="Times New Roman"/>
        </w:rPr>
        <w:t>“</w:t>
      </w:r>
      <w:r w:rsidRPr="001F3848">
        <w:rPr>
          <w:rFonts w:ascii="Times New Roman" w:hAnsi="Times New Roman"/>
        </w:rPr>
        <w:t>For starters, the Open Internet NPRM did not even mention “adjunct-to-basic” services, so the Commission cannot justify its action on that rationale.</w:t>
      </w:r>
      <w:r w:rsidR="00EB2275">
        <w:rPr>
          <w:rFonts w:ascii="Times New Roman" w:hAnsi="Times New Roman"/>
        </w:rPr>
        <w:t>”</w:t>
      </w:r>
      <w:r w:rsidRPr="001F3848">
        <w:rPr>
          <w:rFonts w:ascii="Times New Roman" w:hAnsi="Times New Roman"/>
        </w:rPr>
        <w:t xml:space="preserve">); </w:t>
      </w:r>
      <w:r w:rsidR="00F87177" w:rsidRPr="00F87177">
        <w:rPr>
          <w:rFonts w:ascii="Times New Roman" w:hAnsi="Times New Roman"/>
        </w:rPr>
        <w:t>Letter from Scott K. Bergmann, CTIA to Marlene H. Dortch, FCC, GN Docket Nos. 14-28 &amp; 10-1</w:t>
      </w:r>
      <w:r w:rsidR="00F87177">
        <w:rPr>
          <w:rFonts w:ascii="Times New Roman" w:hAnsi="Times New Roman"/>
        </w:rPr>
        <w:t>2</w:t>
      </w:r>
      <w:r w:rsidR="00F87177" w:rsidRPr="00F87177">
        <w:rPr>
          <w:rFonts w:ascii="Times New Roman" w:hAnsi="Times New Roman"/>
        </w:rPr>
        <w:t xml:space="preserve">7 </w:t>
      </w:r>
      <w:r w:rsidR="00F87177">
        <w:rPr>
          <w:rFonts w:ascii="Times New Roman" w:hAnsi="Times New Roman"/>
        </w:rPr>
        <w:t xml:space="preserve">at 6 </w:t>
      </w:r>
      <w:r w:rsidR="00F87177" w:rsidRPr="00F87177">
        <w:rPr>
          <w:rFonts w:ascii="Times New Roman" w:hAnsi="Times New Roman"/>
        </w:rPr>
        <w:t>(</w:t>
      </w:r>
      <w:r w:rsidR="00F87177">
        <w:rPr>
          <w:rFonts w:ascii="Times New Roman" w:hAnsi="Times New Roman"/>
        </w:rPr>
        <w:t xml:space="preserve">filed </w:t>
      </w:r>
      <w:r w:rsidR="00F87177" w:rsidRPr="00F87177">
        <w:rPr>
          <w:rFonts w:ascii="Times New Roman" w:hAnsi="Times New Roman"/>
        </w:rPr>
        <w:t>Dec. 22, 2014)</w:t>
      </w:r>
      <w:r w:rsidR="00F87177">
        <w:rPr>
          <w:rFonts w:ascii="Times New Roman" w:hAnsi="Times New Roman"/>
        </w:rPr>
        <w:t xml:space="preserve"> (</w:t>
      </w:r>
      <w:r w:rsidRPr="001F3848">
        <w:rPr>
          <w:rFonts w:ascii="Times New Roman" w:hAnsi="Times New Roman"/>
        </w:rPr>
        <w:t xml:space="preserve">CTIA </w:t>
      </w:r>
      <w:r w:rsidR="00EB2275">
        <w:rPr>
          <w:rFonts w:ascii="Times New Roman" w:hAnsi="Times New Roman"/>
        </w:rPr>
        <w:t xml:space="preserve">Dec. 22, 2014 </w:t>
      </w:r>
      <w:r w:rsidRPr="001F3848">
        <w:rPr>
          <w:rFonts w:ascii="Times New Roman" w:hAnsi="Times New Roman"/>
        </w:rPr>
        <w:t>White Paper</w:t>
      </w:r>
      <w:r w:rsidR="00F87177">
        <w:rPr>
          <w:rFonts w:ascii="Times New Roman" w:hAnsi="Times New Roman"/>
        </w:rPr>
        <w:t>),</w:t>
      </w:r>
      <w:r w:rsidRPr="001F3848">
        <w:rPr>
          <w:rFonts w:ascii="Times New Roman" w:hAnsi="Times New Roman"/>
        </w:rPr>
        <w:t xml:space="preserve"> </w:t>
      </w:r>
      <w:r w:rsidR="00F87177" w:rsidRPr="001F3848">
        <w:rPr>
          <w:rFonts w:ascii="Times New Roman" w:hAnsi="Times New Roman"/>
        </w:rPr>
        <w:t xml:space="preserve">http://apps.fcc.gov/ecfs/document/view?id=60001014008 </w:t>
      </w:r>
      <w:r w:rsidRPr="001F3848">
        <w:rPr>
          <w:rFonts w:ascii="Times New Roman" w:hAnsi="Times New Roman"/>
        </w:rPr>
        <w:t>(</w:t>
      </w:r>
      <w:r w:rsidR="00EB2275">
        <w:rPr>
          <w:rFonts w:ascii="Times New Roman" w:hAnsi="Times New Roman"/>
        </w:rPr>
        <w:t>“</w:t>
      </w:r>
      <w:r w:rsidRPr="001F3848">
        <w:rPr>
          <w:rFonts w:ascii="Times New Roman" w:hAnsi="Times New Roman"/>
        </w:rPr>
        <w:t xml:space="preserve">[T]he Notice asked only whether mobile broadband Internet access service </w:t>
      </w:r>
      <w:r w:rsidR="00EB2275">
        <w:rPr>
          <w:rFonts w:ascii="Times New Roman" w:hAnsi="Times New Roman"/>
        </w:rPr>
        <w:t>‘</w:t>
      </w:r>
      <w:r w:rsidRPr="001F3848">
        <w:rPr>
          <w:rFonts w:ascii="Times New Roman" w:hAnsi="Times New Roman"/>
        </w:rPr>
        <w:t>fit[s] … the definition of ‘commercial mobile radio service.’</w:t>
      </w:r>
      <w:r w:rsidR="00EB2275">
        <w:rPr>
          <w:rFonts w:ascii="Times New Roman" w:hAnsi="Times New Roman"/>
        </w:rPr>
        <w:t>”</w:t>
      </w:r>
      <w:r w:rsidRPr="001F3848">
        <w:rPr>
          <w:rFonts w:ascii="Times New Roman" w:hAnsi="Times New Roman"/>
        </w:rPr>
        <w:t xml:space="preserve"> ... </w:t>
      </w:r>
      <w:r w:rsidR="00EB2275">
        <w:rPr>
          <w:rFonts w:ascii="Times New Roman" w:hAnsi="Times New Roman"/>
        </w:rPr>
        <w:t>“</w:t>
      </w:r>
      <w:r w:rsidRPr="001F3848">
        <w:rPr>
          <w:rFonts w:ascii="Times New Roman" w:hAnsi="Times New Roman"/>
        </w:rPr>
        <w:t xml:space="preserve">It never asked whether </w:t>
      </w:r>
      <w:r w:rsidR="00EB2275">
        <w:rPr>
          <w:rFonts w:ascii="Times New Roman" w:hAnsi="Times New Roman"/>
        </w:rPr>
        <w:t>‘</w:t>
      </w:r>
      <w:r w:rsidRPr="001F3848">
        <w:rPr>
          <w:rFonts w:ascii="Times New Roman" w:hAnsi="Times New Roman"/>
        </w:rPr>
        <w:t>the definition</w:t>
      </w:r>
      <w:r w:rsidR="00EB2275">
        <w:rPr>
          <w:rFonts w:ascii="Times New Roman" w:hAnsi="Times New Roman"/>
        </w:rPr>
        <w:t>’</w:t>
      </w:r>
      <w:r w:rsidRPr="001F3848">
        <w:rPr>
          <w:rFonts w:ascii="Times New Roman" w:hAnsi="Times New Roman"/>
        </w:rPr>
        <w:t xml:space="preserve"> – set out in Section 20.3 – should be changed, or provided notice that it might be.</w:t>
      </w:r>
      <w:r w:rsidR="00EB2275">
        <w:rPr>
          <w:rFonts w:ascii="Times New Roman" w:hAnsi="Times New Roman"/>
        </w:rPr>
        <w:t>”</w:t>
      </w:r>
      <w:r w:rsidRPr="001F3848">
        <w:rPr>
          <w:rFonts w:ascii="Times New Roman" w:hAnsi="Times New Roman"/>
        </w:rPr>
        <w:t>)</w:t>
      </w:r>
      <w:r w:rsidR="00F87177">
        <w:rPr>
          <w:rFonts w:ascii="Times New Roman" w:hAnsi="Times New Roman"/>
        </w:rPr>
        <w:t>(internal citation omitted)</w:t>
      </w:r>
      <w:r w:rsidRPr="001F3848">
        <w:rPr>
          <w:rFonts w:ascii="Times New Roman" w:hAnsi="Times New Roman"/>
        </w:rPr>
        <w:t xml:space="preserve">; </w:t>
      </w:r>
      <w:r w:rsidR="00F87177">
        <w:rPr>
          <w:rFonts w:ascii="Times New Roman" w:hAnsi="Times New Roman"/>
        </w:rPr>
        <w:t xml:space="preserve">Letter from Kathryn A. Zachem, Comcast to Marlene H. Dortch, FCC, GN Docket Nos. 14-28 &amp; 10-127 </w:t>
      </w:r>
      <w:r w:rsidR="00F87177" w:rsidRPr="001F3848">
        <w:rPr>
          <w:rFonts w:ascii="Times New Roman" w:hAnsi="Times New Roman"/>
        </w:rPr>
        <w:t xml:space="preserve">at </w:t>
      </w:r>
      <w:r w:rsidR="00F87177">
        <w:rPr>
          <w:rFonts w:ascii="Times New Roman" w:hAnsi="Times New Roman"/>
        </w:rPr>
        <w:t>6 (filed Jan. 30, 2015) (</w:t>
      </w:r>
      <w:r w:rsidRPr="001F3848">
        <w:rPr>
          <w:rFonts w:ascii="Times New Roman" w:hAnsi="Times New Roman"/>
        </w:rPr>
        <w:t>Comcast Jan. 30, 2015 Ex Parte Letter</w:t>
      </w:r>
      <w:r w:rsidR="00F87177">
        <w:rPr>
          <w:rFonts w:ascii="Times New Roman" w:hAnsi="Times New Roman"/>
        </w:rPr>
        <w:t>),</w:t>
      </w:r>
      <w:r w:rsidR="00072D79">
        <w:rPr>
          <w:rFonts w:ascii="Times New Roman" w:hAnsi="Times New Roman"/>
        </w:rPr>
        <w:t xml:space="preserve"> </w:t>
      </w:r>
      <w:r w:rsidR="00F87177" w:rsidRPr="001F3848">
        <w:rPr>
          <w:rFonts w:ascii="Times New Roman" w:hAnsi="Times New Roman"/>
        </w:rPr>
        <w:t>http://apps.fcc.gov/ecfs/document/view?id=60001024748</w:t>
      </w:r>
      <w:r w:rsidRPr="001F3848">
        <w:rPr>
          <w:rFonts w:ascii="Times New Roman" w:hAnsi="Times New Roman"/>
        </w:rPr>
        <w:t xml:space="preserve"> (“As an initial matter, the Open Internet NPRM gave no notice of any proposal to reclassify Internet traffic exchange as a Title II service. Although the NPRM raised the prospect that the FCC could depart from its historical approach of excluding interconnection issues from open Internet rules – asking whether it “should expand the scope of the open Internet rules to cover issues related to traffic exchange” – it nowhere suggested that the Commission might reclassify ISPs’ interconnection-related services to achieve that end</w:t>
      </w:r>
      <w:r w:rsidR="00EB5FA9">
        <w:rPr>
          <w:rFonts w:ascii="Times New Roman" w:hAnsi="Times New Roman"/>
        </w:rPr>
        <w:t>.</w:t>
      </w:r>
      <w:r w:rsidRPr="001F3848">
        <w:rPr>
          <w:rFonts w:ascii="Times New Roman" w:hAnsi="Times New Roman"/>
        </w:rPr>
        <w:t>”)</w:t>
      </w:r>
      <w:r w:rsidR="00072D79">
        <w:rPr>
          <w:rFonts w:ascii="Times New Roman" w:hAnsi="Times New Roman"/>
        </w:rPr>
        <w:t xml:space="preserve"> </w:t>
      </w:r>
      <w:r w:rsidR="00EB5FA9">
        <w:rPr>
          <w:rFonts w:ascii="Times New Roman" w:hAnsi="Times New Roman"/>
        </w:rPr>
        <w:t>(internal citation omitted)</w:t>
      </w:r>
      <w:r w:rsidR="00916B84">
        <w:rPr>
          <w:rFonts w:ascii="Times New Roman" w:hAnsi="Times New Roman"/>
        </w:rPr>
        <w:t xml:space="preserve">; </w:t>
      </w:r>
      <w:r w:rsidR="00916B84" w:rsidRPr="00916B84">
        <w:rPr>
          <w:rFonts w:ascii="Times New Roman" w:hAnsi="Times New Roman"/>
        </w:rPr>
        <w:t>Letter from Matthew A. Brill, Counsel</w:t>
      </w:r>
      <w:r w:rsidR="00072D79">
        <w:rPr>
          <w:rFonts w:ascii="Times New Roman" w:hAnsi="Times New Roman"/>
        </w:rPr>
        <w:t xml:space="preserve"> to</w:t>
      </w:r>
      <w:r w:rsidR="00916B84" w:rsidRPr="00916B84">
        <w:rPr>
          <w:rFonts w:ascii="Times New Roman" w:hAnsi="Times New Roman"/>
        </w:rPr>
        <w:t xml:space="preserve"> National Cable &amp; Telecommunications</w:t>
      </w:r>
      <w:r w:rsidR="00916B84">
        <w:rPr>
          <w:rFonts w:ascii="Times New Roman" w:hAnsi="Times New Roman"/>
        </w:rPr>
        <w:t xml:space="preserve"> </w:t>
      </w:r>
      <w:r w:rsidR="00916B84" w:rsidRPr="00916B84">
        <w:rPr>
          <w:rFonts w:ascii="Times New Roman" w:hAnsi="Times New Roman"/>
        </w:rPr>
        <w:t>Association, to Marlene H. Dortch, FCC, GN Docket Nos. 14-28, 10-127 (Jan. 14,</w:t>
      </w:r>
      <w:r w:rsidR="00916B84">
        <w:rPr>
          <w:rFonts w:ascii="Times New Roman" w:hAnsi="Times New Roman"/>
        </w:rPr>
        <w:t xml:space="preserve"> </w:t>
      </w:r>
      <w:r w:rsidR="00916B84" w:rsidRPr="00916B84">
        <w:rPr>
          <w:rFonts w:ascii="Times New Roman" w:hAnsi="Times New Roman"/>
        </w:rPr>
        <w:t>2015)</w:t>
      </w:r>
      <w:r w:rsidR="00916B84">
        <w:rPr>
          <w:rFonts w:ascii="Times New Roman" w:hAnsi="Times New Roman"/>
        </w:rPr>
        <w:t xml:space="preserve"> (NCTA Jan. 14, 2015 Ex Parte Letter)</w:t>
      </w:r>
      <w:r w:rsidRPr="001F3848">
        <w:rPr>
          <w:rFonts w:ascii="Times New Roman" w:hAnsi="Times New Roman"/>
        </w:rPr>
        <w:t>.</w:t>
      </w:r>
    </w:p>
  </w:footnote>
  <w:footnote w:id="5">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EB5FA9">
        <w:rPr>
          <w:rFonts w:ascii="Times New Roman" w:hAnsi="Times New Roman"/>
          <w:i/>
        </w:rPr>
        <w:t>Nat’l Fuel Gas Supply Corp. v. FERC</w:t>
      </w:r>
      <w:r w:rsidRPr="001F3848">
        <w:rPr>
          <w:rFonts w:ascii="Times New Roman" w:hAnsi="Times New Roman"/>
        </w:rPr>
        <w:t>, 468 F.3d 831, 844 (D.C. Cir. 2006)</w:t>
      </w:r>
      <w:r w:rsidR="00EB5FA9">
        <w:rPr>
          <w:rFonts w:ascii="Times New Roman" w:hAnsi="Times New Roman"/>
        </w:rPr>
        <w:t xml:space="preserve"> </w:t>
      </w:r>
      <w:r w:rsidRPr="001F3848">
        <w:rPr>
          <w:rFonts w:ascii="Times New Roman" w:hAnsi="Times New Roman"/>
        </w:rPr>
        <w:t>(finding that “if [an agency] chooses to rely solely on a theoretical threat, it will need to explain how the potential danger …unsupported by a record of abuse, justifies such costly prophylactic rules”)</w:t>
      </w:r>
      <w:r w:rsidR="00EB5FA9">
        <w:rPr>
          <w:rFonts w:ascii="Times New Roman" w:hAnsi="Times New Roman"/>
        </w:rPr>
        <w:t>.</w:t>
      </w:r>
    </w:p>
  </w:footnote>
  <w:footnote w:id="6">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See</w:t>
      </w:r>
      <w:r w:rsidR="00EB5FA9">
        <w:rPr>
          <w:rFonts w:ascii="Times New Roman" w:hAnsi="Times New Roman"/>
          <w:i/>
        </w:rPr>
        <w:t>,</w:t>
      </w:r>
      <w:r w:rsidRPr="001F3848">
        <w:rPr>
          <w:rFonts w:ascii="Times New Roman" w:hAnsi="Times New Roman"/>
          <w:i/>
        </w:rPr>
        <w:t xml:space="preserve"> e.g., </w:t>
      </w:r>
      <w:r w:rsidR="00EB5FA9">
        <w:rPr>
          <w:rFonts w:ascii="Times New Roman" w:hAnsi="Times New Roman"/>
          <w:i/>
        </w:rPr>
        <w:t>s</w:t>
      </w:r>
      <w:r w:rsidR="00EB5FA9" w:rsidRPr="001F3848">
        <w:rPr>
          <w:rFonts w:ascii="Times New Roman" w:hAnsi="Times New Roman"/>
          <w:i/>
        </w:rPr>
        <w:t>upra</w:t>
      </w:r>
      <w:r w:rsidR="00EB5FA9" w:rsidRPr="001F3848">
        <w:rPr>
          <w:rFonts w:ascii="Times New Roman" w:hAnsi="Times New Roman"/>
        </w:rPr>
        <w:t xml:space="preserve"> </w:t>
      </w:r>
      <w:r w:rsidR="00EB5FA9">
        <w:rPr>
          <w:rFonts w:ascii="Times New Roman" w:hAnsi="Times New Roman"/>
        </w:rPr>
        <w:t>note</w:t>
      </w:r>
      <w:r w:rsidRPr="001F3848">
        <w:rPr>
          <w:rFonts w:ascii="Times New Roman" w:hAnsi="Times New Roman"/>
        </w:rPr>
        <w:t xml:space="preserve"> 715.</w:t>
      </w:r>
    </w:p>
  </w:footnote>
  <w:footnote w:id="7">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00916B84">
        <w:rPr>
          <w:rFonts w:ascii="Times New Roman" w:hAnsi="Times New Roman"/>
        </w:rPr>
        <w:t>Kery Murakami</w:t>
      </w:r>
      <w:r w:rsidR="00916B84" w:rsidRPr="00916B84">
        <w:rPr>
          <w:rFonts w:ascii="Times New Roman" w:hAnsi="Times New Roman"/>
        </w:rPr>
        <w:t xml:space="preserve">, </w:t>
      </w:r>
      <w:r w:rsidR="00916B84" w:rsidRPr="00916B84">
        <w:rPr>
          <w:rFonts w:ascii="Times New Roman" w:hAnsi="Times New Roman"/>
          <w:i/>
        </w:rPr>
        <w:t>Wheeler Defends Proposed Net Neutrality Rules at NARUC</w:t>
      </w:r>
      <w:r w:rsidR="00916B84" w:rsidRPr="00916B84">
        <w:rPr>
          <w:rFonts w:ascii="Times New Roman" w:hAnsi="Times New Roman"/>
        </w:rPr>
        <w:t>, COMM. DAILY,</w:t>
      </w:r>
      <w:r w:rsidR="004C00C0">
        <w:rPr>
          <w:rFonts w:ascii="Times New Roman" w:hAnsi="Times New Roman"/>
        </w:rPr>
        <w:t xml:space="preserve"> </w:t>
      </w:r>
      <w:r w:rsidR="00916B84">
        <w:rPr>
          <w:rFonts w:ascii="Times New Roman" w:hAnsi="Times New Roman"/>
        </w:rPr>
        <w:t>Feb. 18</w:t>
      </w:r>
      <w:r w:rsidR="00916B84" w:rsidRPr="00916B84">
        <w:rPr>
          <w:rFonts w:ascii="Times New Roman" w:hAnsi="Times New Roman"/>
        </w:rPr>
        <w:t>, 20</w:t>
      </w:r>
      <w:r w:rsidR="00916B84">
        <w:rPr>
          <w:rFonts w:ascii="Times New Roman" w:hAnsi="Times New Roman"/>
        </w:rPr>
        <w:t>15</w:t>
      </w:r>
      <w:r w:rsidR="00916B84" w:rsidRPr="00916B84">
        <w:rPr>
          <w:rFonts w:ascii="Times New Roman" w:hAnsi="Times New Roman"/>
        </w:rPr>
        <w:t xml:space="preserve">, at </w:t>
      </w:r>
      <w:r w:rsidR="00916B84">
        <w:rPr>
          <w:rFonts w:ascii="Times New Roman" w:hAnsi="Times New Roman"/>
        </w:rPr>
        <w:t xml:space="preserve">4, 6 (quoting </w:t>
      </w:r>
      <w:r w:rsidRPr="001F3848">
        <w:rPr>
          <w:rFonts w:ascii="Times New Roman" w:hAnsi="Times New Roman"/>
        </w:rPr>
        <w:t>Craig Moffet</w:t>
      </w:r>
      <w:r w:rsidR="00916B84">
        <w:rPr>
          <w:rFonts w:ascii="Times New Roman" w:hAnsi="Times New Roman"/>
        </w:rPr>
        <w:t>t).</w:t>
      </w:r>
    </w:p>
  </w:footnote>
  <w:footnote w:id="8">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Supra</w:t>
      </w:r>
      <w:r w:rsidRPr="001F3848">
        <w:rPr>
          <w:rFonts w:ascii="Times New Roman" w:hAnsi="Times New Roman"/>
        </w:rPr>
        <w:t xml:space="preserve"> para. </w:t>
      </w:r>
      <w:r w:rsidR="00EB5FA9" w:rsidRPr="001F3848">
        <w:rPr>
          <w:rFonts w:ascii="Times New Roman" w:hAnsi="Times New Roman"/>
        </w:rPr>
        <w:t>4</w:t>
      </w:r>
      <w:r w:rsidR="00EB5FA9">
        <w:rPr>
          <w:rFonts w:ascii="Times New Roman" w:hAnsi="Times New Roman"/>
        </w:rPr>
        <w:t>11</w:t>
      </w:r>
      <w:r w:rsidRPr="001F3848">
        <w:rPr>
          <w:rFonts w:ascii="Times New Roman" w:hAnsi="Times New Roman"/>
        </w:rPr>
        <w:t>.</w:t>
      </w:r>
    </w:p>
  </w:footnote>
  <w:footnote w:id="9">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00074ED3">
        <w:rPr>
          <w:rFonts w:ascii="Times New Roman" w:hAnsi="Times New Roman"/>
        </w:rPr>
        <w:t xml:space="preserve">Letter from Gary L. Phillips, AT&amp;T to Marlene H. Dortch, FCC, GN Docket Nos. 14-28 &amp;10-127 at </w:t>
      </w:r>
      <w:r w:rsidR="00AD76E6">
        <w:rPr>
          <w:rFonts w:ascii="Times New Roman" w:hAnsi="Times New Roman"/>
        </w:rPr>
        <w:t>1 (filed Feb. 18, 2015) (</w:t>
      </w:r>
      <w:r w:rsidRPr="001F3848">
        <w:rPr>
          <w:rFonts w:ascii="Times New Roman" w:hAnsi="Times New Roman"/>
        </w:rPr>
        <w:t>AT&amp;T Feb</w:t>
      </w:r>
      <w:r w:rsidR="00072D79">
        <w:rPr>
          <w:rFonts w:ascii="Times New Roman" w:hAnsi="Times New Roman"/>
        </w:rPr>
        <w:t>.</w:t>
      </w:r>
      <w:r w:rsidRPr="001F3848">
        <w:rPr>
          <w:rFonts w:ascii="Times New Roman" w:hAnsi="Times New Roman"/>
        </w:rPr>
        <w:t xml:space="preserve"> 18, 2015 </w:t>
      </w:r>
      <w:r w:rsidR="00AD76E6">
        <w:rPr>
          <w:rFonts w:ascii="Times New Roman" w:hAnsi="Times New Roman"/>
        </w:rPr>
        <w:t xml:space="preserve">Fact Sheet </w:t>
      </w:r>
      <w:r w:rsidRPr="001F3848">
        <w:rPr>
          <w:rFonts w:ascii="Times New Roman" w:hAnsi="Times New Roman"/>
        </w:rPr>
        <w:t>Ex Parte Letter</w:t>
      </w:r>
      <w:r w:rsidR="00AD76E6">
        <w:rPr>
          <w:rFonts w:ascii="Times New Roman" w:hAnsi="Times New Roman"/>
        </w:rPr>
        <w:t>)</w:t>
      </w:r>
      <w:r w:rsidRPr="001F3848">
        <w:rPr>
          <w:rFonts w:ascii="Times New Roman" w:hAnsi="Times New Roman"/>
        </w:rPr>
        <w:t>, http://apps.fcc.gov/ecfs/document/view?id=60001030836</w:t>
      </w:r>
      <w:r w:rsidR="00AD76E6">
        <w:rPr>
          <w:rFonts w:ascii="Times New Roman" w:hAnsi="Times New Roman"/>
        </w:rPr>
        <w:t>.</w:t>
      </w:r>
    </w:p>
  </w:footnote>
  <w:footnote w:id="10">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FCC v. Fox Television Stations, Inc</w:t>
      </w:r>
      <w:r w:rsidRPr="001F3848">
        <w:rPr>
          <w:rFonts w:ascii="Times New Roman" w:hAnsi="Times New Roman"/>
        </w:rPr>
        <w:t>.</w:t>
      </w:r>
      <w:r w:rsidR="00AD76E6">
        <w:rPr>
          <w:rFonts w:ascii="Times New Roman" w:hAnsi="Times New Roman"/>
        </w:rPr>
        <w:t>,</w:t>
      </w:r>
      <w:r w:rsidRPr="001F3848">
        <w:rPr>
          <w:rFonts w:ascii="Times New Roman" w:hAnsi="Times New Roman"/>
        </w:rPr>
        <w:t xml:space="preserve"> 556 U.S. 502</w:t>
      </w:r>
      <w:r w:rsidR="00AD76E6">
        <w:rPr>
          <w:rFonts w:ascii="Times New Roman" w:hAnsi="Times New Roman"/>
        </w:rPr>
        <w:t>, 515</w:t>
      </w:r>
      <w:r w:rsidRPr="001F3848">
        <w:rPr>
          <w:rFonts w:ascii="Times New Roman" w:hAnsi="Times New Roman"/>
        </w:rPr>
        <w:t xml:space="preserve"> (2009)</w:t>
      </w:r>
      <w:r w:rsidR="00AD76E6">
        <w:rPr>
          <w:rFonts w:ascii="Times New Roman" w:hAnsi="Times New Roman"/>
        </w:rPr>
        <w:t>.</w:t>
      </w:r>
    </w:p>
  </w:footnote>
  <w:footnote w:id="11">
    <w:p w:rsidR="001806DF" w:rsidRPr="001F3848" w:rsidRDefault="001806DF"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00074ED3">
        <w:rPr>
          <w:rFonts w:ascii="Times New Roman" w:hAnsi="Times New Roman"/>
        </w:rPr>
        <w:t>Letter from Austin H. Schlick, Google to Marlene H. Dortch, FCC, GN Docket Nos. 14-28 &amp;10-127 at 3 (filed Feb. 20, 2015) (</w:t>
      </w:r>
      <w:r w:rsidRPr="001F3848">
        <w:rPr>
          <w:rFonts w:ascii="Times New Roman" w:hAnsi="Times New Roman"/>
        </w:rPr>
        <w:t>Google Feb. 20, 2015 Ex Parte Letter</w:t>
      </w:r>
      <w:r w:rsidR="00074ED3">
        <w:rPr>
          <w:rFonts w:ascii="Times New Roman" w:hAnsi="Times New Roman"/>
        </w:rPr>
        <w:t>)</w:t>
      </w:r>
      <w:r w:rsidRPr="001F3848">
        <w:rPr>
          <w:rFonts w:ascii="Times New Roman" w:hAnsi="Times New Roman"/>
        </w:rPr>
        <w:t>, http://apps.fcc.gov/ecfs/document/view?id=60001032150</w:t>
      </w:r>
      <w:r w:rsidR="00074ED3">
        <w:rPr>
          <w:rFonts w:ascii="Times New Roman" w:hAnsi="Times New Roman"/>
        </w:rPr>
        <w:t>.</w:t>
      </w:r>
    </w:p>
  </w:footnote>
  <w:footnote w:id="12">
    <w:p w:rsidR="00013B66" w:rsidRPr="00074ED3"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00DA5FDC" w:rsidRPr="00074ED3">
        <w:rPr>
          <w:rFonts w:ascii="Times New Roman" w:hAnsi="Times New Roman"/>
          <w:i/>
        </w:rPr>
        <w:t>See</w:t>
      </w:r>
      <w:r w:rsidR="00074ED3">
        <w:rPr>
          <w:rFonts w:ascii="Times New Roman" w:hAnsi="Times New Roman"/>
          <w:i/>
        </w:rPr>
        <w:t xml:space="preserve"> id. at 1.  See also</w:t>
      </w:r>
      <w:r w:rsidR="00DA5FDC" w:rsidRPr="00074ED3">
        <w:rPr>
          <w:rFonts w:ascii="Times New Roman" w:hAnsi="Times New Roman"/>
          <w:i/>
        </w:rPr>
        <w:t>, e.g</w:t>
      </w:r>
      <w:r w:rsidR="00074ED3">
        <w:rPr>
          <w:rFonts w:ascii="Times New Roman" w:hAnsi="Times New Roman"/>
        </w:rPr>
        <w:t>.</w:t>
      </w:r>
      <w:r w:rsidR="00DA5FDC" w:rsidRPr="001F3848">
        <w:rPr>
          <w:rFonts w:ascii="Times New Roman" w:hAnsi="Times New Roman"/>
        </w:rPr>
        <w:t xml:space="preserve">, </w:t>
      </w:r>
      <w:r w:rsidR="00074ED3">
        <w:rPr>
          <w:rFonts w:ascii="Times New Roman" w:hAnsi="Times New Roman"/>
        </w:rPr>
        <w:t>Letter from William H. Johnson, Verizon to Marlene H. Dortch, FCC, GN Docket Nos. 14-28 &amp;10-127 at 1, 4-5 (filed Dec. 17, 2014) (</w:t>
      </w:r>
      <w:r w:rsidR="00DA5FDC" w:rsidRPr="001F3848">
        <w:rPr>
          <w:rFonts w:ascii="Times New Roman" w:hAnsi="Times New Roman"/>
        </w:rPr>
        <w:t>Verizon Dec. 17, 2014 Interconnection Ex Parte Letter</w:t>
      </w:r>
      <w:r w:rsidR="00074ED3">
        <w:rPr>
          <w:rFonts w:ascii="Times New Roman" w:hAnsi="Times New Roman"/>
        </w:rPr>
        <w:t>)</w:t>
      </w:r>
      <w:r w:rsidR="00DA5FDC" w:rsidRPr="001F3848">
        <w:rPr>
          <w:rFonts w:ascii="Times New Roman" w:hAnsi="Times New Roman"/>
        </w:rPr>
        <w:t xml:space="preserve">, </w:t>
      </w:r>
      <w:r w:rsidR="00074ED3" w:rsidRPr="00074ED3">
        <w:rPr>
          <w:rFonts w:ascii="Times New Roman" w:hAnsi="Times New Roman"/>
        </w:rPr>
        <w:t>http://apps.fcc.gov/ecfs/document/view?id=60001010005</w:t>
      </w:r>
      <w:r w:rsidR="00DA5FDC" w:rsidRPr="00074ED3">
        <w:rPr>
          <w:rFonts w:ascii="Times New Roman" w:hAnsi="Times New Roman"/>
        </w:rPr>
        <w:t xml:space="preserve">; </w:t>
      </w:r>
      <w:r w:rsidR="00AD76E6">
        <w:rPr>
          <w:rFonts w:ascii="Times New Roman" w:hAnsi="Times New Roman"/>
        </w:rPr>
        <w:t>Letter from Gary L. Phillips, AT&amp;T to Marlene H. Dortch, FCC, GN Docket Nos. 14-28 &amp;10-127 at 7-8 (filed Feb. 2, 2015) (</w:t>
      </w:r>
      <w:r w:rsidR="00AD76E6" w:rsidRPr="001F3848">
        <w:rPr>
          <w:rFonts w:ascii="Times New Roman" w:hAnsi="Times New Roman"/>
        </w:rPr>
        <w:t>AT&amp;T Feb</w:t>
      </w:r>
      <w:r w:rsidR="00F0747A">
        <w:rPr>
          <w:rFonts w:ascii="Times New Roman" w:hAnsi="Times New Roman"/>
        </w:rPr>
        <w:t>. 2</w:t>
      </w:r>
      <w:r w:rsidR="00AD76E6" w:rsidRPr="001F3848">
        <w:rPr>
          <w:rFonts w:ascii="Times New Roman" w:hAnsi="Times New Roman"/>
        </w:rPr>
        <w:t xml:space="preserve">, 2015 </w:t>
      </w:r>
      <w:r w:rsidR="00AD76E6">
        <w:rPr>
          <w:rFonts w:ascii="Times New Roman" w:hAnsi="Times New Roman"/>
        </w:rPr>
        <w:t xml:space="preserve">Common Carrier </w:t>
      </w:r>
      <w:r w:rsidR="00AD76E6" w:rsidRPr="001F3848">
        <w:rPr>
          <w:rFonts w:ascii="Times New Roman" w:hAnsi="Times New Roman"/>
        </w:rPr>
        <w:t>Ex Parte Letter</w:t>
      </w:r>
      <w:r w:rsidR="00AD76E6">
        <w:rPr>
          <w:rFonts w:ascii="Times New Roman" w:hAnsi="Times New Roman"/>
        </w:rPr>
        <w:t xml:space="preserve">), </w:t>
      </w:r>
      <w:r w:rsidR="00BE164A" w:rsidRPr="00072D79">
        <w:rPr>
          <w:rFonts w:ascii="Times New Roman" w:hAnsi="Times New Roman"/>
        </w:rPr>
        <w:t>http://apps.fcc.gov/ecfs/document/view?id=60001025387</w:t>
      </w:r>
      <w:r w:rsidR="00BE164A">
        <w:rPr>
          <w:rFonts w:ascii="Times New Roman" w:hAnsi="Times New Roman"/>
        </w:rPr>
        <w:t xml:space="preserve">; </w:t>
      </w:r>
      <w:r w:rsidR="00BE164A" w:rsidRPr="001F3848">
        <w:rPr>
          <w:rFonts w:ascii="Times New Roman" w:hAnsi="Times New Roman"/>
        </w:rPr>
        <w:t>Comcast Jan. 30, 2015 Ex Parte Letter</w:t>
      </w:r>
      <w:r w:rsidR="00BE164A" w:rsidRPr="00074ED3" w:rsidDel="00074ED3">
        <w:rPr>
          <w:rFonts w:ascii="Times New Roman" w:hAnsi="Times New Roman"/>
        </w:rPr>
        <w:t xml:space="preserve"> </w:t>
      </w:r>
      <w:r w:rsidR="00BE164A">
        <w:rPr>
          <w:rFonts w:ascii="Times New Roman" w:hAnsi="Times New Roman"/>
        </w:rPr>
        <w:t>at 2-6.</w:t>
      </w:r>
    </w:p>
  </w:footnote>
  <w:footnote w:id="13">
    <w:p w:rsidR="00AD76E6" w:rsidRDefault="00AD76E6" w:rsidP="004C00C0">
      <w:pPr>
        <w:pStyle w:val="FootnoteText"/>
        <w:spacing w:after="120"/>
      </w:pPr>
      <w:r w:rsidRPr="00072D79">
        <w:rPr>
          <w:rStyle w:val="FootnoteReference"/>
          <w:rFonts w:ascii="Times New Roman" w:hAnsi="Times New Roman"/>
        </w:rPr>
        <w:footnoteRef/>
      </w:r>
      <w:r>
        <w:t xml:space="preserve"> </w:t>
      </w:r>
      <w:r w:rsidRPr="001F3848">
        <w:rPr>
          <w:rFonts w:ascii="Times New Roman" w:hAnsi="Times New Roman"/>
        </w:rPr>
        <w:t>AT&amp;T Feb</w:t>
      </w:r>
      <w:r w:rsidR="007E5F24">
        <w:rPr>
          <w:rFonts w:ascii="Times New Roman" w:hAnsi="Times New Roman"/>
        </w:rPr>
        <w:t>.</w:t>
      </w:r>
      <w:r w:rsidRPr="001F3848">
        <w:rPr>
          <w:rFonts w:ascii="Times New Roman" w:hAnsi="Times New Roman"/>
        </w:rPr>
        <w:t xml:space="preserve"> </w:t>
      </w:r>
      <w:r w:rsidR="00F0747A">
        <w:rPr>
          <w:rFonts w:ascii="Times New Roman" w:hAnsi="Times New Roman"/>
        </w:rPr>
        <w:t>2</w:t>
      </w:r>
      <w:r w:rsidRPr="001F3848">
        <w:rPr>
          <w:rFonts w:ascii="Times New Roman" w:hAnsi="Times New Roman"/>
        </w:rPr>
        <w:t xml:space="preserve">, 2015 </w:t>
      </w:r>
      <w:r>
        <w:rPr>
          <w:rFonts w:ascii="Times New Roman" w:hAnsi="Times New Roman"/>
        </w:rPr>
        <w:t xml:space="preserve">Common Carrier </w:t>
      </w:r>
      <w:r w:rsidRPr="001F3848">
        <w:rPr>
          <w:rFonts w:ascii="Times New Roman" w:hAnsi="Times New Roman"/>
        </w:rPr>
        <w:t>Ex Parte Letter</w:t>
      </w:r>
      <w:r>
        <w:rPr>
          <w:rFonts w:ascii="Times New Roman" w:hAnsi="Times New Roman"/>
        </w:rPr>
        <w:t xml:space="preserve"> at 7-8.</w:t>
      </w:r>
    </w:p>
  </w:footnote>
  <w:footnote w:id="14">
    <w:p w:rsidR="00995FB9" w:rsidRPr="001F3848" w:rsidRDefault="00995FB9" w:rsidP="004C00C0">
      <w:pPr>
        <w:autoSpaceDE w:val="0"/>
        <w:autoSpaceDN w:val="0"/>
        <w:adjustRightInd w:val="0"/>
        <w:spacing w:after="120"/>
        <w:rPr>
          <w:rFonts w:ascii="Times New Roman" w:hAnsi="Times New Roman"/>
          <w:sz w:val="20"/>
          <w:szCs w:val="20"/>
        </w:rPr>
      </w:pPr>
      <w:r w:rsidRPr="001F3848">
        <w:rPr>
          <w:rStyle w:val="FootnoteReference"/>
          <w:rFonts w:ascii="Times New Roman" w:hAnsi="Times New Roman"/>
          <w:sz w:val="20"/>
          <w:szCs w:val="20"/>
        </w:rPr>
        <w:footnoteRef/>
      </w:r>
      <w:r w:rsidRPr="001F3848">
        <w:rPr>
          <w:rFonts w:ascii="Times New Roman" w:hAnsi="Times New Roman"/>
          <w:sz w:val="20"/>
          <w:szCs w:val="20"/>
        </w:rPr>
        <w:t xml:space="preserve"> </w:t>
      </w:r>
      <w:r w:rsidRPr="00BE164A">
        <w:rPr>
          <w:rFonts w:ascii="Times New Roman" w:hAnsi="Times New Roman"/>
          <w:i/>
          <w:sz w:val="20"/>
          <w:szCs w:val="20"/>
        </w:rPr>
        <w:t>See, e.g</w:t>
      </w:r>
      <w:r w:rsidRPr="001F3848">
        <w:rPr>
          <w:rFonts w:ascii="Times New Roman" w:hAnsi="Times New Roman"/>
          <w:sz w:val="20"/>
          <w:szCs w:val="20"/>
        </w:rPr>
        <w:t xml:space="preserve">., </w:t>
      </w:r>
      <w:r w:rsidRPr="001F3848">
        <w:rPr>
          <w:rFonts w:ascii="Times New Roman" w:hAnsi="Times New Roman"/>
          <w:i/>
          <w:iCs/>
          <w:sz w:val="20"/>
          <w:szCs w:val="20"/>
        </w:rPr>
        <w:t>Verizon Communications Inc. and MCI, Inc. Applications for Approval of Transfer of Control</w:t>
      </w:r>
      <w:r w:rsidRPr="001F3848">
        <w:rPr>
          <w:rFonts w:ascii="Times New Roman" w:hAnsi="Times New Roman"/>
          <w:sz w:val="20"/>
          <w:szCs w:val="20"/>
        </w:rPr>
        <w:t xml:space="preserve">, </w:t>
      </w:r>
      <w:r w:rsidR="00BE164A">
        <w:rPr>
          <w:rFonts w:ascii="Times New Roman" w:hAnsi="Times New Roman"/>
          <w:sz w:val="20"/>
          <w:szCs w:val="20"/>
        </w:rPr>
        <w:t xml:space="preserve">WC Docket No. 05-75, </w:t>
      </w:r>
      <w:r w:rsidRPr="001F3848">
        <w:rPr>
          <w:rFonts w:ascii="Times New Roman" w:hAnsi="Times New Roman"/>
          <w:sz w:val="20"/>
          <w:szCs w:val="20"/>
        </w:rPr>
        <w:t xml:space="preserve">Memorandum Opinion and Order, 20 FCC Rcd 18433, </w:t>
      </w:r>
      <w:r w:rsidR="008134E3" w:rsidRPr="00235E56">
        <w:rPr>
          <w:rFonts w:ascii="Times New Roman" w:hAnsi="Times New Roman"/>
        </w:rPr>
        <w:t>¶</w:t>
      </w:r>
      <w:r w:rsidRPr="001F3848">
        <w:rPr>
          <w:rFonts w:ascii="Times New Roman" w:hAnsi="Times New Roman"/>
          <w:sz w:val="20"/>
          <w:szCs w:val="20"/>
        </w:rPr>
        <w:t xml:space="preserve"> 133 (2005) (“[I]nterconnection between Internet backbone providers has never been subject to direct government regulation.”)</w:t>
      </w:r>
      <w:r w:rsidR="00BE164A">
        <w:rPr>
          <w:rFonts w:ascii="Times New Roman" w:hAnsi="Times New Roman"/>
          <w:sz w:val="20"/>
          <w:szCs w:val="20"/>
        </w:rPr>
        <w:t>.</w:t>
      </w:r>
    </w:p>
  </w:footnote>
  <w:footnote w:id="15">
    <w:p w:rsidR="00DA5FDC" w:rsidRPr="001F3848" w:rsidRDefault="00DA5FDC"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BE164A">
        <w:rPr>
          <w:rFonts w:ascii="Times New Roman" w:hAnsi="Times New Roman"/>
          <w:i/>
        </w:rPr>
        <w:t>See, e.g</w:t>
      </w:r>
      <w:r w:rsidRPr="001F3848">
        <w:rPr>
          <w:rFonts w:ascii="Times New Roman" w:hAnsi="Times New Roman"/>
        </w:rPr>
        <w:t xml:space="preserve">., Verizon Dec. 17, 2014 Interconnection Ex Parte </w:t>
      </w:r>
      <w:r w:rsidR="00A43359">
        <w:rPr>
          <w:rFonts w:ascii="Times New Roman" w:hAnsi="Times New Roman"/>
        </w:rPr>
        <w:t xml:space="preserve">Letter </w:t>
      </w:r>
      <w:r w:rsidRPr="001F3848">
        <w:rPr>
          <w:rFonts w:ascii="Times New Roman" w:hAnsi="Times New Roman"/>
        </w:rPr>
        <w:t>at 1 (“Both the previous Open Internet rules and the Notice of Proposed Rulemaking in this proceeding focused on concerns relating to the management of traffic within a broadband provider’s local network and over the last-mile connection to a subscriber. By contrast, interconnection agreements inherently involve routing traffic between networks. Issues surrounding these agreements, which relate to the physical connections between networks, are “very distinct” from issues concerning the management of traffic over the last-mile….”) (internal citation omitted).</w:t>
      </w:r>
    </w:p>
  </w:footnote>
  <w:footnote w:id="16">
    <w:p w:rsidR="003A214C" w:rsidRPr="001F3848" w:rsidRDefault="003A214C"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B651AC">
        <w:rPr>
          <w:rFonts w:ascii="Times New Roman" w:hAnsi="Times New Roman"/>
          <w:i/>
        </w:rPr>
        <w:t>See, e.g</w:t>
      </w:r>
      <w:r w:rsidRPr="001F3848">
        <w:rPr>
          <w:rFonts w:ascii="Times New Roman" w:hAnsi="Times New Roman"/>
        </w:rPr>
        <w:t xml:space="preserve">., Comcast Jan. 30, 2015 Ex Parte Letter at 6 (“As an initial matter, the Open Internet NPRM gave no notice of any proposal to reclassify Internet traffic exchange as a Title II service. Although the NPRM raised the prospect that the FCC could depart from its historical approach of excluding interconnection issues from open Internet rules – asking whether it </w:t>
      </w:r>
      <w:r w:rsidR="00072D79">
        <w:rPr>
          <w:rFonts w:ascii="Times New Roman" w:hAnsi="Times New Roman"/>
        </w:rPr>
        <w:t>‘</w:t>
      </w:r>
      <w:r w:rsidRPr="001F3848">
        <w:rPr>
          <w:rFonts w:ascii="Times New Roman" w:hAnsi="Times New Roman"/>
        </w:rPr>
        <w:t>should expand the scope of the open Internet rules to cover issues related to traffic exchange</w:t>
      </w:r>
      <w:r w:rsidR="00072D79">
        <w:rPr>
          <w:rFonts w:ascii="Times New Roman" w:hAnsi="Times New Roman"/>
        </w:rPr>
        <w:t>’</w:t>
      </w:r>
      <w:r w:rsidRPr="001F3848">
        <w:rPr>
          <w:rFonts w:ascii="Times New Roman" w:hAnsi="Times New Roman"/>
        </w:rPr>
        <w:t xml:space="preserve"> – it nowhere suggested that the Commission might reclassify ISPs’ interconnection-related services to achieve that end”).  </w:t>
      </w:r>
      <w:r w:rsidR="00CA0D22" w:rsidRPr="00CA0D22">
        <w:rPr>
          <w:rFonts w:ascii="Times New Roman" w:hAnsi="Times New Roman"/>
        </w:rPr>
        <w:t xml:space="preserve">As a backstop, the item notes in passing that BIAS provider practices with respect to such interconnection are “for and in connection with” the BIAS service.  This last second addition based on a last minute ex parte filing cannot salvage this effort because there is no notice for this theory either.  </w:t>
      </w:r>
    </w:p>
  </w:footnote>
  <w:footnote w:id="17">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47 U.S.C. § 332.  In 1993, Congress codified section 332(c) differentiating between commercial and private mobile services.  </w:t>
      </w:r>
      <w:r w:rsidRPr="00235E56">
        <w:rPr>
          <w:rFonts w:ascii="Times New Roman" w:hAnsi="Times New Roman"/>
          <w:i/>
        </w:rPr>
        <w:t>Compare</w:t>
      </w:r>
      <w:r w:rsidRPr="00235E56">
        <w:rPr>
          <w:rFonts w:ascii="Times New Roman" w:hAnsi="Times New Roman"/>
        </w:rPr>
        <w:t xml:space="preserve"> 47 U.S.C. § 332(c)(1) </w:t>
      </w:r>
      <w:r w:rsidRPr="00235E56">
        <w:rPr>
          <w:rFonts w:ascii="Times New Roman" w:hAnsi="Times New Roman"/>
          <w:i/>
        </w:rPr>
        <w:t xml:space="preserve">with id. </w:t>
      </w:r>
      <w:r w:rsidRPr="00235E56">
        <w:rPr>
          <w:rFonts w:ascii="Times New Roman" w:hAnsi="Times New Roman"/>
        </w:rPr>
        <w:t xml:space="preserve">§ 332(c)(1); </w:t>
      </w:r>
      <w:r w:rsidRPr="00235E56">
        <w:rPr>
          <w:rFonts w:ascii="Times New Roman" w:hAnsi="Times New Roman"/>
          <w:i/>
        </w:rPr>
        <w:t>see also</w:t>
      </w:r>
      <w:r w:rsidRPr="00235E56">
        <w:rPr>
          <w:rFonts w:ascii="Times New Roman" w:hAnsi="Times New Roman"/>
        </w:rPr>
        <w:t xml:space="preserve"> </w:t>
      </w:r>
      <w:r w:rsidRPr="00235E56">
        <w:rPr>
          <w:rFonts w:ascii="Times New Roman" w:hAnsi="Times New Roman"/>
          <w:i/>
        </w:rPr>
        <w:t>id</w:t>
      </w:r>
      <w:r w:rsidRPr="00235E56">
        <w:rPr>
          <w:rFonts w:ascii="Times New Roman" w:hAnsi="Times New Roman"/>
        </w:rPr>
        <w:t xml:space="preserve">. § 332(d) (providing definitions); Omnibus Budget Reconciliation Act of 1993, Pub. L. No. 103-66, 107 Stat. 312.  Under the law, mobile broadband has been treated as a “private mobile service” as opposed to a “commercial mobile service or the functional equivalent of a commercial mobile service.”  A “commercial mobile service” interconnects with the public switched telephone network; whereas, a “private mobile service” does not.  Because mobile broadband is not interconnected and, therefore, a “commercial mobile service,” Section 332 of the Communications Act prevents the Commission from regulating mobile broadband under Title II.  Instead, mobile broadband is a “private mobile service” free from common carrier regulation.  </w:t>
      </w:r>
      <w:r w:rsidRPr="00235E56">
        <w:rPr>
          <w:rFonts w:ascii="Times New Roman" w:hAnsi="Times New Roman"/>
          <w:i/>
        </w:rPr>
        <w:t>See, e.g.,</w:t>
      </w:r>
      <w:r w:rsidRPr="00235E56">
        <w:rPr>
          <w:rFonts w:ascii="Times New Roman" w:hAnsi="Times New Roman"/>
        </w:rPr>
        <w:t xml:space="preserve"> </w:t>
      </w:r>
      <w:r w:rsidRPr="00235E56">
        <w:rPr>
          <w:rFonts w:ascii="Times New Roman" w:hAnsi="Times New Roman"/>
          <w:i/>
        </w:rPr>
        <w:t>Implementation of Sections 3(n) and 332 of the Communications Act, Regulatory Treatment of Mobile Services</w:t>
      </w:r>
      <w:r w:rsidRPr="00235E56">
        <w:rPr>
          <w:rFonts w:ascii="Times New Roman" w:hAnsi="Times New Roman"/>
        </w:rPr>
        <w:t xml:space="preserve">, 9 FCC Rcd 1411, 1434 ¶¶ 54 (1994); </w:t>
      </w:r>
      <w:r w:rsidRPr="00235E56">
        <w:rPr>
          <w:rFonts w:ascii="Times New Roman" w:hAnsi="Times New Roman"/>
          <w:i/>
        </w:rPr>
        <w:t>Appropriate Regulatory Treatment for Broadband Access to the Internet over Wireless Networks</w:t>
      </w:r>
      <w:r w:rsidRPr="00235E56">
        <w:rPr>
          <w:rFonts w:ascii="Times New Roman" w:hAnsi="Times New Roman"/>
        </w:rPr>
        <w:t xml:space="preserve">, Declaratory Ruling, 22 FCC Rcd 5901, 5915–21 ¶¶ 37–56 (2007); </w:t>
      </w:r>
      <w:r w:rsidRPr="00235E56">
        <w:rPr>
          <w:rFonts w:ascii="Times New Roman" w:hAnsi="Times New Roman"/>
          <w:i/>
        </w:rPr>
        <w:t>Cellco Partnership v. FCC</w:t>
      </w:r>
      <w:r w:rsidRPr="00235E56">
        <w:rPr>
          <w:rFonts w:ascii="Times New Roman" w:hAnsi="Times New Roman"/>
        </w:rPr>
        <w:t xml:space="preserve">, 700 F.3d 534, 538 (D.C. Cir. 2012); </w:t>
      </w:r>
      <w:r w:rsidRPr="00235E56">
        <w:rPr>
          <w:rFonts w:ascii="Times New Roman" w:hAnsi="Times New Roman"/>
          <w:i/>
        </w:rPr>
        <w:t>Verizon v. FCC</w:t>
      </w:r>
      <w:r w:rsidRPr="00235E56">
        <w:rPr>
          <w:rFonts w:ascii="Times New Roman" w:hAnsi="Times New Roman"/>
        </w:rPr>
        <w:t xml:space="preserve">, 740 F.3d 623, 650 (D.C. Cir. 2014); </w:t>
      </w:r>
      <w:r w:rsidRPr="00235E56">
        <w:rPr>
          <w:rFonts w:ascii="Times New Roman" w:hAnsi="Times New Roman"/>
          <w:i/>
        </w:rPr>
        <w:t>see also</w:t>
      </w:r>
      <w:r w:rsidRPr="00235E56">
        <w:rPr>
          <w:rFonts w:ascii="Times New Roman" w:hAnsi="Times New Roman"/>
        </w:rPr>
        <w:t xml:space="preserve"> Testimony of Robert M. McDowell, Partner, Wiley Rein LLP &amp; Senior Fellow, Hudson Institute, before the Senate Committee on Commerce, Science &amp; Transportation, at 14-15,  http://www.commerce.senate.gov/public/?a=Files.Serve&amp;File_id=14755dd8-95c7-45e0-a7b9-bfb33f222f45.</w:t>
      </w:r>
    </w:p>
  </w:footnote>
  <w:footnote w:id="18">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w:t>
      </w:r>
      <w:r w:rsidRPr="00235E56">
        <w:rPr>
          <w:rFonts w:ascii="Times New Roman" w:hAnsi="Times New Roman"/>
          <w:i/>
        </w:rPr>
        <w:t>See, e.g., Implementation of Section 6002(b) of the Omnibus Budget Reconciliation Act of 1993, Annual Report and Analysis of Competitive Market Conditions With Respect to Mobile Wireless, Including Commercial Mobile Services</w:t>
      </w:r>
      <w:r w:rsidRPr="00235E56">
        <w:rPr>
          <w:rFonts w:ascii="Times New Roman" w:hAnsi="Times New Roman"/>
        </w:rPr>
        <w:t>, WT Docket No. 13-135, Seventeenth Report, 29 FCC Rcd 15311, 15336 Chart III.2.A (WTB 2014) (stating that approximately 99 percent of consumers have a choice of two or more competitors and more than 82 percent of Americans today have a choice of four or more mobile providers.).</w:t>
      </w:r>
    </w:p>
  </w:footnote>
  <w:footnote w:id="19">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Now more than any time in history, wireless consumers have the freedom to take advantage of myriad incentives to switch providers, whether through early termination fee buyouts, unlocking, or one of various options to buy or finance the latest mobile devices.  </w:t>
      </w:r>
      <w:r w:rsidRPr="00235E56">
        <w:rPr>
          <w:rFonts w:ascii="Times New Roman" w:hAnsi="Times New Roman"/>
          <w:i/>
        </w:rPr>
        <w:t>See, e.g.,</w:t>
      </w:r>
      <w:r w:rsidRPr="00235E56">
        <w:rPr>
          <w:rFonts w:ascii="Times New Roman" w:hAnsi="Times New Roman"/>
        </w:rPr>
        <w:t xml:space="preserve"> Letter from Scott K. Bergmann, Vice President – Regulatory Affairs, CTIA – The Wireless Association, to Marlene H. Dortch, GN Docket Nos. 14-28 &amp; 10-127, at 3-5 (Feb. 10, 2015) (CTIA Feb. 10, 2015 Ex Parte Letter).</w:t>
      </w:r>
    </w:p>
  </w:footnote>
  <w:footnote w:id="20">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And, to remain competitive, carriers will continue to deploy new technologies, upgrade current networks, improve service offerings, and evolve to consistently meet or exceed consumer expectations.  </w:t>
      </w:r>
      <w:r w:rsidRPr="00235E56">
        <w:rPr>
          <w:rFonts w:ascii="Times New Roman" w:hAnsi="Times New Roman"/>
          <w:i/>
        </w:rPr>
        <w:t>See, e.g.,</w:t>
      </w:r>
      <w:r w:rsidRPr="00235E56">
        <w:rPr>
          <w:rFonts w:ascii="Times New Roman" w:hAnsi="Times New Roman"/>
        </w:rPr>
        <w:t xml:space="preserve"> Testimony of Meredith Attwell Baker, President and CEO, CTIA – The Wireless Association, before the House Energy &amp; Commerce Subcommittee on Communications and Technology, at 5 (Jan. 21, 2015), http://docs.house.gov/meetings/IF/IF16/20150121/102832/HHRG-114-IF16-Wstate-BakerM-20150121-U1.pdf.</w:t>
      </w:r>
    </w:p>
  </w:footnote>
  <w:footnote w:id="21">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w:t>
      </w:r>
      <w:r w:rsidRPr="00235E56">
        <w:rPr>
          <w:rFonts w:ascii="Times New Roman" w:hAnsi="Times New Roman"/>
          <w:i/>
        </w:rPr>
        <w:t>See, e.g.,</w:t>
      </w:r>
      <w:r w:rsidRPr="00235E56">
        <w:rPr>
          <w:rFonts w:ascii="Times New Roman" w:hAnsi="Times New Roman"/>
        </w:rPr>
        <w:t xml:space="preserve"> </w:t>
      </w:r>
      <w:r w:rsidRPr="00235E56">
        <w:rPr>
          <w:rFonts w:ascii="Times New Roman" w:hAnsi="Times New Roman"/>
          <w:i/>
        </w:rPr>
        <w:t>id</w:t>
      </w:r>
      <w:r w:rsidRPr="00235E56">
        <w:rPr>
          <w:rFonts w:ascii="Times New Roman" w:hAnsi="Times New Roman"/>
        </w:rPr>
        <w:t>. at 4 (stating that a single strand of fiber can carry more traffic than the entirety of spectrum allocated for commercial wireless use); Letter from Scott Bergman, Vice President – Regulatory Affairs, CTIA – The Wireless Association, to Marlene H. Dortch, Secretary, Federal Communications Commission, GN Docket Nos. 14-28 &amp; 10-127 (Oct. 6, 2014).</w:t>
      </w:r>
    </w:p>
  </w:footnote>
  <w:footnote w:id="22">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By doing so, my colleagues in the majority bring an end to the regulatory approach established by Congress, implemented by the Commission and relied upon by the wireless sector.  </w:t>
      </w:r>
      <w:r w:rsidRPr="00235E56">
        <w:rPr>
          <w:rFonts w:ascii="Times New Roman" w:hAnsi="Times New Roman"/>
          <w:i/>
        </w:rPr>
        <w:t>See</w:t>
      </w:r>
      <w:r w:rsidRPr="00235E56">
        <w:rPr>
          <w:rFonts w:ascii="Times New Roman" w:hAnsi="Times New Roman"/>
        </w:rPr>
        <w:t xml:space="preserve"> CTIA Feb. 10, 2015 Ex Parte Letter at 5-10.</w:t>
      </w:r>
    </w:p>
  </w:footnote>
  <w:footnote w:id="23">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w:t>
      </w:r>
      <w:r w:rsidRPr="00235E56">
        <w:rPr>
          <w:rFonts w:ascii="Times New Roman" w:hAnsi="Times New Roman"/>
          <w:i/>
        </w:rPr>
        <w:t>See, e.g.,</w:t>
      </w:r>
      <w:r w:rsidRPr="00235E56">
        <w:rPr>
          <w:rFonts w:ascii="Times New Roman" w:hAnsi="Times New Roman"/>
        </w:rPr>
        <w:t xml:space="preserve"> Letter from Gary L. Phillips, General Attorney &amp; Assoc. General Counsel, AT&amp;T, to Marlene H. Dortch, Secretary, Federal Communications Commission, at 3 (Feb. 2, 2015) (AT&amp;T Feb. 2, 2015 Ex Parte Letter); CTIA Feb. 10, 2015 Ex Parte Letter at 13-14; CTIA Dec. 22, 2014 White Paper at 6; Letter from William H. Johnson, Vice President &amp; Associate General Counsel, Verizon, to Marlene H. Dortch, Secretary, Federal Communications Commission, at 5-6 (Verizon Dec. 24, 2014 Ex Parte Letter).</w:t>
      </w:r>
    </w:p>
  </w:footnote>
  <w:footnote w:id="24">
    <w:p w:rsidR="00235E56" w:rsidRPr="00235E56" w:rsidRDefault="00235E56" w:rsidP="004C00C0">
      <w:pPr>
        <w:pStyle w:val="FootnoteText"/>
        <w:spacing w:after="120"/>
        <w:rPr>
          <w:rFonts w:ascii="Times New Roman" w:hAnsi="Times New Roman"/>
        </w:rPr>
      </w:pPr>
      <w:r w:rsidRPr="00235E56">
        <w:rPr>
          <w:rStyle w:val="FootnoteReference"/>
          <w:rFonts w:ascii="Times New Roman" w:hAnsi="Times New Roman"/>
        </w:rPr>
        <w:footnoteRef/>
      </w:r>
      <w:r w:rsidRPr="00235E56">
        <w:rPr>
          <w:rFonts w:ascii="Times New Roman" w:hAnsi="Times New Roman"/>
        </w:rPr>
        <w:t xml:space="preserve"> </w:t>
      </w:r>
      <w:r w:rsidRPr="00235E56">
        <w:rPr>
          <w:rFonts w:ascii="Times New Roman" w:hAnsi="Times New Roman"/>
          <w:i/>
        </w:rPr>
        <w:t>See, e.g.,</w:t>
      </w:r>
      <w:r w:rsidRPr="00235E56">
        <w:rPr>
          <w:rFonts w:ascii="Times New Roman" w:hAnsi="Times New Roman"/>
        </w:rPr>
        <w:t xml:space="preserve"> AT&amp;T Jan. 8, 2015 Ex Parte Letter; AT&amp;T Feb. 2, 2015 Ex Parte Letter; CTIA Feb. 10, 2015 Ex Parte Letter at 14-16; CTIA Dec. 22, 2014 White Paper at 2-19; Verizon Dec. 24, 2014 Ex Parte Letter.</w:t>
      </w:r>
    </w:p>
  </w:footnote>
  <w:footnote w:id="25">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Supra</w:t>
      </w:r>
      <w:r w:rsidRPr="001F3848">
        <w:rPr>
          <w:rFonts w:ascii="Times New Roman" w:hAnsi="Times New Roman"/>
        </w:rPr>
        <w:t xml:space="preserve"> para. </w:t>
      </w:r>
      <w:r w:rsidR="00EB5FA9">
        <w:rPr>
          <w:rFonts w:ascii="Times New Roman" w:hAnsi="Times New Roman"/>
        </w:rPr>
        <w:t>443</w:t>
      </w:r>
      <w:r w:rsidRPr="001F3848">
        <w:rPr>
          <w:rFonts w:ascii="Times New Roman" w:hAnsi="Times New Roman"/>
        </w:rPr>
        <w:t xml:space="preserve"> (emphasis added)</w:t>
      </w:r>
      <w:r w:rsidR="00EB5FA9">
        <w:rPr>
          <w:rFonts w:ascii="Times New Roman" w:hAnsi="Times New Roman"/>
        </w:rPr>
        <w:t>.</w:t>
      </w:r>
      <w:r w:rsidRPr="001F3848">
        <w:rPr>
          <w:rFonts w:ascii="Times New Roman" w:hAnsi="Times New Roman"/>
        </w:rPr>
        <w:t xml:space="preserve"> </w:t>
      </w:r>
    </w:p>
  </w:footnote>
  <w:footnote w:id="26">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Supra</w:t>
      </w:r>
      <w:r w:rsidRPr="001F3848">
        <w:rPr>
          <w:rFonts w:ascii="Times New Roman" w:hAnsi="Times New Roman"/>
        </w:rPr>
        <w:t xml:space="preserve"> para. </w:t>
      </w:r>
      <w:r w:rsidR="00EB5FA9">
        <w:rPr>
          <w:rFonts w:ascii="Times New Roman" w:hAnsi="Times New Roman"/>
        </w:rPr>
        <w:t>494.</w:t>
      </w:r>
    </w:p>
  </w:footnote>
  <w:footnote w:id="27">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Supra</w:t>
      </w:r>
      <w:r w:rsidRPr="001F3848">
        <w:rPr>
          <w:rFonts w:ascii="Times New Roman" w:hAnsi="Times New Roman"/>
        </w:rPr>
        <w:t xml:space="preserve"> para. </w:t>
      </w:r>
      <w:r w:rsidR="00EB5FA9">
        <w:rPr>
          <w:rFonts w:ascii="Times New Roman" w:hAnsi="Times New Roman"/>
        </w:rPr>
        <w:t>505.</w:t>
      </w:r>
    </w:p>
  </w:footnote>
  <w:footnote w:id="28">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Supra</w:t>
      </w:r>
      <w:r w:rsidRPr="001F3848">
        <w:rPr>
          <w:rFonts w:ascii="Times New Roman" w:hAnsi="Times New Roman"/>
        </w:rPr>
        <w:t xml:space="preserve"> para. </w:t>
      </w:r>
      <w:r w:rsidR="00EB5FA9">
        <w:rPr>
          <w:rFonts w:ascii="Times New Roman" w:hAnsi="Times New Roman"/>
        </w:rPr>
        <w:t>509.</w:t>
      </w:r>
    </w:p>
  </w:footnote>
  <w:footnote w:id="29">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Util. Air Reg. Grp. v. EPA</w:t>
      </w:r>
      <w:r w:rsidRPr="001F3848">
        <w:rPr>
          <w:rFonts w:ascii="Times New Roman" w:hAnsi="Times New Roman"/>
        </w:rPr>
        <w:t>, 134 S. Ct. 2427, at 2444, 2445 (2014).</w:t>
      </w:r>
    </w:p>
  </w:footnote>
  <w:footnote w:id="30">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rPr>
        <w:t>Ragsdale v Wolverine World Wide, Inc</w:t>
      </w:r>
      <w:r w:rsidRPr="001F3848">
        <w:rPr>
          <w:rFonts w:ascii="Times New Roman" w:hAnsi="Times New Roman"/>
        </w:rPr>
        <w:t xml:space="preserve">., 535 U.S. 81, 91 (2002) (internal quotation marks omitted).  </w:t>
      </w:r>
    </w:p>
  </w:footnote>
  <w:footnote w:id="31">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Pr="001F3848">
        <w:rPr>
          <w:rFonts w:ascii="Times New Roman" w:hAnsi="Times New Roman"/>
          <w:i/>
          <w:iCs/>
        </w:rPr>
        <w:t>Verizon v. FCC,</w:t>
      </w:r>
      <w:r w:rsidRPr="001F3848">
        <w:rPr>
          <w:rStyle w:val="apple-converted-space"/>
          <w:rFonts w:ascii="Times New Roman" w:hAnsi="Times New Roman"/>
        </w:rPr>
        <w:t> </w:t>
      </w:r>
      <w:r w:rsidRPr="001F3848">
        <w:rPr>
          <w:rFonts w:ascii="Times New Roman" w:hAnsi="Times New Roman"/>
        </w:rPr>
        <w:t>740 F.3d 623</w:t>
      </w:r>
      <w:r w:rsidR="00F833D1">
        <w:rPr>
          <w:rFonts w:ascii="Times New Roman" w:hAnsi="Times New Roman"/>
        </w:rPr>
        <w:t>, 663</w:t>
      </w:r>
      <w:r w:rsidRPr="001F3848">
        <w:rPr>
          <w:rFonts w:ascii="Times New Roman" w:hAnsi="Times New Roman"/>
        </w:rPr>
        <w:t xml:space="preserve"> (D.C.</w:t>
      </w:r>
      <w:r w:rsidR="00F833D1">
        <w:rPr>
          <w:rFonts w:ascii="Times New Roman" w:hAnsi="Times New Roman"/>
        </w:rPr>
        <w:t xml:space="preserve"> </w:t>
      </w:r>
      <w:r w:rsidRPr="001F3848">
        <w:rPr>
          <w:rFonts w:ascii="Times New Roman" w:hAnsi="Times New Roman"/>
        </w:rPr>
        <w:t>Cir. 2014)</w:t>
      </w:r>
      <w:r w:rsidRPr="001F3848">
        <w:rPr>
          <w:rStyle w:val="apple-converted-space"/>
          <w:rFonts w:ascii="Times New Roman" w:hAnsi="Times New Roman"/>
          <w:color w:val="000000"/>
        </w:rPr>
        <w:t> </w:t>
      </w:r>
      <w:r w:rsidRPr="001F3848">
        <w:rPr>
          <w:rFonts w:ascii="Times New Roman" w:hAnsi="Times New Roman"/>
          <w:color w:val="000000"/>
        </w:rPr>
        <w:t>(Silberman, J., concurring in part and dissenting in part)).</w:t>
      </w:r>
      <w:r w:rsidRPr="001F3848">
        <w:rPr>
          <w:rFonts w:ascii="Times New Roman" w:hAnsi="Times New Roman"/>
        </w:rPr>
        <w:t xml:space="preserve"> </w:t>
      </w:r>
    </w:p>
  </w:footnote>
  <w:footnote w:id="32">
    <w:p w:rsidR="00013B66" w:rsidRPr="001F3848" w:rsidRDefault="00013B66" w:rsidP="004C00C0">
      <w:pPr>
        <w:pStyle w:val="FootnoteText"/>
        <w:spacing w:after="120"/>
        <w:rPr>
          <w:rFonts w:ascii="Times New Roman" w:hAnsi="Times New Roman"/>
        </w:rPr>
      </w:pPr>
      <w:r w:rsidRPr="00B651AC">
        <w:rPr>
          <w:rStyle w:val="FootnoteReference"/>
          <w:rFonts w:ascii="Times New Roman" w:hAnsi="Times New Roman"/>
        </w:rPr>
        <w:footnoteRef/>
      </w:r>
      <w:r w:rsidRPr="00B651AC">
        <w:rPr>
          <w:rFonts w:ascii="Times New Roman" w:hAnsi="Times New Roman"/>
        </w:rPr>
        <w:t xml:space="preserve"> </w:t>
      </w:r>
      <w:r w:rsidRPr="00B651AC">
        <w:rPr>
          <w:rFonts w:ascii="Times New Roman" w:hAnsi="Times New Roman"/>
          <w:i/>
        </w:rPr>
        <w:t>Verizon and AT&amp;T</w:t>
      </w:r>
      <w:r w:rsidR="00074ED3">
        <w:rPr>
          <w:rFonts w:ascii="Times New Roman" w:hAnsi="Times New Roman"/>
          <w:i/>
        </w:rPr>
        <w:t xml:space="preserve"> Inc.</w:t>
      </w:r>
      <w:r w:rsidRPr="00B651AC">
        <w:rPr>
          <w:rFonts w:ascii="Times New Roman" w:hAnsi="Times New Roman"/>
          <w:i/>
        </w:rPr>
        <w:t xml:space="preserve"> v. FCC</w:t>
      </w:r>
      <w:r w:rsidR="00B651AC" w:rsidRPr="00B651AC">
        <w:rPr>
          <w:rFonts w:ascii="Times New Roman" w:hAnsi="Times New Roman"/>
        </w:rPr>
        <w:t xml:space="preserve">, </w:t>
      </w:r>
      <w:r w:rsidR="00B651AC" w:rsidRPr="00B651AC">
        <w:rPr>
          <w:rFonts w:ascii="Times New Roman" w:hAnsi="Times New Roman"/>
          <w:color w:val="000000"/>
          <w:shd w:val="clear" w:color="auto" w:fill="FFFFFF"/>
        </w:rPr>
        <w:t>770 F.3d 961, 964 (D.C. Cir. 2014)</w:t>
      </w:r>
      <w:r w:rsidR="00B651AC" w:rsidRPr="00B651AC">
        <w:rPr>
          <w:rFonts w:ascii="Times New Roman" w:hAnsi="Times New Roman"/>
        </w:rPr>
        <w:t>.</w:t>
      </w:r>
    </w:p>
  </w:footnote>
  <w:footnote w:id="33">
    <w:p w:rsidR="00013B66" w:rsidRPr="001F3848" w:rsidRDefault="00013B66" w:rsidP="004C00C0">
      <w:pPr>
        <w:pStyle w:val="FootnoteText"/>
        <w:spacing w:after="120"/>
        <w:rPr>
          <w:rFonts w:ascii="Times New Roman" w:hAnsi="Times New Roman"/>
        </w:rPr>
      </w:pPr>
      <w:r w:rsidRPr="001F3848">
        <w:rPr>
          <w:rStyle w:val="FootnoteReference"/>
          <w:rFonts w:ascii="Times New Roman" w:hAnsi="Times New Roman"/>
        </w:rPr>
        <w:footnoteRef/>
      </w:r>
      <w:r w:rsidRPr="001F3848">
        <w:rPr>
          <w:rFonts w:ascii="Times New Roman" w:hAnsi="Times New Roman"/>
        </w:rPr>
        <w:t xml:space="preserve"> </w:t>
      </w:r>
      <w:r w:rsidR="00B651AC">
        <w:rPr>
          <w:rFonts w:ascii="Times New Roman" w:hAnsi="Times New Roman"/>
        </w:rPr>
        <w:t xml:space="preserve">Letter from Matthew A. Brill, NCTA to Marlene H. Dortch, FCC, GN Docket Nos. 14-28 &amp; 10-127 </w:t>
      </w:r>
      <w:r w:rsidR="00B651AC" w:rsidRPr="001F3848">
        <w:rPr>
          <w:rFonts w:ascii="Times New Roman" w:hAnsi="Times New Roman"/>
        </w:rPr>
        <w:t xml:space="preserve">at </w:t>
      </w:r>
      <w:r w:rsidR="00B651AC">
        <w:rPr>
          <w:rFonts w:ascii="Times New Roman" w:hAnsi="Times New Roman"/>
        </w:rPr>
        <w:t>5 (filed Feb. 20, 2015) (</w:t>
      </w:r>
      <w:r w:rsidRPr="001F3848">
        <w:rPr>
          <w:rFonts w:ascii="Times New Roman" w:hAnsi="Times New Roman"/>
        </w:rPr>
        <w:t>NCTA Feb. 20, 2015 Ex Parte Letter</w:t>
      </w:r>
      <w:r w:rsidR="00B651AC">
        <w:rPr>
          <w:rFonts w:ascii="Times New Roman" w:hAnsi="Times New Roman"/>
        </w:rPr>
        <w:t>),</w:t>
      </w:r>
      <w:r w:rsidRPr="001F3848">
        <w:rPr>
          <w:rFonts w:ascii="Times New Roman" w:hAnsi="Times New Roman"/>
        </w:rPr>
        <w:t xml:space="preserve"> </w:t>
      </w:r>
      <w:r w:rsidR="00B651AC" w:rsidRPr="001F3848">
        <w:rPr>
          <w:rFonts w:ascii="Times New Roman" w:hAnsi="Times New Roman"/>
        </w:rPr>
        <w:t xml:space="preserve">http://apps.fcc.gov/ecfs/document/view?id=60001031778 </w:t>
      </w:r>
      <w:r w:rsidRPr="001F3848">
        <w:rPr>
          <w:rFonts w:ascii="Times New Roman" w:hAnsi="Times New Roman"/>
        </w:rPr>
        <w:t>(“Private suits and damages awards have never been necessary to protect broadband consumers in the past, and leaving these two provisions in place would be immensely destabilizing to the broa</w:t>
      </w:r>
      <w:r w:rsidR="00577DBF">
        <w:rPr>
          <w:rFonts w:ascii="Times New Roman" w:hAnsi="Times New Roman"/>
        </w:rPr>
        <w:t>dband industry.…</w:t>
      </w:r>
      <w:r w:rsidRPr="001F3848">
        <w:rPr>
          <w:rFonts w:ascii="Times New Roman" w:hAnsi="Times New Roman"/>
        </w:rPr>
        <w:t xml:space="preserve">The Commission is all too familiar with the growing trend of class action lawsuits that aim to capitalize on ambiguities in the Commission’s rulings—most notably in the context of the Telephone Consumer Protection Act (‘TCPA’). </w:t>
      </w:r>
      <w:r w:rsidR="00B651AC">
        <w:rPr>
          <w:rFonts w:ascii="Times New Roman" w:hAnsi="Times New Roman"/>
        </w:rPr>
        <w:t xml:space="preserve"> </w:t>
      </w:r>
      <w:r w:rsidRPr="001F3848">
        <w:rPr>
          <w:rFonts w:ascii="Times New Roman" w:hAnsi="Times New Roman"/>
        </w:rPr>
        <w:t xml:space="preserve">A regime that exposes the broadband industry to similar threats of abusive litigation would be anything but ‘light touch,’ and could be particularly devastating for smaller ISPs, many of which cannot afford the cost of litigating or settling class action lawsuits.”) (internal citation omitted).  </w:t>
      </w:r>
    </w:p>
  </w:footnote>
  <w:footnote w:id="34">
    <w:p w:rsidR="00225021" w:rsidRPr="00B651AC" w:rsidRDefault="00225021" w:rsidP="004C00C0">
      <w:pPr>
        <w:pStyle w:val="FootnoteText"/>
        <w:spacing w:after="120"/>
        <w:rPr>
          <w:rFonts w:ascii="Times New Roman" w:hAnsi="Times New Roman"/>
        </w:rPr>
      </w:pPr>
      <w:r w:rsidRPr="00B651AC">
        <w:rPr>
          <w:rStyle w:val="FootnoteReference"/>
          <w:rFonts w:ascii="Times New Roman" w:hAnsi="Times New Roman"/>
        </w:rPr>
        <w:footnoteRef/>
      </w:r>
      <w:r w:rsidRPr="00B651AC">
        <w:rPr>
          <w:rFonts w:ascii="Times New Roman" w:hAnsi="Times New Roman"/>
        </w:rPr>
        <w:t xml:space="preserve"> </w:t>
      </w:r>
      <w:r w:rsidR="00B651AC" w:rsidRPr="00B651AC">
        <w:rPr>
          <w:rFonts w:ascii="Times New Roman" w:hAnsi="Times New Roman"/>
        </w:rPr>
        <w:t xml:space="preserve">Electronic Frontier Foundation, </w:t>
      </w:r>
      <w:r w:rsidR="00B651AC" w:rsidRPr="00B651AC">
        <w:rPr>
          <w:rFonts w:ascii="Times New Roman" w:hAnsi="Times New Roman"/>
          <w:bCs/>
          <w:i/>
          <w:color w:val="000000"/>
        </w:rPr>
        <w:t>Dear FCC: Rethink The Vague “General Conduct” Rule</w:t>
      </w:r>
      <w:r w:rsidR="00B651AC">
        <w:rPr>
          <w:rFonts w:ascii="Times New Roman" w:hAnsi="Times New Roman"/>
          <w:bCs/>
          <w:color w:val="000000"/>
        </w:rPr>
        <w:t xml:space="preserve"> (Feb. 24, 2015)</w:t>
      </w:r>
      <w:r w:rsidRPr="00B651AC">
        <w:rPr>
          <w:rFonts w:ascii="Times New Roman" w:hAnsi="Times New Roman"/>
        </w:rPr>
        <w:t>, https://www.eff.org/deeplinks/2015/02/dear-fcc-rethink-those-vague-general-conduct-rules.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F8" w:rsidRDefault="00226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F8" w:rsidRDefault="00226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F8" w:rsidRDefault="00226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C2"/>
    <w:rsid w:val="00013B66"/>
    <w:rsid w:val="000272C5"/>
    <w:rsid w:val="000504B0"/>
    <w:rsid w:val="00052E2E"/>
    <w:rsid w:val="000674DE"/>
    <w:rsid w:val="00072D79"/>
    <w:rsid w:val="00074ED3"/>
    <w:rsid w:val="00087ADC"/>
    <w:rsid w:val="000A382B"/>
    <w:rsid w:val="000A4505"/>
    <w:rsid w:val="000A6B67"/>
    <w:rsid w:val="000C200F"/>
    <w:rsid w:val="000D2F48"/>
    <w:rsid w:val="000D49AA"/>
    <w:rsid w:val="000F2D0E"/>
    <w:rsid w:val="00102FA7"/>
    <w:rsid w:val="0010592A"/>
    <w:rsid w:val="00121B42"/>
    <w:rsid w:val="0013115F"/>
    <w:rsid w:val="00144CB0"/>
    <w:rsid w:val="001806DF"/>
    <w:rsid w:val="00191B4A"/>
    <w:rsid w:val="00195D5F"/>
    <w:rsid w:val="001B5275"/>
    <w:rsid w:val="001B5ED5"/>
    <w:rsid w:val="001B6918"/>
    <w:rsid w:val="001C234C"/>
    <w:rsid w:val="001C48C0"/>
    <w:rsid w:val="001E06F6"/>
    <w:rsid w:val="001F3848"/>
    <w:rsid w:val="001F4644"/>
    <w:rsid w:val="001F491E"/>
    <w:rsid w:val="00201E4A"/>
    <w:rsid w:val="00202288"/>
    <w:rsid w:val="00203C97"/>
    <w:rsid w:val="002145E4"/>
    <w:rsid w:val="00216652"/>
    <w:rsid w:val="00216BA9"/>
    <w:rsid w:val="00225021"/>
    <w:rsid w:val="00226FF8"/>
    <w:rsid w:val="00235E56"/>
    <w:rsid w:val="00246116"/>
    <w:rsid w:val="002461D1"/>
    <w:rsid w:val="00254111"/>
    <w:rsid w:val="0027753D"/>
    <w:rsid w:val="0028316B"/>
    <w:rsid w:val="00295BEE"/>
    <w:rsid w:val="002A3D08"/>
    <w:rsid w:val="002B63FA"/>
    <w:rsid w:val="002E4E39"/>
    <w:rsid w:val="002F0765"/>
    <w:rsid w:val="00305C6D"/>
    <w:rsid w:val="003328F1"/>
    <w:rsid w:val="00336FCE"/>
    <w:rsid w:val="00340E04"/>
    <w:rsid w:val="00355A29"/>
    <w:rsid w:val="00363D99"/>
    <w:rsid w:val="003932AF"/>
    <w:rsid w:val="003A214C"/>
    <w:rsid w:val="003A42F6"/>
    <w:rsid w:val="003B3CDE"/>
    <w:rsid w:val="003B6CF7"/>
    <w:rsid w:val="003B7BE2"/>
    <w:rsid w:val="003C1B08"/>
    <w:rsid w:val="003C3F69"/>
    <w:rsid w:val="003F2963"/>
    <w:rsid w:val="00400090"/>
    <w:rsid w:val="00412932"/>
    <w:rsid w:val="00422E67"/>
    <w:rsid w:val="004376AC"/>
    <w:rsid w:val="00441486"/>
    <w:rsid w:val="00460732"/>
    <w:rsid w:val="00471958"/>
    <w:rsid w:val="00472C42"/>
    <w:rsid w:val="00485F20"/>
    <w:rsid w:val="00494059"/>
    <w:rsid w:val="004A2D61"/>
    <w:rsid w:val="004C00C0"/>
    <w:rsid w:val="004C541F"/>
    <w:rsid w:val="004D0715"/>
    <w:rsid w:val="004D7466"/>
    <w:rsid w:val="004F1EDB"/>
    <w:rsid w:val="004F268B"/>
    <w:rsid w:val="004F26BD"/>
    <w:rsid w:val="004F6B4C"/>
    <w:rsid w:val="00504A71"/>
    <w:rsid w:val="00522E0E"/>
    <w:rsid w:val="00523714"/>
    <w:rsid w:val="0053701D"/>
    <w:rsid w:val="005418D3"/>
    <w:rsid w:val="00553CF9"/>
    <w:rsid w:val="00560932"/>
    <w:rsid w:val="00560CB1"/>
    <w:rsid w:val="00577DBF"/>
    <w:rsid w:val="005A32F5"/>
    <w:rsid w:val="005A6CB0"/>
    <w:rsid w:val="005B01F6"/>
    <w:rsid w:val="005D44F0"/>
    <w:rsid w:val="005D4754"/>
    <w:rsid w:val="005D5827"/>
    <w:rsid w:val="005D6DD1"/>
    <w:rsid w:val="005E0059"/>
    <w:rsid w:val="005E0D97"/>
    <w:rsid w:val="005E498D"/>
    <w:rsid w:val="005E5130"/>
    <w:rsid w:val="00643D0E"/>
    <w:rsid w:val="00645D3C"/>
    <w:rsid w:val="00670796"/>
    <w:rsid w:val="00684EC8"/>
    <w:rsid w:val="0069123A"/>
    <w:rsid w:val="00694250"/>
    <w:rsid w:val="006A1241"/>
    <w:rsid w:val="006A13AF"/>
    <w:rsid w:val="006A3AA8"/>
    <w:rsid w:val="006A7E31"/>
    <w:rsid w:val="006B7986"/>
    <w:rsid w:val="006C5CD2"/>
    <w:rsid w:val="006D2654"/>
    <w:rsid w:val="006E4052"/>
    <w:rsid w:val="00706349"/>
    <w:rsid w:val="00726AAD"/>
    <w:rsid w:val="00726B26"/>
    <w:rsid w:val="00735E9E"/>
    <w:rsid w:val="00747C6A"/>
    <w:rsid w:val="00753278"/>
    <w:rsid w:val="00754B01"/>
    <w:rsid w:val="007628FC"/>
    <w:rsid w:val="00767A33"/>
    <w:rsid w:val="00773AA7"/>
    <w:rsid w:val="00773B1A"/>
    <w:rsid w:val="00776CA1"/>
    <w:rsid w:val="00776F38"/>
    <w:rsid w:val="00780926"/>
    <w:rsid w:val="007812F8"/>
    <w:rsid w:val="00781317"/>
    <w:rsid w:val="007A7AC4"/>
    <w:rsid w:val="007C44BD"/>
    <w:rsid w:val="007C7558"/>
    <w:rsid w:val="007D429E"/>
    <w:rsid w:val="007E5F24"/>
    <w:rsid w:val="00804656"/>
    <w:rsid w:val="008134E3"/>
    <w:rsid w:val="00821677"/>
    <w:rsid w:val="008267B0"/>
    <w:rsid w:val="00847697"/>
    <w:rsid w:val="0085598C"/>
    <w:rsid w:val="00874D87"/>
    <w:rsid w:val="00875873"/>
    <w:rsid w:val="00876658"/>
    <w:rsid w:val="00890F77"/>
    <w:rsid w:val="008A22AF"/>
    <w:rsid w:val="008A3625"/>
    <w:rsid w:val="008B0E99"/>
    <w:rsid w:val="008B463F"/>
    <w:rsid w:val="008D7271"/>
    <w:rsid w:val="008E6FD3"/>
    <w:rsid w:val="008F296E"/>
    <w:rsid w:val="0090007E"/>
    <w:rsid w:val="009040AA"/>
    <w:rsid w:val="00916B84"/>
    <w:rsid w:val="009320EA"/>
    <w:rsid w:val="00936EA3"/>
    <w:rsid w:val="00940D32"/>
    <w:rsid w:val="0095638A"/>
    <w:rsid w:val="00964209"/>
    <w:rsid w:val="00965D35"/>
    <w:rsid w:val="00974526"/>
    <w:rsid w:val="00986BCA"/>
    <w:rsid w:val="00995FB9"/>
    <w:rsid w:val="009A2E5F"/>
    <w:rsid w:val="009B0D19"/>
    <w:rsid w:val="009B1849"/>
    <w:rsid w:val="009C324C"/>
    <w:rsid w:val="009C69B1"/>
    <w:rsid w:val="009E1DC4"/>
    <w:rsid w:val="009E7D73"/>
    <w:rsid w:val="009F39E2"/>
    <w:rsid w:val="00A275F6"/>
    <w:rsid w:val="00A41809"/>
    <w:rsid w:val="00A43359"/>
    <w:rsid w:val="00A51702"/>
    <w:rsid w:val="00A56DD7"/>
    <w:rsid w:val="00A7204A"/>
    <w:rsid w:val="00A94BD0"/>
    <w:rsid w:val="00A9621F"/>
    <w:rsid w:val="00AB28C6"/>
    <w:rsid w:val="00AB624C"/>
    <w:rsid w:val="00AB68A1"/>
    <w:rsid w:val="00AC2BAF"/>
    <w:rsid w:val="00AC428C"/>
    <w:rsid w:val="00AC6119"/>
    <w:rsid w:val="00AD76E6"/>
    <w:rsid w:val="00AE1E8A"/>
    <w:rsid w:val="00AE5E47"/>
    <w:rsid w:val="00AE7D07"/>
    <w:rsid w:val="00B02E62"/>
    <w:rsid w:val="00B02F51"/>
    <w:rsid w:val="00B03349"/>
    <w:rsid w:val="00B14023"/>
    <w:rsid w:val="00B36B74"/>
    <w:rsid w:val="00B40F55"/>
    <w:rsid w:val="00B46295"/>
    <w:rsid w:val="00B506B4"/>
    <w:rsid w:val="00B550A3"/>
    <w:rsid w:val="00B56C2E"/>
    <w:rsid w:val="00B62BF8"/>
    <w:rsid w:val="00B638A4"/>
    <w:rsid w:val="00B651AC"/>
    <w:rsid w:val="00B91559"/>
    <w:rsid w:val="00B94700"/>
    <w:rsid w:val="00BE164A"/>
    <w:rsid w:val="00BF4FC7"/>
    <w:rsid w:val="00C04DAE"/>
    <w:rsid w:val="00C121C3"/>
    <w:rsid w:val="00C21DF0"/>
    <w:rsid w:val="00C410A1"/>
    <w:rsid w:val="00C41831"/>
    <w:rsid w:val="00C640C2"/>
    <w:rsid w:val="00C83605"/>
    <w:rsid w:val="00CA0D22"/>
    <w:rsid w:val="00CA1A7F"/>
    <w:rsid w:val="00CB0125"/>
    <w:rsid w:val="00CD597A"/>
    <w:rsid w:val="00CE44EA"/>
    <w:rsid w:val="00CF6662"/>
    <w:rsid w:val="00D13B33"/>
    <w:rsid w:val="00D178AB"/>
    <w:rsid w:val="00D3498B"/>
    <w:rsid w:val="00D4014E"/>
    <w:rsid w:val="00D423F5"/>
    <w:rsid w:val="00D54F7C"/>
    <w:rsid w:val="00D568DB"/>
    <w:rsid w:val="00D65B8C"/>
    <w:rsid w:val="00D755CA"/>
    <w:rsid w:val="00D80223"/>
    <w:rsid w:val="00D97F81"/>
    <w:rsid w:val="00DA4423"/>
    <w:rsid w:val="00DA5FDC"/>
    <w:rsid w:val="00DC1401"/>
    <w:rsid w:val="00DC4A69"/>
    <w:rsid w:val="00DD5DD7"/>
    <w:rsid w:val="00E36A83"/>
    <w:rsid w:val="00E5277D"/>
    <w:rsid w:val="00E60F12"/>
    <w:rsid w:val="00E61A91"/>
    <w:rsid w:val="00E67977"/>
    <w:rsid w:val="00E76826"/>
    <w:rsid w:val="00E81CF3"/>
    <w:rsid w:val="00E84B98"/>
    <w:rsid w:val="00EB2275"/>
    <w:rsid w:val="00EB58BA"/>
    <w:rsid w:val="00EB5FA9"/>
    <w:rsid w:val="00ED5973"/>
    <w:rsid w:val="00EE2E35"/>
    <w:rsid w:val="00F02235"/>
    <w:rsid w:val="00F02BC2"/>
    <w:rsid w:val="00F04E34"/>
    <w:rsid w:val="00F0747A"/>
    <w:rsid w:val="00F2700D"/>
    <w:rsid w:val="00F33261"/>
    <w:rsid w:val="00F4674D"/>
    <w:rsid w:val="00F62322"/>
    <w:rsid w:val="00F637F8"/>
    <w:rsid w:val="00F66B7B"/>
    <w:rsid w:val="00F751B2"/>
    <w:rsid w:val="00F833D1"/>
    <w:rsid w:val="00F85C93"/>
    <w:rsid w:val="00F87177"/>
    <w:rsid w:val="00F946B7"/>
    <w:rsid w:val="00F97003"/>
    <w:rsid w:val="00FB1196"/>
    <w:rsid w:val="00FB34C7"/>
    <w:rsid w:val="00FB5E30"/>
    <w:rsid w:val="00FB61A0"/>
    <w:rsid w:val="00FE3AB5"/>
    <w:rsid w:val="00FF0220"/>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93"/>
    <w:pPr>
      <w:spacing w:after="0" w:line="240" w:lineRule="auto"/>
    </w:pPr>
    <w:rPr>
      <w:rFonts w:ascii="Calibri" w:hAnsi="Calibri" w:cs="Times New Roman"/>
    </w:rPr>
  </w:style>
  <w:style w:type="paragraph" w:styleId="Heading2">
    <w:name w:val="heading 2"/>
    <w:basedOn w:val="Normal"/>
    <w:link w:val="Heading2Char"/>
    <w:uiPriority w:val="9"/>
    <w:qFormat/>
    <w:rsid w:val="007628F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9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C5CD2"/>
  </w:style>
  <w:style w:type="character" w:customStyle="1" w:styleId="searchterm">
    <w:name w:val="searchterm"/>
    <w:basedOn w:val="DefaultParagraphFont"/>
    <w:rsid w:val="006C5CD2"/>
  </w:style>
  <w:style w:type="paragraph" w:styleId="FootnoteText">
    <w:name w:val="footnote text"/>
    <w:basedOn w:val="Normal"/>
    <w:link w:val="FootnoteTextChar"/>
    <w:uiPriority w:val="99"/>
    <w:semiHidden/>
    <w:unhideWhenUsed/>
    <w:rsid w:val="006C5CD2"/>
    <w:rPr>
      <w:sz w:val="20"/>
      <w:szCs w:val="20"/>
    </w:rPr>
  </w:style>
  <w:style w:type="character" w:customStyle="1" w:styleId="FootnoteTextChar">
    <w:name w:val="Footnote Text Char"/>
    <w:basedOn w:val="DefaultParagraphFont"/>
    <w:link w:val="FootnoteText"/>
    <w:uiPriority w:val="99"/>
    <w:semiHidden/>
    <w:rsid w:val="006C5CD2"/>
    <w:rPr>
      <w:rFonts w:ascii="Calibri" w:hAnsi="Calibri" w:cs="Times New Roman"/>
      <w:sz w:val="20"/>
      <w:szCs w:val="20"/>
    </w:rPr>
  </w:style>
  <w:style w:type="character" w:styleId="FootnoteReference">
    <w:name w:val="footnote reference"/>
    <w:basedOn w:val="DefaultParagraphFont"/>
    <w:uiPriority w:val="99"/>
    <w:semiHidden/>
    <w:unhideWhenUsed/>
    <w:rsid w:val="006C5CD2"/>
    <w:rPr>
      <w:vertAlign w:val="superscript"/>
    </w:rPr>
  </w:style>
  <w:style w:type="character" w:styleId="Hyperlink">
    <w:name w:val="Hyperlink"/>
    <w:basedOn w:val="DefaultParagraphFont"/>
    <w:uiPriority w:val="99"/>
    <w:unhideWhenUsed/>
    <w:rsid w:val="001B6918"/>
    <w:rPr>
      <w:color w:val="0000FF" w:themeColor="hyperlink"/>
      <w:u w:val="single"/>
    </w:rPr>
  </w:style>
  <w:style w:type="character" w:customStyle="1" w:styleId="enumbell">
    <w:name w:val="enumbell"/>
    <w:basedOn w:val="DefaultParagraphFont"/>
    <w:rsid w:val="001B5275"/>
  </w:style>
  <w:style w:type="character" w:customStyle="1" w:styleId="Heading2Char">
    <w:name w:val="Heading 2 Char"/>
    <w:basedOn w:val="DefaultParagraphFont"/>
    <w:link w:val="Heading2"/>
    <w:uiPriority w:val="9"/>
    <w:rsid w:val="007628F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A4423"/>
    <w:rPr>
      <w:rFonts w:ascii="Tahoma" w:hAnsi="Tahoma" w:cs="Tahoma"/>
      <w:sz w:val="16"/>
      <w:szCs w:val="16"/>
    </w:rPr>
  </w:style>
  <w:style w:type="character" w:customStyle="1" w:styleId="BalloonTextChar">
    <w:name w:val="Balloon Text Char"/>
    <w:basedOn w:val="DefaultParagraphFont"/>
    <w:link w:val="BalloonText"/>
    <w:uiPriority w:val="99"/>
    <w:semiHidden/>
    <w:rsid w:val="00DA4423"/>
    <w:rPr>
      <w:rFonts w:ascii="Tahoma" w:hAnsi="Tahoma" w:cs="Tahoma"/>
      <w:sz w:val="16"/>
      <w:szCs w:val="16"/>
    </w:rPr>
  </w:style>
  <w:style w:type="paragraph" w:styleId="Header">
    <w:name w:val="header"/>
    <w:basedOn w:val="Normal"/>
    <w:link w:val="HeaderChar"/>
    <w:uiPriority w:val="99"/>
    <w:unhideWhenUsed/>
    <w:rsid w:val="009040AA"/>
    <w:pPr>
      <w:tabs>
        <w:tab w:val="center" w:pos="4680"/>
        <w:tab w:val="right" w:pos="9360"/>
      </w:tabs>
    </w:pPr>
  </w:style>
  <w:style w:type="character" w:customStyle="1" w:styleId="HeaderChar">
    <w:name w:val="Header Char"/>
    <w:basedOn w:val="DefaultParagraphFont"/>
    <w:link w:val="Header"/>
    <w:uiPriority w:val="99"/>
    <w:rsid w:val="009040AA"/>
    <w:rPr>
      <w:rFonts w:ascii="Calibri" w:hAnsi="Calibri" w:cs="Times New Roman"/>
    </w:rPr>
  </w:style>
  <w:style w:type="paragraph" w:styleId="Footer">
    <w:name w:val="footer"/>
    <w:basedOn w:val="Normal"/>
    <w:link w:val="FooterChar"/>
    <w:uiPriority w:val="99"/>
    <w:unhideWhenUsed/>
    <w:rsid w:val="009040AA"/>
    <w:pPr>
      <w:tabs>
        <w:tab w:val="center" w:pos="4680"/>
        <w:tab w:val="right" w:pos="9360"/>
      </w:tabs>
    </w:pPr>
  </w:style>
  <w:style w:type="character" w:customStyle="1" w:styleId="FooterChar">
    <w:name w:val="Footer Char"/>
    <w:basedOn w:val="DefaultParagraphFont"/>
    <w:link w:val="Footer"/>
    <w:uiPriority w:val="99"/>
    <w:rsid w:val="009040AA"/>
    <w:rPr>
      <w:rFonts w:ascii="Calibri" w:hAnsi="Calibri" w:cs="Times New Roman"/>
    </w:rPr>
  </w:style>
  <w:style w:type="paragraph" w:styleId="EndnoteText">
    <w:name w:val="endnote text"/>
    <w:basedOn w:val="Normal"/>
    <w:link w:val="EndnoteTextChar"/>
    <w:uiPriority w:val="99"/>
    <w:semiHidden/>
    <w:unhideWhenUsed/>
    <w:rsid w:val="00577DBF"/>
    <w:rPr>
      <w:sz w:val="20"/>
      <w:szCs w:val="20"/>
    </w:rPr>
  </w:style>
  <w:style w:type="character" w:customStyle="1" w:styleId="EndnoteTextChar">
    <w:name w:val="Endnote Text Char"/>
    <w:basedOn w:val="DefaultParagraphFont"/>
    <w:link w:val="EndnoteText"/>
    <w:uiPriority w:val="99"/>
    <w:semiHidden/>
    <w:rsid w:val="00577DBF"/>
    <w:rPr>
      <w:rFonts w:ascii="Calibri" w:hAnsi="Calibri" w:cs="Times New Roman"/>
      <w:sz w:val="20"/>
      <w:szCs w:val="20"/>
    </w:rPr>
  </w:style>
  <w:style w:type="character" w:styleId="EndnoteReference">
    <w:name w:val="endnote reference"/>
    <w:basedOn w:val="DefaultParagraphFont"/>
    <w:uiPriority w:val="99"/>
    <w:semiHidden/>
    <w:unhideWhenUsed/>
    <w:rsid w:val="00577DBF"/>
    <w:rPr>
      <w:vertAlign w:val="superscript"/>
    </w:rPr>
  </w:style>
  <w:style w:type="character" w:styleId="CommentReference">
    <w:name w:val="annotation reference"/>
    <w:basedOn w:val="DefaultParagraphFont"/>
    <w:uiPriority w:val="99"/>
    <w:semiHidden/>
    <w:unhideWhenUsed/>
    <w:rsid w:val="002E4E39"/>
    <w:rPr>
      <w:sz w:val="16"/>
      <w:szCs w:val="16"/>
    </w:rPr>
  </w:style>
  <w:style w:type="paragraph" w:styleId="CommentText">
    <w:name w:val="annotation text"/>
    <w:basedOn w:val="Normal"/>
    <w:link w:val="CommentTextChar"/>
    <w:uiPriority w:val="99"/>
    <w:semiHidden/>
    <w:unhideWhenUsed/>
    <w:rsid w:val="002E4E39"/>
    <w:rPr>
      <w:sz w:val="20"/>
      <w:szCs w:val="20"/>
    </w:rPr>
  </w:style>
  <w:style w:type="character" w:customStyle="1" w:styleId="CommentTextChar">
    <w:name w:val="Comment Text Char"/>
    <w:basedOn w:val="DefaultParagraphFont"/>
    <w:link w:val="CommentText"/>
    <w:uiPriority w:val="99"/>
    <w:semiHidden/>
    <w:rsid w:val="002E4E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E39"/>
    <w:rPr>
      <w:b/>
      <w:bCs/>
    </w:rPr>
  </w:style>
  <w:style w:type="character" w:customStyle="1" w:styleId="CommentSubjectChar">
    <w:name w:val="Comment Subject Char"/>
    <w:basedOn w:val="CommentTextChar"/>
    <w:link w:val="CommentSubject"/>
    <w:uiPriority w:val="99"/>
    <w:semiHidden/>
    <w:rsid w:val="002E4E39"/>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93"/>
    <w:pPr>
      <w:spacing w:after="0" w:line="240" w:lineRule="auto"/>
    </w:pPr>
    <w:rPr>
      <w:rFonts w:ascii="Calibri" w:hAnsi="Calibri" w:cs="Times New Roman"/>
    </w:rPr>
  </w:style>
  <w:style w:type="paragraph" w:styleId="Heading2">
    <w:name w:val="heading 2"/>
    <w:basedOn w:val="Normal"/>
    <w:link w:val="Heading2Char"/>
    <w:uiPriority w:val="9"/>
    <w:qFormat/>
    <w:rsid w:val="007628F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9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C5CD2"/>
  </w:style>
  <w:style w:type="character" w:customStyle="1" w:styleId="searchterm">
    <w:name w:val="searchterm"/>
    <w:basedOn w:val="DefaultParagraphFont"/>
    <w:rsid w:val="006C5CD2"/>
  </w:style>
  <w:style w:type="paragraph" w:styleId="FootnoteText">
    <w:name w:val="footnote text"/>
    <w:basedOn w:val="Normal"/>
    <w:link w:val="FootnoteTextChar"/>
    <w:uiPriority w:val="99"/>
    <w:semiHidden/>
    <w:unhideWhenUsed/>
    <w:rsid w:val="006C5CD2"/>
    <w:rPr>
      <w:sz w:val="20"/>
      <w:szCs w:val="20"/>
    </w:rPr>
  </w:style>
  <w:style w:type="character" w:customStyle="1" w:styleId="FootnoteTextChar">
    <w:name w:val="Footnote Text Char"/>
    <w:basedOn w:val="DefaultParagraphFont"/>
    <w:link w:val="FootnoteText"/>
    <w:uiPriority w:val="99"/>
    <w:semiHidden/>
    <w:rsid w:val="006C5CD2"/>
    <w:rPr>
      <w:rFonts w:ascii="Calibri" w:hAnsi="Calibri" w:cs="Times New Roman"/>
      <w:sz w:val="20"/>
      <w:szCs w:val="20"/>
    </w:rPr>
  </w:style>
  <w:style w:type="character" w:styleId="FootnoteReference">
    <w:name w:val="footnote reference"/>
    <w:basedOn w:val="DefaultParagraphFont"/>
    <w:uiPriority w:val="99"/>
    <w:semiHidden/>
    <w:unhideWhenUsed/>
    <w:rsid w:val="006C5CD2"/>
    <w:rPr>
      <w:vertAlign w:val="superscript"/>
    </w:rPr>
  </w:style>
  <w:style w:type="character" w:styleId="Hyperlink">
    <w:name w:val="Hyperlink"/>
    <w:basedOn w:val="DefaultParagraphFont"/>
    <w:uiPriority w:val="99"/>
    <w:unhideWhenUsed/>
    <w:rsid w:val="001B6918"/>
    <w:rPr>
      <w:color w:val="0000FF" w:themeColor="hyperlink"/>
      <w:u w:val="single"/>
    </w:rPr>
  </w:style>
  <w:style w:type="character" w:customStyle="1" w:styleId="enumbell">
    <w:name w:val="enumbell"/>
    <w:basedOn w:val="DefaultParagraphFont"/>
    <w:rsid w:val="001B5275"/>
  </w:style>
  <w:style w:type="character" w:customStyle="1" w:styleId="Heading2Char">
    <w:name w:val="Heading 2 Char"/>
    <w:basedOn w:val="DefaultParagraphFont"/>
    <w:link w:val="Heading2"/>
    <w:uiPriority w:val="9"/>
    <w:rsid w:val="007628F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A4423"/>
    <w:rPr>
      <w:rFonts w:ascii="Tahoma" w:hAnsi="Tahoma" w:cs="Tahoma"/>
      <w:sz w:val="16"/>
      <w:szCs w:val="16"/>
    </w:rPr>
  </w:style>
  <w:style w:type="character" w:customStyle="1" w:styleId="BalloonTextChar">
    <w:name w:val="Balloon Text Char"/>
    <w:basedOn w:val="DefaultParagraphFont"/>
    <w:link w:val="BalloonText"/>
    <w:uiPriority w:val="99"/>
    <w:semiHidden/>
    <w:rsid w:val="00DA4423"/>
    <w:rPr>
      <w:rFonts w:ascii="Tahoma" w:hAnsi="Tahoma" w:cs="Tahoma"/>
      <w:sz w:val="16"/>
      <w:szCs w:val="16"/>
    </w:rPr>
  </w:style>
  <w:style w:type="paragraph" w:styleId="Header">
    <w:name w:val="header"/>
    <w:basedOn w:val="Normal"/>
    <w:link w:val="HeaderChar"/>
    <w:uiPriority w:val="99"/>
    <w:unhideWhenUsed/>
    <w:rsid w:val="009040AA"/>
    <w:pPr>
      <w:tabs>
        <w:tab w:val="center" w:pos="4680"/>
        <w:tab w:val="right" w:pos="9360"/>
      </w:tabs>
    </w:pPr>
  </w:style>
  <w:style w:type="character" w:customStyle="1" w:styleId="HeaderChar">
    <w:name w:val="Header Char"/>
    <w:basedOn w:val="DefaultParagraphFont"/>
    <w:link w:val="Header"/>
    <w:uiPriority w:val="99"/>
    <w:rsid w:val="009040AA"/>
    <w:rPr>
      <w:rFonts w:ascii="Calibri" w:hAnsi="Calibri" w:cs="Times New Roman"/>
    </w:rPr>
  </w:style>
  <w:style w:type="paragraph" w:styleId="Footer">
    <w:name w:val="footer"/>
    <w:basedOn w:val="Normal"/>
    <w:link w:val="FooterChar"/>
    <w:uiPriority w:val="99"/>
    <w:unhideWhenUsed/>
    <w:rsid w:val="009040AA"/>
    <w:pPr>
      <w:tabs>
        <w:tab w:val="center" w:pos="4680"/>
        <w:tab w:val="right" w:pos="9360"/>
      </w:tabs>
    </w:pPr>
  </w:style>
  <w:style w:type="character" w:customStyle="1" w:styleId="FooterChar">
    <w:name w:val="Footer Char"/>
    <w:basedOn w:val="DefaultParagraphFont"/>
    <w:link w:val="Footer"/>
    <w:uiPriority w:val="99"/>
    <w:rsid w:val="009040AA"/>
    <w:rPr>
      <w:rFonts w:ascii="Calibri" w:hAnsi="Calibri" w:cs="Times New Roman"/>
    </w:rPr>
  </w:style>
  <w:style w:type="paragraph" w:styleId="EndnoteText">
    <w:name w:val="endnote text"/>
    <w:basedOn w:val="Normal"/>
    <w:link w:val="EndnoteTextChar"/>
    <w:uiPriority w:val="99"/>
    <w:semiHidden/>
    <w:unhideWhenUsed/>
    <w:rsid w:val="00577DBF"/>
    <w:rPr>
      <w:sz w:val="20"/>
      <w:szCs w:val="20"/>
    </w:rPr>
  </w:style>
  <w:style w:type="character" w:customStyle="1" w:styleId="EndnoteTextChar">
    <w:name w:val="Endnote Text Char"/>
    <w:basedOn w:val="DefaultParagraphFont"/>
    <w:link w:val="EndnoteText"/>
    <w:uiPriority w:val="99"/>
    <w:semiHidden/>
    <w:rsid w:val="00577DBF"/>
    <w:rPr>
      <w:rFonts w:ascii="Calibri" w:hAnsi="Calibri" w:cs="Times New Roman"/>
      <w:sz w:val="20"/>
      <w:szCs w:val="20"/>
    </w:rPr>
  </w:style>
  <w:style w:type="character" w:styleId="EndnoteReference">
    <w:name w:val="endnote reference"/>
    <w:basedOn w:val="DefaultParagraphFont"/>
    <w:uiPriority w:val="99"/>
    <w:semiHidden/>
    <w:unhideWhenUsed/>
    <w:rsid w:val="00577DBF"/>
    <w:rPr>
      <w:vertAlign w:val="superscript"/>
    </w:rPr>
  </w:style>
  <w:style w:type="character" w:styleId="CommentReference">
    <w:name w:val="annotation reference"/>
    <w:basedOn w:val="DefaultParagraphFont"/>
    <w:uiPriority w:val="99"/>
    <w:semiHidden/>
    <w:unhideWhenUsed/>
    <w:rsid w:val="002E4E39"/>
    <w:rPr>
      <w:sz w:val="16"/>
      <w:szCs w:val="16"/>
    </w:rPr>
  </w:style>
  <w:style w:type="paragraph" w:styleId="CommentText">
    <w:name w:val="annotation text"/>
    <w:basedOn w:val="Normal"/>
    <w:link w:val="CommentTextChar"/>
    <w:uiPriority w:val="99"/>
    <w:semiHidden/>
    <w:unhideWhenUsed/>
    <w:rsid w:val="002E4E39"/>
    <w:rPr>
      <w:sz w:val="20"/>
      <w:szCs w:val="20"/>
    </w:rPr>
  </w:style>
  <w:style w:type="character" w:customStyle="1" w:styleId="CommentTextChar">
    <w:name w:val="Comment Text Char"/>
    <w:basedOn w:val="DefaultParagraphFont"/>
    <w:link w:val="CommentText"/>
    <w:uiPriority w:val="99"/>
    <w:semiHidden/>
    <w:rsid w:val="002E4E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E39"/>
    <w:rPr>
      <w:b/>
      <w:bCs/>
    </w:rPr>
  </w:style>
  <w:style w:type="character" w:customStyle="1" w:styleId="CommentSubjectChar">
    <w:name w:val="Comment Subject Char"/>
    <w:basedOn w:val="CommentTextChar"/>
    <w:link w:val="CommentSubject"/>
    <w:uiPriority w:val="99"/>
    <w:semiHidden/>
    <w:rsid w:val="002E4E3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4500">
      <w:bodyDiv w:val="1"/>
      <w:marLeft w:val="0"/>
      <w:marRight w:val="0"/>
      <w:marTop w:val="0"/>
      <w:marBottom w:val="0"/>
      <w:divBdr>
        <w:top w:val="none" w:sz="0" w:space="0" w:color="auto"/>
        <w:left w:val="none" w:sz="0" w:space="0" w:color="auto"/>
        <w:bottom w:val="none" w:sz="0" w:space="0" w:color="auto"/>
        <w:right w:val="none" w:sz="0" w:space="0" w:color="auto"/>
      </w:divBdr>
    </w:div>
    <w:div w:id="420679809">
      <w:bodyDiv w:val="1"/>
      <w:marLeft w:val="0"/>
      <w:marRight w:val="0"/>
      <w:marTop w:val="0"/>
      <w:marBottom w:val="0"/>
      <w:divBdr>
        <w:top w:val="none" w:sz="0" w:space="0" w:color="auto"/>
        <w:left w:val="none" w:sz="0" w:space="0" w:color="auto"/>
        <w:bottom w:val="none" w:sz="0" w:space="0" w:color="auto"/>
        <w:right w:val="none" w:sz="0" w:space="0" w:color="auto"/>
      </w:divBdr>
    </w:div>
    <w:div w:id="701128552">
      <w:bodyDiv w:val="1"/>
      <w:marLeft w:val="0"/>
      <w:marRight w:val="0"/>
      <w:marTop w:val="0"/>
      <w:marBottom w:val="0"/>
      <w:divBdr>
        <w:top w:val="none" w:sz="0" w:space="0" w:color="auto"/>
        <w:left w:val="none" w:sz="0" w:space="0" w:color="auto"/>
        <w:bottom w:val="none" w:sz="0" w:space="0" w:color="auto"/>
        <w:right w:val="none" w:sz="0" w:space="0" w:color="auto"/>
      </w:divBdr>
    </w:div>
    <w:div w:id="719983132">
      <w:bodyDiv w:val="1"/>
      <w:marLeft w:val="0"/>
      <w:marRight w:val="0"/>
      <w:marTop w:val="0"/>
      <w:marBottom w:val="0"/>
      <w:divBdr>
        <w:top w:val="none" w:sz="0" w:space="0" w:color="auto"/>
        <w:left w:val="none" w:sz="0" w:space="0" w:color="auto"/>
        <w:bottom w:val="none" w:sz="0" w:space="0" w:color="auto"/>
        <w:right w:val="none" w:sz="0" w:space="0" w:color="auto"/>
      </w:divBdr>
      <w:divsChild>
        <w:div w:id="297952141">
          <w:marLeft w:val="0"/>
          <w:marRight w:val="0"/>
          <w:marTop w:val="0"/>
          <w:marBottom w:val="0"/>
          <w:divBdr>
            <w:top w:val="none" w:sz="0" w:space="0" w:color="auto"/>
            <w:left w:val="none" w:sz="0" w:space="0" w:color="auto"/>
            <w:bottom w:val="none" w:sz="0" w:space="0" w:color="auto"/>
            <w:right w:val="none" w:sz="0" w:space="0" w:color="auto"/>
          </w:divBdr>
        </w:div>
      </w:divsChild>
    </w:div>
    <w:div w:id="1539122757">
      <w:bodyDiv w:val="1"/>
      <w:marLeft w:val="0"/>
      <w:marRight w:val="0"/>
      <w:marTop w:val="0"/>
      <w:marBottom w:val="0"/>
      <w:divBdr>
        <w:top w:val="none" w:sz="0" w:space="0" w:color="auto"/>
        <w:left w:val="none" w:sz="0" w:space="0" w:color="auto"/>
        <w:bottom w:val="none" w:sz="0" w:space="0" w:color="auto"/>
        <w:right w:val="none" w:sz="0" w:space="0" w:color="auto"/>
      </w:divBdr>
    </w:div>
    <w:div w:id="1686860067">
      <w:bodyDiv w:val="1"/>
      <w:marLeft w:val="0"/>
      <w:marRight w:val="0"/>
      <w:marTop w:val="0"/>
      <w:marBottom w:val="0"/>
      <w:divBdr>
        <w:top w:val="none" w:sz="0" w:space="0" w:color="auto"/>
        <w:left w:val="none" w:sz="0" w:space="0" w:color="auto"/>
        <w:bottom w:val="none" w:sz="0" w:space="0" w:color="auto"/>
        <w:right w:val="none" w:sz="0" w:space="0" w:color="auto"/>
      </w:divBdr>
    </w:div>
    <w:div w:id="1857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3368</Words>
  <Characters>18275</Characters>
  <Application>Microsoft Office Word</Application>
  <DocSecurity>0</DocSecurity>
  <Lines>286</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2015-02-26T14:53:00Z</cp:lastPrinted>
  <dcterms:created xsi:type="dcterms:W3CDTF">2015-02-26T21:38:00Z</dcterms:created>
  <dcterms:modified xsi:type="dcterms:W3CDTF">2015-02-26T21:38:00Z</dcterms:modified>
  <cp:category> </cp:category>
  <cp:contentStatus> </cp:contentStatus>
</cp:coreProperties>
</file>