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03BD" w14:textId="7053D56C" w:rsidR="00F14B36" w:rsidRPr="009E1D19" w:rsidRDefault="00F14B36" w:rsidP="00985597">
      <w:pPr>
        <w:tabs>
          <w:tab w:val="left" w:pos="6480"/>
        </w:tabs>
        <w:rPr>
          <w:szCs w:val="22"/>
        </w:rPr>
      </w:pPr>
      <w:bookmarkStart w:id="0" w:name="_GoBack"/>
      <w:bookmarkEnd w:id="0"/>
      <w:r w:rsidRPr="009E1D19">
        <w:rPr>
          <w:b/>
          <w:szCs w:val="22"/>
        </w:rPr>
        <w:t>FOR IMMEDIATE RELEASE</w:t>
      </w:r>
      <w:r w:rsidRPr="009E1D19">
        <w:rPr>
          <w:b/>
          <w:szCs w:val="22"/>
        </w:rPr>
        <w:tab/>
        <w:t>CONTACT</w:t>
      </w:r>
      <w:r w:rsidRPr="009E1D19">
        <w:rPr>
          <w:szCs w:val="22"/>
        </w:rPr>
        <w:t>:</w:t>
      </w:r>
    </w:p>
    <w:p w14:paraId="0BEF3052" w14:textId="25CDA484" w:rsidR="00F14B36" w:rsidRPr="009E1D19" w:rsidRDefault="0034465F" w:rsidP="00985597">
      <w:pPr>
        <w:tabs>
          <w:tab w:val="left" w:pos="6480"/>
        </w:tabs>
        <w:rPr>
          <w:szCs w:val="22"/>
        </w:rPr>
      </w:pPr>
      <w:r>
        <w:rPr>
          <w:szCs w:val="22"/>
        </w:rPr>
        <w:t>March 12</w:t>
      </w:r>
      <w:r w:rsidR="00F14B36" w:rsidRPr="009E1D19">
        <w:rPr>
          <w:szCs w:val="22"/>
        </w:rPr>
        <w:t>, 201</w:t>
      </w:r>
      <w:r w:rsidR="005C54C3">
        <w:rPr>
          <w:szCs w:val="22"/>
        </w:rPr>
        <w:t>5</w:t>
      </w:r>
      <w:r w:rsidR="00F14B36" w:rsidRPr="009E1D19">
        <w:rPr>
          <w:szCs w:val="22"/>
        </w:rPr>
        <w:tab/>
        <w:t>Matthew Berry (202) 418-2005</w:t>
      </w:r>
    </w:p>
    <w:p w14:paraId="721D7847" w14:textId="21138447" w:rsidR="00F14B36" w:rsidRPr="009E1D19" w:rsidRDefault="00F14B36" w:rsidP="00985597">
      <w:pPr>
        <w:tabs>
          <w:tab w:val="left" w:pos="6480"/>
        </w:tabs>
        <w:rPr>
          <w:szCs w:val="22"/>
        </w:rPr>
      </w:pPr>
      <w:r w:rsidRPr="009E1D19">
        <w:rPr>
          <w:szCs w:val="22"/>
        </w:rPr>
        <w:tab/>
        <w:t xml:space="preserve">Email: </w:t>
      </w:r>
      <w:hyperlink r:id="rId8" w:history="1">
        <w:r w:rsidRPr="009E1D19">
          <w:rPr>
            <w:rStyle w:val="Hyperlink"/>
            <w:szCs w:val="22"/>
          </w:rPr>
          <w:t>Matthew.Berry@fcc.gov</w:t>
        </w:r>
      </w:hyperlink>
    </w:p>
    <w:p w14:paraId="6F9C285D" w14:textId="77777777" w:rsidR="00F14B36" w:rsidRPr="009E1D19" w:rsidRDefault="00F14B36" w:rsidP="00F14B36">
      <w:pPr>
        <w:rPr>
          <w:szCs w:val="22"/>
        </w:rPr>
      </w:pPr>
    </w:p>
    <w:p w14:paraId="3429F82F" w14:textId="77777777" w:rsidR="0034465F" w:rsidRDefault="0034465F" w:rsidP="0034465F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LEGAL SUMMARY OF FCC COMMISSIONER AJIT PAI’S</w:t>
      </w:r>
      <w:r>
        <w:rPr>
          <w:b/>
          <w:szCs w:val="22"/>
        </w:rPr>
        <w:br/>
        <w:t>STATEMENT DISSENTING FROM THE FCC’S DECISION TO ADOPT</w:t>
      </w:r>
      <w:r>
        <w:rPr>
          <w:b/>
          <w:szCs w:val="22"/>
        </w:rPr>
        <w:br/>
        <w:t>PRESIDENT OBAMA’S PLAN TO REGULATE THE INTERNET</w:t>
      </w:r>
    </w:p>
    <w:p w14:paraId="4922EB61" w14:textId="77777777" w:rsidR="0034465F" w:rsidRPr="00602871" w:rsidRDefault="0034465F" w:rsidP="0034465F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</w:pPr>
      <w:r>
        <w:rPr>
          <w:b/>
        </w:rPr>
        <w:t>In adopting President Obama’s plan to regulate the Internet, the FCC violated the procedural requirements of the Administrative Procedure Act (APA).</w:t>
      </w:r>
    </w:p>
    <w:p w14:paraId="5BACCCF1" w14:textId="77777777" w:rsidR="0034465F" w:rsidRPr="00B675C0" w:rsidRDefault="0034465F" w:rsidP="0034465F">
      <w:pPr>
        <w:pStyle w:val="ListParagraph"/>
        <w:numPr>
          <w:ilvl w:val="1"/>
          <w:numId w:val="2"/>
        </w:numPr>
        <w:spacing w:after="120"/>
        <w:ind w:left="720"/>
        <w:contextualSpacing w:val="0"/>
      </w:pPr>
      <w:r w:rsidRPr="005E6853">
        <w:rPr>
          <w:b/>
        </w:rPr>
        <w:t xml:space="preserve">The </w:t>
      </w:r>
      <w:r>
        <w:rPr>
          <w:b/>
        </w:rPr>
        <w:t>FCC</w:t>
      </w:r>
      <w:r w:rsidRPr="005E6853">
        <w:rPr>
          <w:b/>
        </w:rPr>
        <w:t xml:space="preserve"> never proposed the rules </w:t>
      </w:r>
      <w:r>
        <w:rPr>
          <w:b/>
        </w:rPr>
        <w:t xml:space="preserve">being </w:t>
      </w:r>
      <w:r w:rsidRPr="005E6853">
        <w:rPr>
          <w:b/>
        </w:rPr>
        <w:t xml:space="preserve">adopted, violating the </w:t>
      </w:r>
      <w:r>
        <w:rPr>
          <w:b/>
        </w:rPr>
        <w:t xml:space="preserve">APA’s </w:t>
      </w:r>
      <w:r w:rsidRPr="005E6853">
        <w:rPr>
          <w:b/>
        </w:rPr>
        <w:t>notice-and-comment requirement</w:t>
      </w:r>
      <w:r w:rsidDel="00CA5B50">
        <w:t>.</w:t>
      </w:r>
      <w:r>
        <w:t xml:space="preserve">  In last year’s </w:t>
      </w:r>
      <w:r w:rsidRPr="0030271C">
        <w:rPr>
          <w:i/>
        </w:rPr>
        <w:t>Notice</w:t>
      </w:r>
      <w:r>
        <w:t xml:space="preserve">, the FCC proposed rules under </w:t>
      </w:r>
      <w:r w:rsidRPr="005E6853">
        <w:t>section 706 of the Telecommunications Act</w:t>
      </w:r>
      <w:r>
        <w:t xml:space="preserve">.  </w:t>
      </w:r>
      <w:r w:rsidRPr="005E6853">
        <w:t xml:space="preserve">Every single proposal and every single tentative conclusion in last year’s </w:t>
      </w:r>
      <w:r w:rsidRPr="001D0C9C">
        <w:rPr>
          <w:i/>
        </w:rPr>
        <w:t>Notice</w:t>
      </w:r>
      <w:r w:rsidRPr="005E6853">
        <w:t xml:space="preserve"> was tailored to avoid</w:t>
      </w:r>
      <w:r>
        <w:t xml:space="preserve"> </w:t>
      </w:r>
      <w:r w:rsidRPr="005E6853">
        <w:t>reclassif</w:t>
      </w:r>
      <w:r>
        <w:t>ying</w:t>
      </w:r>
      <w:r w:rsidRPr="005E6853">
        <w:t xml:space="preserve"> </w:t>
      </w:r>
      <w:r>
        <w:t xml:space="preserve">broadband as a Title II service.  Yet that’s exactly what the FCC does in this </w:t>
      </w:r>
      <w:r w:rsidRPr="008F3383">
        <w:rPr>
          <w:i/>
        </w:rPr>
        <w:t>Order</w:t>
      </w:r>
      <w:r>
        <w:t>.</w:t>
      </w:r>
    </w:p>
    <w:p w14:paraId="0F3F1830" w14:textId="77777777" w:rsidR="0034465F" w:rsidRPr="003F0C41" w:rsidRDefault="0034465F" w:rsidP="0034465F">
      <w:pPr>
        <w:pStyle w:val="ListParagraph"/>
        <w:numPr>
          <w:ilvl w:val="1"/>
          <w:numId w:val="2"/>
        </w:numPr>
        <w:spacing w:after="120"/>
        <w:ind w:left="720"/>
        <w:contextualSpacing w:val="0"/>
      </w:pPr>
      <w:r>
        <w:rPr>
          <w:b/>
          <w:color w:val="000000" w:themeColor="text1"/>
        </w:rPr>
        <w:t>No</w:t>
      </w:r>
      <w:r w:rsidRPr="003F0C4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one </w:t>
      </w:r>
      <w:r w:rsidRPr="003F0C41">
        <w:rPr>
          <w:b/>
          <w:color w:val="000000" w:themeColor="text1"/>
        </w:rPr>
        <w:t>could have anticipated</w:t>
      </w:r>
      <w:r>
        <w:rPr>
          <w:b/>
          <w:color w:val="000000" w:themeColor="text1"/>
        </w:rPr>
        <w:t xml:space="preserve"> </w:t>
      </w:r>
      <w:r w:rsidRPr="003F0C41">
        <w:rPr>
          <w:b/>
          <w:color w:val="000000" w:themeColor="text1"/>
        </w:rPr>
        <w:t xml:space="preserve">the </w:t>
      </w:r>
      <w:r>
        <w:rPr>
          <w:b/>
          <w:color w:val="000000" w:themeColor="text1"/>
        </w:rPr>
        <w:t xml:space="preserve">number or nature of the hoops </w:t>
      </w:r>
      <w:r w:rsidRPr="003F0C41">
        <w:rPr>
          <w:b/>
          <w:color w:val="000000" w:themeColor="text1"/>
        </w:rPr>
        <w:t xml:space="preserve">the </w:t>
      </w:r>
      <w:r w:rsidRPr="003F0C41">
        <w:rPr>
          <w:b/>
          <w:i/>
          <w:color w:val="000000" w:themeColor="text1"/>
        </w:rPr>
        <w:t>Order</w:t>
      </w:r>
      <w:r w:rsidRPr="003F0C4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would jump through to reclassify broadband.</w:t>
      </w:r>
      <w:r>
        <w:rPr>
          <w:color w:val="000000" w:themeColor="text1"/>
        </w:rPr>
        <w:t xml:space="preserve">  Nor could anyone have anticipated the </w:t>
      </w:r>
      <w:r w:rsidRPr="003F0C41">
        <w:rPr>
          <w:i/>
          <w:color w:val="000000" w:themeColor="text1"/>
        </w:rPr>
        <w:t>Order</w:t>
      </w:r>
      <w:r>
        <w:rPr>
          <w:color w:val="000000" w:themeColor="text1"/>
        </w:rPr>
        <w:t>’s 49 separate forbearance</w:t>
      </w:r>
      <w:r w:rsidRPr="00040445">
        <w:rPr>
          <w:color w:val="000000" w:themeColor="text1"/>
        </w:rPr>
        <w:t xml:space="preserve"> decisions</w:t>
      </w:r>
      <w:r>
        <w:rPr>
          <w:color w:val="000000" w:themeColor="text1"/>
        </w:rPr>
        <w:t xml:space="preserve">; its decision to subject interconnection to Title II as a “component” of broadband Internet access service; its decision to amend agency rules regarding mobile broadband; or its adoption of an omnivorous “Internet conduct” standard, the scope of which remains uncertain. </w:t>
      </w:r>
    </w:p>
    <w:p w14:paraId="028FACBA" w14:textId="77777777" w:rsidR="0034465F" w:rsidRPr="003F0C41" w:rsidRDefault="0034465F" w:rsidP="0034465F">
      <w:pPr>
        <w:pStyle w:val="ListParagraph"/>
        <w:numPr>
          <w:ilvl w:val="1"/>
          <w:numId w:val="2"/>
        </w:numPr>
        <w:spacing w:after="120"/>
        <w:ind w:left="720"/>
        <w:contextualSpacing w:val="0"/>
      </w:pPr>
      <w:r>
        <w:rPr>
          <w:b/>
          <w:color w:val="000000" w:themeColor="text1"/>
        </w:rPr>
        <w:t>The FCC cannot rely on President Obama’s YouTube directive to the agency cure these deficiencies</w:t>
      </w:r>
      <w:r>
        <w:rPr>
          <w:color w:val="000000" w:themeColor="text1"/>
        </w:rPr>
        <w:t>.  The President’s video was not approved by FCC commissioners, published in the Federal Register, or subject to public comment.</w:t>
      </w:r>
    </w:p>
    <w:p w14:paraId="5CE21364" w14:textId="77777777" w:rsidR="0034465F" w:rsidRPr="00283790" w:rsidRDefault="0034465F" w:rsidP="0034465F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</w:pPr>
      <w:r>
        <w:rPr>
          <w:b/>
          <w:color w:val="000000" w:themeColor="text1"/>
        </w:rPr>
        <w:t>President Obama’s plan to regulate the Internet also violates the Communications Act.</w:t>
      </w:r>
    </w:p>
    <w:p w14:paraId="680EC988" w14:textId="77777777" w:rsidR="0034465F" w:rsidRPr="00D06A46" w:rsidRDefault="0034465F" w:rsidP="0034465F">
      <w:pPr>
        <w:pStyle w:val="ListParagraph"/>
        <w:numPr>
          <w:ilvl w:val="1"/>
          <w:numId w:val="2"/>
        </w:numPr>
        <w:spacing w:after="120"/>
        <w:ind w:left="720"/>
        <w:contextualSpacing w:val="0"/>
      </w:pPr>
      <w:r w:rsidRPr="005E6853">
        <w:rPr>
          <w:b/>
          <w:color w:val="000000" w:themeColor="text1"/>
        </w:rPr>
        <w:t xml:space="preserve">Neither the text of the Act nor </w:t>
      </w:r>
      <w:r>
        <w:rPr>
          <w:b/>
          <w:color w:val="000000" w:themeColor="text1"/>
        </w:rPr>
        <w:t xml:space="preserve">FCC </w:t>
      </w:r>
      <w:r w:rsidRPr="005E6853">
        <w:rPr>
          <w:b/>
          <w:color w:val="000000" w:themeColor="text1"/>
        </w:rPr>
        <w:t xml:space="preserve">precedent </w:t>
      </w:r>
      <w:r>
        <w:rPr>
          <w:b/>
          <w:color w:val="000000" w:themeColor="text1"/>
        </w:rPr>
        <w:t>allows the agency to reclassify broadband Internet access service as a Title II telecommunications service</w:t>
      </w:r>
      <w:r>
        <w:rPr>
          <w:color w:val="000000" w:themeColor="text1"/>
        </w:rPr>
        <w:t xml:space="preserve">.  In 1996, President Clinton and Congress decided that “any” service that “provides access to the Internet” would be an information service.  In turn, the FCC has </w:t>
      </w:r>
      <w:r w:rsidRPr="0030271C">
        <w:rPr>
          <w:i/>
          <w:color w:val="000000" w:themeColor="text1"/>
        </w:rPr>
        <w:t xml:space="preserve">never </w:t>
      </w:r>
      <w:r>
        <w:rPr>
          <w:color w:val="000000" w:themeColor="text1"/>
        </w:rPr>
        <w:t xml:space="preserve">classified an Internet Service Provider as a telecommunications carrier.  Instead, the FCC has determined each and every time since the Clinton Administration’s </w:t>
      </w:r>
      <w:r>
        <w:rPr>
          <w:i/>
          <w:color w:val="000000" w:themeColor="text1"/>
        </w:rPr>
        <w:t>Stevens Report</w:t>
      </w:r>
      <w:r>
        <w:rPr>
          <w:color w:val="000000" w:themeColor="text1"/>
        </w:rPr>
        <w:t xml:space="preserve"> that Internet access</w:t>
      </w:r>
      <w:r w:rsidRPr="00040445">
        <w:rPr>
          <w:color w:val="000000" w:themeColor="text1"/>
        </w:rPr>
        <w:t xml:space="preserve"> </w:t>
      </w:r>
      <w:r>
        <w:rPr>
          <w:color w:val="000000" w:themeColor="text1"/>
        </w:rPr>
        <w:t>always involves more than mere</w:t>
      </w:r>
      <w:r w:rsidRPr="00040445">
        <w:rPr>
          <w:color w:val="000000" w:themeColor="text1"/>
        </w:rPr>
        <w:t xml:space="preserve"> transmission</w:t>
      </w:r>
      <w:r>
        <w:rPr>
          <w:color w:val="000000" w:themeColor="text1"/>
        </w:rPr>
        <w:t>—and thus is an information service.</w:t>
      </w:r>
    </w:p>
    <w:p w14:paraId="1A564DF6" w14:textId="77777777" w:rsidR="0034465F" w:rsidRPr="00D06A46" w:rsidRDefault="0034465F" w:rsidP="0034465F">
      <w:pPr>
        <w:pStyle w:val="ListParagraph"/>
        <w:numPr>
          <w:ilvl w:val="1"/>
          <w:numId w:val="2"/>
        </w:numPr>
        <w:spacing w:after="120"/>
        <w:ind w:left="720"/>
        <w:contextualSpacing w:val="0"/>
      </w:pPr>
      <w:r w:rsidRPr="00D06A46">
        <w:rPr>
          <w:b/>
          <w:color w:val="000000" w:themeColor="text1"/>
        </w:rPr>
        <w:t>Section 332 of the Communications Act independently bars the FCC from reclassifying mobile broadband Internet access service as a Title II telecommunications service</w:t>
      </w:r>
      <w:r w:rsidRPr="00040445">
        <w:rPr>
          <w:color w:val="000000" w:themeColor="text1"/>
        </w:rPr>
        <w:t>.</w:t>
      </w:r>
    </w:p>
    <w:p w14:paraId="7BF98AE3" w14:textId="77777777" w:rsidR="0034465F" w:rsidRPr="00010951" w:rsidRDefault="0034465F" w:rsidP="0034465F">
      <w:pPr>
        <w:pStyle w:val="ListParagraph"/>
        <w:numPr>
          <w:ilvl w:val="1"/>
          <w:numId w:val="2"/>
        </w:numPr>
        <w:spacing w:after="120"/>
        <w:ind w:left="720"/>
        <w:contextualSpacing w:val="0"/>
      </w:pPr>
      <w:r w:rsidRPr="00010951">
        <w:rPr>
          <w:b/>
          <w:color w:val="000000" w:themeColor="text1"/>
        </w:rPr>
        <w:t xml:space="preserve">The text, structure, and </w:t>
      </w:r>
      <w:r>
        <w:rPr>
          <w:b/>
          <w:color w:val="000000" w:themeColor="text1"/>
        </w:rPr>
        <w:t xml:space="preserve">Congressional intent </w:t>
      </w:r>
      <w:r w:rsidRPr="00010951">
        <w:rPr>
          <w:b/>
          <w:color w:val="000000" w:themeColor="text1"/>
        </w:rPr>
        <w:t xml:space="preserve">all make clear that </w:t>
      </w:r>
      <w:r>
        <w:rPr>
          <w:b/>
          <w:color w:val="000000" w:themeColor="text1"/>
        </w:rPr>
        <w:t>section 706 of the Telecommunications Act does not give the FCC any independent authority</w:t>
      </w:r>
      <w:r>
        <w:rPr>
          <w:color w:val="000000" w:themeColor="text1"/>
        </w:rPr>
        <w:t>.</w:t>
      </w:r>
    </w:p>
    <w:p w14:paraId="2F523355" w14:textId="77777777" w:rsidR="0034465F" w:rsidRPr="005E6853" w:rsidRDefault="0034465F" w:rsidP="0034465F">
      <w:pPr>
        <w:pStyle w:val="ListParagraph"/>
        <w:numPr>
          <w:ilvl w:val="1"/>
          <w:numId w:val="2"/>
        </w:numPr>
        <w:spacing w:after="120"/>
        <w:ind w:left="720"/>
        <w:contextualSpacing w:val="0"/>
      </w:pPr>
      <w:r w:rsidRPr="00010951">
        <w:rPr>
          <w:b/>
          <w:color w:val="000000" w:themeColor="text1"/>
        </w:rPr>
        <w:t xml:space="preserve">The </w:t>
      </w:r>
      <w:r w:rsidRPr="00010951">
        <w:rPr>
          <w:b/>
          <w:i/>
          <w:color w:val="000000" w:themeColor="text1"/>
        </w:rPr>
        <w:t>Order</w:t>
      </w:r>
      <w:r w:rsidRPr="00010951">
        <w:rPr>
          <w:b/>
          <w:color w:val="000000" w:themeColor="text1"/>
        </w:rPr>
        <w:t xml:space="preserve"> invents a</w:t>
      </w:r>
      <w:r>
        <w:rPr>
          <w:b/>
          <w:color w:val="000000" w:themeColor="text1"/>
        </w:rPr>
        <w:t>n entirely</w:t>
      </w:r>
      <w:r w:rsidRPr="00010951">
        <w:rPr>
          <w:b/>
          <w:color w:val="000000" w:themeColor="text1"/>
        </w:rPr>
        <w:t xml:space="preserve"> new method of forbearance analysis that </w:t>
      </w:r>
      <w:r>
        <w:rPr>
          <w:b/>
          <w:color w:val="000000" w:themeColor="text1"/>
        </w:rPr>
        <w:t xml:space="preserve">doesn’t adhere to </w:t>
      </w:r>
      <w:r w:rsidRPr="00010951">
        <w:rPr>
          <w:b/>
          <w:color w:val="000000" w:themeColor="text1"/>
        </w:rPr>
        <w:t xml:space="preserve">the </w:t>
      </w:r>
      <w:r>
        <w:rPr>
          <w:b/>
          <w:color w:val="000000" w:themeColor="text1"/>
        </w:rPr>
        <w:t xml:space="preserve">forbearance criteria in </w:t>
      </w:r>
      <w:r w:rsidRPr="00010951">
        <w:rPr>
          <w:b/>
          <w:color w:val="000000" w:themeColor="text1"/>
        </w:rPr>
        <w:t xml:space="preserve">the Act or the </w:t>
      </w:r>
      <w:r>
        <w:rPr>
          <w:b/>
          <w:color w:val="000000" w:themeColor="text1"/>
        </w:rPr>
        <w:t xml:space="preserve">FCC’s </w:t>
      </w:r>
      <w:r w:rsidRPr="00010951">
        <w:rPr>
          <w:b/>
          <w:color w:val="000000" w:themeColor="text1"/>
        </w:rPr>
        <w:t>precedents</w:t>
      </w:r>
      <w:r w:rsidRPr="00040445">
        <w:rPr>
          <w:color w:val="000000" w:themeColor="text1"/>
        </w:rPr>
        <w:t>.</w:t>
      </w:r>
    </w:p>
    <w:sectPr w:rsidR="0034465F" w:rsidRPr="005E6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8842E" w14:textId="77777777" w:rsidR="000724B8" w:rsidRDefault="000724B8">
      <w:r>
        <w:separator/>
      </w:r>
    </w:p>
  </w:endnote>
  <w:endnote w:type="continuationSeparator" w:id="0">
    <w:p w14:paraId="7DD4D5CB" w14:textId="77777777" w:rsidR="000724B8" w:rsidRDefault="0007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35D3" w14:textId="77777777" w:rsidR="00766565" w:rsidRDefault="00766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D5E7" w14:textId="77777777" w:rsidR="00766565" w:rsidRDefault="00766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4361" w14:textId="77777777" w:rsidR="00766565" w:rsidRDefault="00766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A009B" w14:textId="77777777" w:rsidR="000724B8" w:rsidRDefault="000724B8">
      <w:r>
        <w:separator/>
      </w:r>
    </w:p>
  </w:footnote>
  <w:footnote w:type="continuationSeparator" w:id="0">
    <w:p w14:paraId="40C34F3D" w14:textId="77777777" w:rsidR="000724B8" w:rsidRDefault="0007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090C0" w14:textId="77777777" w:rsidR="00766565" w:rsidRDefault="00766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B899" w14:textId="77777777" w:rsidR="00766565" w:rsidRDefault="00766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8B40" w14:textId="77777777"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375456D9" wp14:editId="3994871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715CC9F3" w14:textId="77777777" w:rsidR="00685C3D" w:rsidRDefault="00F14B36">
    <w:pPr>
      <w:tabs>
        <w:tab w:val="left" w:pos="-720"/>
      </w:tabs>
      <w:suppressAutoHyphens/>
      <w:ind w:right="-54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F6968" wp14:editId="744B6B6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91A9" w14:textId="77777777"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6BFBE6D2" w14:textId="77777777"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9D2EBBE" w14:textId="77777777"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5FD791A9" w14:textId="77777777"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6BFBE6D2" w14:textId="77777777" w:rsidR="00685C3D" w:rsidRDefault="00F14B3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9D2EBBE" w14:textId="77777777"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Federal Communications Commission</w:t>
    </w:r>
  </w:p>
  <w:p w14:paraId="0FBC55DC" w14:textId="77777777" w:rsidR="00685C3D" w:rsidRDefault="00F14B36">
    <w:pPr>
      <w:tabs>
        <w:tab w:val="left" w:pos="-720"/>
      </w:tabs>
      <w:suppressAutoHyphens/>
      <w:ind w:right="-540"/>
      <w:rPr>
        <w:b/>
      </w:rPr>
    </w:pPr>
    <w:r>
      <w:rPr>
        <w:b/>
      </w:rPr>
      <w:t>445 12</w:t>
    </w:r>
    <w:r>
      <w:rPr>
        <w:b/>
        <w:vertAlign w:val="superscript"/>
      </w:rPr>
      <w:t>th</w:t>
    </w:r>
    <w:r>
      <w:rPr>
        <w:b/>
      </w:rPr>
      <w:t xml:space="preserve"> Street, S.W.</w:t>
    </w:r>
  </w:p>
  <w:p w14:paraId="47367FA9" w14:textId="26321663" w:rsidR="00685C3D" w:rsidRDefault="00697B86">
    <w:pPr>
      <w:tabs>
        <w:tab w:val="left" w:pos="-720"/>
      </w:tabs>
      <w:suppressAutoHyphens/>
      <w:ind w:right="-540"/>
      <w:rPr>
        <w:b/>
      </w:rPr>
    </w:pPr>
    <w:r>
      <w:rPr>
        <w:b/>
      </w:rPr>
      <w:t>Washington, D</w:t>
    </w:r>
    <w:r w:rsidR="00F14B36">
      <w:rPr>
        <w:b/>
      </w:rPr>
      <w:t>C  20554</w:t>
    </w:r>
  </w:p>
  <w:p w14:paraId="10CC4CB7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647091" wp14:editId="043F20DA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01583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08A7C58D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27526720" w14:textId="77777777"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1F4AF33F" w14:textId="77777777" w:rsidR="00685C3D" w:rsidRDefault="00F14B36">
    <w:pPr>
      <w:tabs>
        <w:tab w:val="left" w:pos="-720"/>
      </w:tabs>
      <w:suppressAutoHyphens/>
      <w:ind w:right="-54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C0B30" wp14:editId="08A5E89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2AE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75AB6EA3"/>
    <w:multiLevelType w:val="hybridMultilevel"/>
    <w:tmpl w:val="5AFE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218D9"/>
    <w:rsid w:val="00030D29"/>
    <w:rsid w:val="000724B8"/>
    <w:rsid w:val="000B31DA"/>
    <w:rsid w:val="000E45BF"/>
    <w:rsid w:val="0019315C"/>
    <w:rsid w:val="001C2764"/>
    <w:rsid w:val="001D2C18"/>
    <w:rsid w:val="002528CD"/>
    <w:rsid w:val="00287C2B"/>
    <w:rsid w:val="002949A6"/>
    <w:rsid w:val="002A6449"/>
    <w:rsid w:val="0034465F"/>
    <w:rsid w:val="003C32BE"/>
    <w:rsid w:val="003C457B"/>
    <w:rsid w:val="004217FF"/>
    <w:rsid w:val="00460016"/>
    <w:rsid w:val="004C3250"/>
    <w:rsid w:val="004D259D"/>
    <w:rsid w:val="00510336"/>
    <w:rsid w:val="005267A4"/>
    <w:rsid w:val="005545A8"/>
    <w:rsid w:val="0056327B"/>
    <w:rsid w:val="00567D63"/>
    <w:rsid w:val="005A135D"/>
    <w:rsid w:val="005C54C3"/>
    <w:rsid w:val="0065435F"/>
    <w:rsid w:val="00673AB3"/>
    <w:rsid w:val="00697B86"/>
    <w:rsid w:val="006C2F6C"/>
    <w:rsid w:val="006D1383"/>
    <w:rsid w:val="006F3DBA"/>
    <w:rsid w:val="006F4ADD"/>
    <w:rsid w:val="00766565"/>
    <w:rsid w:val="007D39FB"/>
    <w:rsid w:val="007E43D3"/>
    <w:rsid w:val="007F2D1E"/>
    <w:rsid w:val="008105B4"/>
    <w:rsid w:val="0084699F"/>
    <w:rsid w:val="00896394"/>
    <w:rsid w:val="008C1BB3"/>
    <w:rsid w:val="00985597"/>
    <w:rsid w:val="009A1332"/>
    <w:rsid w:val="00AA0D2C"/>
    <w:rsid w:val="00AB6917"/>
    <w:rsid w:val="00C21962"/>
    <w:rsid w:val="00CC3BD8"/>
    <w:rsid w:val="00D07959"/>
    <w:rsid w:val="00D42F25"/>
    <w:rsid w:val="00D4525F"/>
    <w:rsid w:val="00D70190"/>
    <w:rsid w:val="00DC74E5"/>
    <w:rsid w:val="00DD7B28"/>
    <w:rsid w:val="00E13613"/>
    <w:rsid w:val="00E30485"/>
    <w:rsid w:val="00EC1966"/>
    <w:rsid w:val="00ED22C7"/>
    <w:rsid w:val="00ED2FD0"/>
    <w:rsid w:val="00EE5CA5"/>
    <w:rsid w:val="00F14B36"/>
    <w:rsid w:val="00FE1A6E"/>
    <w:rsid w:val="00FF517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erry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2261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2015-03-12T14:18:00Z</dcterms:created>
  <dcterms:modified xsi:type="dcterms:W3CDTF">2015-03-12T14:18:00Z</dcterms:modified>
  <cp:category> </cp:category>
  <cp:contentStatus> </cp:contentStatus>
</cp:coreProperties>
</file>