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3A6E14" w:rsidRDefault="00AE006D">
      <w:pPr>
        <w:pStyle w:val="TOAHeading"/>
        <w:spacing w:line="240" w:lineRule="auto"/>
        <w:rPr>
          <w:rFonts w:ascii="Times New Roman" w:hAnsi="Times New Roman"/>
        </w:rPr>
      </w:pPr>
      <w:bookmarkStart w:id="0" w:name="_GoBack"/>
      <w:bookmarkEnd w:id="0"/>
      <w:r w:rsidRPr="003A6E14">
        <w:rPr>
          <w:rFonts w:ascii="Times New Roman" w:hAnsi="Times New Roman"/>
        </w:rPr>
        <w:tab/>
      </w:r>
      <w:r w:rsidR="00351FF4">
        <w:rPr>
          <w:rFonts w:ascii="Times New Roman" w:hAnsi="Times New Roman"/>
        </w:rPr>
        <w:t>March</w:t>
      </w:r>
      <w:r w:rsidR="006213D9" w:rsidRPr="003A6E14">
        <w:rPr>
          <w:rFonts w:ascii="Times New Roman" w:hAnsi="Times New Roman"/>
        </w:rPr>
        <w:t xml:space="preserve"> </w:t>
      </w:r>
      <w:r w:rsidR="00B3556F">
        <w:rPr>
          <w:rFonts w:ascii="Times New Roman" w:hAnsi="Times New Roman"/>
        </w:rPr>
        <w:t>19</w:t>
      </w:r>
      <w:r w:rsidR="006213D9" w:rsidRPr="003A6E14">
        <w:rPr>
          <w:rFonts w:ascii="Times New Roman" w:hAnsi="Times New Roman"/>
        </w:rPr>
        <w:t>, 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CB2E02" w:rsidRPr="003A6E14" w:rsidRDefault="00CB2E02">
      <w:pPr>
        <w:pStyle w:val="NewHeading"/>
        <w:spacing w:line="240" w:lineRule="auto"/>
        <w:rPr>
          <w:rFonts w:ascii="Times New Roman" w:hAnsi="Times New Roman"/>
        </w:rPr>
      </w:pPr>
      <w:r w:rsidRPr="003A6E14">
        <w:rPr>
          <w:rFonts w:ascii="Times New Roman" w:hAnsi="Times New Roman"/>
        </w:rPr>
        <w:t>FCC TO HOLD OPEN COMMISSION MEETING</w:t>
      </w:r>
    </w:p>
    <w:p w:rsidR="00CF2916" w:rsidRPr="003A6E14" w:rsidRDefault="00307A50">
      <w:pPr>
        <w:pStyle w:val="NewHeading"/>
        <w:spacing w:line="240" w:lineRule="auto"/>
        <w:rPr>
          <w:rFonts w:ascii="Times New Roman" w:hAnsi="Times New Roman"/>
        </w:rPr>
      </w:pPr>
      <w:r w:rsidRPr="003A6E14">
        <w:rPr>
          <w:rFonts w:ascii="Times New Roman" w:hAnsi="Times New Roman"/>
        </w:rPr>
        <w:t>THURSDAY</w:t>
      </w:r>
      <w:r w:rsidR="00F00D7B" w:rsidRPr="003A6E14">
        <w:rPr>
          <w:rFonts w:ascii="Times New Roman" w:hAnsi="Times New Roman"/>
        </w:rPr>
        <w:t xml:space="preserve">, </w:t>
      </w:r>
      <w:r w:rsidR="00351FF4">
        <w:rPr>
          <w:rFonts w:ascii="Times New Roman" w:hAnsi="Times New Roman"/>
        </w:rPr>
        <w:t>MARCH</w:t>
      </w:r>
      <w:r w:rsidR="006213D9" w:rsidRPr="003A6E14">
        <w:rPr>
          <w:rFonts w:ascii="Times New Roman" w:hAnsi="Times New Roman"/>
        </w:rPr>
        <w:t xml:space="preserve"> </w:t>
      </w:r>
      <w:r w:rsidR="00D0516D">
        <w:rPr>
          <w:rFonts w:ascii="Times New Roman" w:hAnsi="Times New Roman"/>
        </w:rPr>
        <w:t>26</w:t>
      </w:r>
      <w:r w:rsidR="006213D9" w:rsidRPr="003A6E14">
        <w:rPr>
          <w:rFonts w:ascii="Times New Roman" w:hAnsi="Times New Roman"/>
        </w:rPr>
        <w:t>, 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045391" w:rsidRPr="003A6E14" w:rsidRDefault="0044113A" w:rsidP="00456E88">
      <w:pPr>
        <w:pStyle w:val="BodyText"/>
        <w:tabs>
          <w:tab w:val="clear" w:pos="-720"/>
        </w:tabs>
      </w:pPr>
      <w:r w:rsidRPr="003A6E14">
        <w:t>The Federal Communications Commission will hold an Open Meeting on the subject</w:t>
      </w:r>
      <w:r w:rsidR="00BE43DA" w:rsidRPr="003A6E14">
        <w:t>s</w:t>
      </w:r>
      <w:r w:rsidRPr="003A6E14">
        <w:t xml:space="preserve"> listed below on </w:t>
      </w:r>
      <w:r w:rsidR="00307A50" w:rsidRPr="003A6E14">
        <w:t>Thursday</w:t>
      </w:r>
      <w:r w:rsidR="00BD0347" w:rsidRPr="003A6E14">
        <w:t>,</w:t>
      </w:r>
      <w:r w:rsidR="000C478D" w:rsidRPr="003A6E14">
        <w:t xml:space="preserve"> </w:t>
      </w:r>
      <w:r w:rsidR="00351FF4">
        <w:t>March</w:t>
      </w:r>
      <w:r w:rsidR="006213D9" w:rsidRPr="003A6E14">
        <w:t xml:space="preserve"> </w:t>
      </w:r>
      <w:r w:rsidR="00D0516D">
        <w:t>26</w:t>
      </w:r>
      <w:r w:rsidR="006213D9" w:rsidRPr="003A6E14">
        <w:t>, 201</w:t>
      </w:r>
      <w:r w:rsidR="00992BB3" w:rsidRPr="003A6E14">
        <w:t>5</w:t>
      </w:r>
      <w:r w:rsidR="001F61DC" w:rsidRPr="003A6E14">
        <w:t xml:space="preserve">. </w:t>
      </w:r>
      <w:r w:rsidRPr="003A6E14">
        <w:t xml:space="preserve"> The meeting is scheduled to commence at </w:t>
      </w:r>
      <w:r w:rsidR="006213D9" w:rsidRPr="003A6E14">
        <w:t>10:30 a</w:t>
      </w:r>
      <w:r w:rsidR="001F61DC" w:rsidRPr="003A6E14">
        <w:t>.m.</w:t>
      </w:r>
      <w:r w:rsidRPr="003A6E14">
        <w:t xml:space="preserve"> in Room TW-C305, at 445 12th Street, S.W., Washington, D.C</w:t>
      </w:r>
      <w:r w:rsidR="007A1799" w:rsidRPr="003A6E14">
        <w:t>.</w:t>
      </w:r>
    </w:p>
    <w:p w:rsidR="00B02EB1" w:rsidRPr="003A6E14"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RPr="003A6E14" w:rsidTr="007B549C">
        <w:trPr>
          <w:trHeight w:val="256"/>
        </w:trPr>
        <w:tc>
          <w:tcPr>
            <w:tcW w:w="1620" w:type="dxa"/>
          </w:tcPr>
          <w:p w:rsidR="00CB2E02" w:rsidRPr="003A6E14" w:rsidRDefault="00CB2E02" w:rsidP="00456E88">
            <w:pPr>
              <w:suppressAutoHyphens/>
              <w:spacing w:before="90" w:after="54"/>
              <w:jc w:val="center"/>
              <w:rPr>
                <w:rFonts w:ascii="Times New Roman" w:hAnsi="Times New Roman"/>
                <w:b/>
                <w:u w:val="single"/>
              </w:rPr>
            </w:pPr>
            <w:r w:rsidRPr="003A6E14">
              <w:rPr>
                <w:rFonts w:ascii="Times New Roman" w:hAnsi="Times New Roman"/>
                <w:b/>
                <w:u w:val="single"/>
              </w:rPr>
              <w:t>ITEM NO.</w:t>
            </w:r>
          </w:p>
        </w:tc>
        <w:tc>
          <w:tcPr>
            <w:tcW w:w="2813" w:type="dxa"/>
          </w:tcPr>
          <w:p w:rsidR="00CB2E02" w:rsidRPr="003A6E14" w:rsidRDefault="00CB2E02">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BUREAU</w:t>
            </w:r>
          </w:p>
        </w:tc>
        <w:tc>
          <w:tcPr>
            <w:tcW w:w="5107" w:type="dxa"/>
          </w:tcPr>
          <w:p w:rsidR="00CB2E02" w:rsidRPr="003A6E14" w:rsidRDefault="00CB2E02">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SUBJECT</w:t>
            </w:r>
          </w:p>
          <w:p w:rsidR="006D734F" w:rsidRPr="003A6E14" w:rsidRDefault="006D734F">
            <w:pPr>
              <w:tabs>
                <w:tab w:val="left" w:pos="-720"/>
              </w:tabs>
              <w:suppressAutoHyphens/>
              <w:spacing w:before="90" w:after="54"/>
              <w:jc w:val="center"/>
              <w:rPr>
                <w:rFonts w:ascii="Times New Roman" w:hAnsi="Times New Roman"/>
                <w:b/>
                <w:u w:val="single"/>
              </w:rPr>
            </w:pPr>
          </w:p>
        </w:tc>
      </w:tr>
      <w:tr w:rsidR="00D15595" w:rsidRPr="003A6E14" w:rsidTr="001E569C">
        <w:trPr>
          <w:trHeight w:val="1108"/>
        </w:trPr>
        <w:tc>
          <w:tcPr>
            <w:tcW w:w="1620" w:type="dxa"/>
          </w:tcPr>
          <w:p w:rsidR="00D15595" w:rsidRPr="003A6E14" w:rsidRDefault="00D15595" w:rsidP="001E569C">
            <w:pPr>
              <w:suppressAutoHyphens/>
              <w:spacing w:before="120"/>
              <w:jc w:val="center"/>
              <w:rPr>
                <w:rFonts w:ascii="Times New Roman" w:hAnsi="Times New Roman"/>
                <w:b/>
              </w:rPr>
            </w:pPr>
            <w:bookmarkStart w:id="1" w:name="_Hlk97018823"/>
            <w:bookmarkStart w:id="2" w:name="_Hlk126120298"/>
            <w:r w:rsidRPr="003A6E14">
              <w:rPr>
                <w:rFonts w:ascii="Times New Roman" w:hAnsi="Times New Roman"/>
                <w:b/>
              </w:rPr>
              <w:t>1</w:t>
            </w:r>
          </w:p>
        </w:tc>
        <w:tc>
          <w:tcPr>
            <w:tcW w:w="2813" w:type="dxa"/>
          </w:tcPr>
          <w:p w:rsidR="00D15595" w:rsidRPr="003A6E14" w:rsidRDefault="00BB3E7F" w:rsidP="00D0516D">
            <w:pPr>
              <w:widowControl/>
              <w:suppressAutoHyphens/>
              <w:autoSpaceDE/>
              <w:autoSpaceDN/>
              <w:adjustRightInd/>
              <w:spacing w:before="120"/>
              <w:jc w:val="center"/>
              <w:rPr>
                <w:rFonts w:ascii="Times New Roman" w:hAnsi="Times New Roman"/>
                <w:b/>
              </w:rPr>
            </w:pPr>
            <w:r>
              <w:rPr>
                <w:rFonts w:ascii="Times New Roman" w:hAnsi="Times New Roman"/>
                <w:b/>
              </w:rPr>
              <w:t>MEDIA</w:t>
            </w:r>
            <w:r w:rsidR="00D0516D">
              <w:rPr>
                <w:rFonts w:ascii="Times New Roman" w:hAnsi="Times New Roman"/>
                <w:b/>
              </w:rPr>
              <w:t xml:space="preserve"> </w:t>
            </w:r>
          </w:p>
        </w:tc>
        <w:tc>
          <w:tcPr>
            <w:tcW w:w="5107" w:type="dxa"/>
          </w:tcPr>
          <w:p w:rsidR="00D15595" w:rsidRPr="00351FF4" w:rsidRDefault="00D15595" w:rsidP="00992BB3">
            <w:pPr>
              <w:widowControl/>
              <w:autoSpaceDE/>
              <w:autoSpaceDN/>
              <w:adjustRightInd/>
              <w:spacing w:before="120" w:after="120"/>
              <w:rPr>
                <w:rFonts w:ascii="Times New Roman" w:hAnsi="Times New Roman"/>
              </w:rPr>
            </w:pPr>
            <w:r w:rsidRPr="003A6E14">
              <w:rPr>
                <w:rFonts w:ascii="Times New Roman" w:hAnsi="Times New Roman"/>
                <w:b/>
              </w:rPr>
              <w:t>TITLE</w:t>
            </w:r>
            <w:r w:rsidR="00351FF4">
              <w:rPr>
                <w:rFonts w:ascii="Times New Roman" w:hAnsi="Times New Roman"/>
                <w:b/>
              </w:rPr>
              <w:t xml:space="preserve">:  </w:t>
            </w:r>
            <w:r w:rsidR="00351FF4">
              <w:rPr>
                <w:rFonts w:ascii="Times New Roman" w:hAnsi="Times New Roman"/>
              </w:rPr>
              <w:t>Amendment to the Commission’s</w:t>
            </w:r>
            <w:r w:rsidR="00267A45">
              <w:rPr>
                <w:rFonts w:ascii="Times New Roman" w:hAnsi="Times New Roman"/>
              </w:rPr>
              <w:t xml:space="preserve"> </w:t>
            </w:r>
            <w:r w:rsidR="00351FF4">
              <w:rPr>
                <w:rFonts w:ascii="Times New Roman" w:hAnsi="Times New Roman"/>
              </w:rPr>
              <w:t>Rules Concerning Market Modification; Implementation of Section 102 of the STELA Reauthorization Act of 2014</w:t>
            </w:r>
          </w:p>
          <w:p w:rsidR="00D15595" w:rsidRPr="003A6E14" w:rsidRDefault="00D15595" w:rsidP="00D0516D">
            <w:pPr>
              <w:spacing w:after="120"/>
              <w:rPr>
                <w:rFonts w:ascii="Times New Roman" w:hAnsi="Times New Roman"/>
              </w:rPr>
            </w:pPr>
            <w:r w:rsidRPr="003A6E14">
              <w:rPr>
                <w:rFonts w:ascii="Times New Roman" w:hAnsi="Times New Roman"/>
                <w:b/>
                <w:bCs/>
              </w:rPr>
              <w:t>SUMMARY:</w:t>
            </w:r>
            <w:r w:rsidR="00045391" w:rsidRPr="003A6E14">
              <w:rPr>
                <w:rFonts w:ascii="Times New Roman" w:hAnsi="Times New Roman"/>
                <w:b/>
                <w:bCs/>
              </w:rPr>
              <w:t xml:space="preserve">  </w:t>
            </w:r>
            <w:r w:rsidR="00351FF4" w:rsidRPr="00573A0D">
              <w:rPr>
                <w:rFonts w:ascii="Times New Roman" w:hAnsi="Times New Roman"/>
                <w:bCs/>
                <w:sz w:val="22"/>
                <w:szCs w:val="22"/>
              </w:rPr>
              <w:t>The Commission will consider a Notice of Proposed Rulemaking to implement Section 102 of the STELA Reauthorization Act of 2014, which directs the Commission to adopt rules that permit the modification of a commercial television broadcast station’s local television market for purposes of satellite carriage rights, including the promotion of consumers’ access to television broadcast station signals that originate in their State of residence</w:t>
            </w:r>
            <w:r w:rsidR="00AB2665">
              <w:rPr>
                <w:rFonts w:ascii="Times New Roman" w:hAnsi="Times New Roman"/>
                <w:bCs/>
                <w:sz w:val="22"/>
                <w:szCs w:val="22"/>
              </w:rPr>
              <w:t>.</w:t>
            </w:r>
          </w:p>
        </w:tc>
      </w:tr>
      <w:tr w:rsidR="007F68E8" w:rsidRPr="003A6E14" w:rsidTr="007B549C">
        <w:trPr>
          <w:trHeight w:val="1108"/>
        </w:trPr>
        <w:tc>
          <w:tcPr>
            <w:tcW w:w="1620" w:type="dxa"/>
          </w:tcPr>
          <w:p w:rsidR="007F68E8" w:rsidRPr="003A6E14" w:rsidRDefault="006C09C9" w:rsidP="001170E6">
            <w:pPr>
              <w:suppressAutoHyphens/>
              <w:jc w:val="center"/>
              <w:rPr>
                <w:rFonts w:ascii="Times New Roman" w:hAnsi="Times New Roman"/>
                <w:b/>
              </w:rPr>
            </w:pPr>
            <w:r>
              <w:rPr>
                <w:rFonts w:ascii="Times New Roman" w:hAnsi="Times New Roman"/>
                <w:b/>
              </w:rPr>
              <w:t>2</w:t>
            </w:r>
          </w:p>
          <w:p w:rsidR="00E24621" w:rsidRPr="003A6E14" w:rsidRDefault="00E24621" w:rsidP="001170E6">
            <w:pPr>
              <w:suppressAutoHyphens/>
              <w:jc w:val="center"/>
              <w:rPr>
                <w:rFonts w:ascii="Times New Roman" w:hAnsi="Times New Roman"/>
                <w:b/>
              </w:rPr>
            </w:pPr>
          </w:p>
        </w:tc>
        <w:tc>
          <w:tcPr>
            <w:tcW w:w="2813" w:type="dxa"/>
          </w:tcPr>
          <w:p w:rsidR="00E24621" w:rsidRPr="003A6E14" w:rsidRDefault="00807812" w:rsidP="00807812">
            <w:pPr>
              <w:widowControl/>
              <w:suppressAutoHyphens/>
              <w:autoSpaceDE/>
              <w:autoSpaceDN/>
              <w:adjustRightInd/>
              <w:jc w:val="center"/>
              <w:rPr>
                <w:rFonts w:ascii="Times New Roman" w:hAnsi="Times New Roman"/>
                <w:b/>
              </w:rPr>
            </w:pPr>
            <w:r>
              <w:rPr>
                <w:rFonts w:ascii="Times New Roman" w:hAnsi="Times New Roman"/>
                <w:b/>
              </w:rPr>
              <w:t xml:space="preserve">WIRELINE COMPETITION </w:t>
            </w:r>
          </w:p>
        </w:tc>
        <w:tc>
          <w:tcPr>
            <w:tcW w:w="5107" w:type="dxa"/>
          </w:tcPr>
          <w:p w:rsidR="000E0BD0" w:rsidRDefault="00EA13B8" w:rsidP="00307A50">
            <w:pPr>
              <w:widowControl/>
              <w:autoSpaceDE/>
              <w:autoSpaceDN/>
              <w:adjustRightInd/>
              <w:rPr>
                <w:rFonts w:ascii="Times New Roman" w:hAnsi="Times New Roman"/>
              </w:rPr>
            </w:pPr>
            <w:r>
              <w:rPr>
                <w:rFonts w:ascii="Times New Roman" w:hAnsi="Times New Roman"/>
                <w:b/>
              </w:rPr>
              <w:t>TITLE</w:t>
            </w:r>
            <w:r w:rsidR="00045391" w:rsidRPr="003A6E14">
              <w:rPr>
                <w:rFonts w:ascii="Times New Roman" w:hAnsi="Times New Roman"/>
                <w:b/>
              </w:rPr>
              <w:t xml:space="preserve">:  </w:t>
            </w:r>
            <w:r w:rsidR="006877E2">
              <w:rPr>
                <w:rFonts w:ascii="Times New Roman" w:hAnsi="Times New Roman"/>
              </w:rPr>
              <w:t>Telcordia Technologies, Inc. Petition to Reform Amendment 57 and to Order a Competitive Bidding Process for Number Portability Administration</w:t>
            </w:r>
            <w:r w:rsidR="001E63D9">
              <w:rPr>
                <w:rFonts w:ascii="Times New Roman" w:hAnsi="Times New Roman"/>
              </w:rPr>
              <w:t xml:space="preserve"> (WC Docket No. 07-149);</w:t>
            </w:r>
            <w:r w:rsidR="006877E2">
              <w:rPr>
                <w:rFonts w:ascii="Times New Roman" w:hAnsi="Times New Roman"/>
              </w:rPr>
              <w:t xml:space="preserve"> </w:t>
            </w:r>
            <w:r w:rsidR="001E63D9">
              <w:rPr>
                <w:rFonts w:ascii="Times New Roman" w:hAnsi="Times New Roman"/>
              </w:rPr>
              <w:t>Petition of Telcordia Technologies, Inc. t</w:t>
            </w:r>
            <w:r w:rsidR="00971BB5">
              <w:rPr>
                <w:rFonts w:ascii="Times New Roman" w:hAnsi="Times New Roman"/>
              </w:rPr>
              <w:t xml:space="preserve">o Reform or Strike Amendment 70 </w:t>
            </w:r>
            <w:r w:rsidR="001E63D9">
              <w:rPr>
                <w:rFonts w:ascii="Times New Roman" w:hAnsi="Times New Roman"/>
              </w:rPr>
              <w:t xml:space="preserve">to Institute </w:t>
            </w:r>
            <w:r w:rsidR="007B3E04">
              <w:rPr>
                <w:rFonts w:ascii="Times New Roman" w:hAnsi="Times New Roman"/>
              </w:rPr>
              <w:t>Competitive</w:t>
            </w:r>
            <w:r w:rsidR="001E63D9">
              <w:rPr>
                <w:rFonts w:ascii="Times New Roman" w:hAnsi="Times New Roman"/>
              </w:rPr>
              <w:t xml:space="preserve"> Bidding for Number Portability Admi</w:t>
            </w:r>
            <w:r w:rsidR="007B3E04">
              <w:rPr>
                <w:rFonts w:ascii="Times New Roman" w:hAnsi="Times New Roman"/>
              </w:rPr>
              <w:t xml:space="preserve">nistration, and to End the NAPM </w:t>
            </w:r>
            <w:r w:rsidR="001E63D9">
              <w:rPr>
                <w:rFonts w:ascii="Times New Roman" w:hAnsi="Times New Roman"/>
              </w:rPr>
              <w:t>LLC’s Interim Role in Number Portability Administration Contract Management</w:t>
            </w:r>
            <w:r w:rsidR="00AB2665">
              <w:rPr>
                <w:rFonts w:ascii="Times New Roman" w:hAnsi="Times New Roman"/>
              </w:rPr>
              <w:t xml:space="preserve"> (WC Docket No. 09-109);</w:t>
            </w:r>
            <w:r w:rsidR="001E63D9">
              <w:rPr>
                <w:rFonts w:ascii="Times New Roman" w:hAnsi="Times New Roman"/>
              </w:rPr>
              <w:t xml:space="preserve"> and </w:t>
            </w:r>
            <w:r w:rsidR="006877E2">
              <w:rPr>
                <w:rFonts w:ascii="Times New Roman" w:hAnsi="Times New Roman"/>
              </w:rPr>
              <w:t xml:space="preserve">Telephone Number Portability </w:t>
            </w:r>
            <w:r w:rsidR="000E0BD0">
              <w:rPr>
                <w:rFonts w:ascii="Times New Roman" w:hAnsi="Times New Roman"/>
              </w:rPr>
              <w:t>(</w:t>
            </w:r>
            <w:r w:rsidR="006877E2">
              <w:rPr>
                <w:rFonts w:ascii="Times New Roman" w:hAnsi="Times New Roman"/>
              </w:rPr>
              <w:t>CC Docket No. 95-116)</w:t>
            </w:r>
            <w:r w:rsidR="001E63D9">
              <w:rPr>
                <w:rFonts w:ascii="Times New Roman" w:hAnsi="Times New Roman"/>
              </w:rPr>
              <w:t>.</w:t>
            </w:r>
            <w:r w:rsidR="000E0BD0">
              <w:rPr>
                <w:rFonts w:ascii="Times New Roman" w:hAnsi="Times New Roman"/>
              </w:rPr>
              <w:t xml:space="preserve"> </w:t>
            </w:r>
          </w:p>
          <w:p w:rsidR="006877E2" w:rsidRDefault="006877E2" w:rsidP="00307A50">
            <w:pPr>
              <w:widowControl/>
              <w:autoSpaceDE/>
              <w:autoSpaceDN/>
              <w:adjustRightInd/>
              <w:rPr>
                <w:rFonts w:ascii="Times New Roman" w:hAnsi="Times New Roman"/>
              </w:rPr>
            </w:pPr>
          </w:p>
          <w:p w:rsidR="00351FF4" w:rsidRPr="00573A0D" w:rsidRDefault="000E0BD0" w:rsidP="00351FF4">
            <w:pPr>
              <w:jc w:val="both"/>
              <w:rPr>
                <w:rFonts w:ascii="Times New Roman" w:hAnsi="Times New Roman"/>
                <w:b/>
                <w:bCs/>
                <w:sz w:val="22"/>
                <w:szCs w:val="22"/>
              </w:rPr>
            </w:pPr>
            <w:r w:rsidRPr="003A6E14">
              <w:rPr>
                <w:rFonts w:ascii="Times New Roman" w:hAnsi="Times New Roman"/>
                <w:b/>
                <w:bCs/>
              </w:rPr>
              <w:lastRenderedPageBreak/>
              <w:t>SUMMARY:</w:t>
            </w:r>
            <w:r>
              <w:rPr>
                <w:rFonts w:ascii="Times New Roman" w:hAnsi="Times New Roman"/>
                <w:b/>
                <w:bCs/>
              </w:rPr>
              <w:t xml:space="preserve">  </w:t>
            </w:r>
            <w:r w:rsidR="00351FF4" w:rsidRPr="00573A0D">
              <w:rPr>
                <w:rFonts w:ascii="Times New Roman" w:hAnsi="Times New Roman"/>
                <w:bCs/>
                <w:sz w:val="22"/>
                <w:szCs w:val="22"/>
              </w:rPr>
              <w:t>The Commission will consider an Order addressing the recommendation of the North American Numbering Council regarding what company should serve as the next local number portability administrator.</w:t>
            </w:r>
          </w:p>
          <w:p w:rsidR="006A6C74" w:rsidRPr="003A6E14" w:rsidRDefault="006A6C74" w:rsidP="00307A50">
            <w:pPr>
              <w:widowControl/>
              <w:autoSpaceDE/>
              <w:autoSpaceDN/>
              <w:adjustRightInd/>
              <w:rPr>
                <w:rFonts w:ascii="Times New Roman" w:hAnsi="Times New Roman"/>
              </w:rPr>
            </w:pPr>
          </w:p>
        </w:tc>
      </w:tr>
      <w:bookmarkEnd w:id="1"/>
      <w:bookmarkEnd w:id="2"/>
    </w:tbl>
    <w:p w:rsidR="003A6E14" w:rsidRPr="003A6E14" w:rsidRDefault="003A6E14" w:rsidP="001A6B16">
      <w:pPr>
        <w:pStyle w:val="BodyText"/>
        <w:tabs>
          <w:tab w:val="clear" w:pos="-720"/>
        </w:tabs>
      </w:pPr>
    </w:p>
    <w:p w:rsidR="003A6E14" w:rsidRPr="003A6E14" w:rsidRDefault="003A6E14" w:rsidP="006C09C9">
      <w:pPr>
        <w:pStyle w:val="BodyText"/>
        <w:widowControl/>
        <w:tabs>
          <w:tab w:val="clear" w:pos="-720"/>
        </w:tabs>
        <w:suppressAutoHyphens w:val="0"/>
      </w:pPr>
      <w:r w:rsidRPr="003A6E14">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3A6E14">
          <w:rPr>
            <w:rStyle w:val="Hyperlink"/>
          </w:rPr>
          <w:t>fcc504@fcc.gov</w:t>
        </w:r>
      </w:hyperlink>
      <w:r w:rsidRPr="003A6E14">
        <w:t xml:space="preserve"> or call the Consumer &amp; Governmental Affairs Bureau at 202-418</w:t>
      </w:r>
      <w:r w:rsidR="00971BB5">
        <w:t>-0530 (voice), 202-418-0432 (TTY</w:t>
      </w:r>
      <w:r w:rsidRPr="003A6E14">
        <w:t>).</w:t>
      </w:r>
    </w:p>
    <w:p w:rsidR="003A6E14" w:rsidRPr="003A6E14" w:rsidRDefault="003A6E14" w:rsidP="003A6E14">
      <w:pPr>
        <w:rPr>
          <w:rFonts w:ascii="Times New Roman" w:hAnsi="Times New Roman"/>
        </w:rPr>
      </w:pPr>
    </w:p>
    <w:p w:rsidR="003A6E14" w:rsidRPr="003A6E14" w:rsidRDefault="003A6E14" w:rsidP="003A6E14">
      <w:pPr>
        <w:pStyle w:val="BodyText"/>
        <w:widowControl/>
        <w:tabs>
          <w:tab w:val="clear" w:pos="-720"/>
        </w:tabs>
        <w:spacing w:line="240" w:lineRule="auto"/>
      </w:pPr>
      <w:r w:rsidRPr="003A6E14">
        <w:t xml:space="preserve">Additional information concerning this meeting may be obtained from Meribeth McCarrick, Office of Media Relations, (202) 418-0500; TTY 1-888-835-5322.  Audio/Video coverage of the meeting will be broadcast live with open captioning over the Internet from the FCC Live web page at </w:t>
      </w:r>
      <w:hyperlink r:id="rId9" w:history="1">
        <w:r w:rsidRPr="003A6E14">
          <w:rPr>
            <w:rStyle w:val="Hyperlink"/>
          </w:rPr>
          <w:t>www.fcc.gov/live</w:t>
        </w:r>
      </w:hyperlink>
      <w:r w:rsidRPr="003A6E14">
        <w:t>.</w:t>
      </w:r>
    </w:p>
    <w:p w:rsidR="003A6E14" w:rsidRPr="003A6E14" w:rsidRDefault="003A6E14" w:rsidP="003A6E14">
      <w:pPr>
        <w:pStyle w:val="BodyText"/>
        <w:spacing w:line="240" w:lineRule="auto"/>
      </w:pPr>
    </w:p>
    <w:p w:rsidR="003A6E14" w:rsidRPr="003A6E14" w:rsidRDefault="003A6E14" w:rsidP="003A6E14">
      <w:pPr>
        <w:pStyle w:val="BodyText"/>
        <w:tabs>
          <w:tab w:val="clear" w:pos="-720"/>
        </w:tabs>
        <w:spacing w:line="240" w:lineRule="auto"/>
      </w:pPr>
      <w:r w:rsidRPr="003A6E14">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3A6E14">
          <w:rPr>
            <w:rStyle w:val="Hyperlink"/>
          </w:rPr>
          <w:t>www.capitolconnection.gmu.edu</w:t>
        </w:r>
      </w:hyperlink>
      <w:r w:rsidRPr="003A6E14">
        <w:t xml:space="preserve">.  </w:t>
      </w:r>
    </w:p>
    <w:p w:rsidR="003A6E14" w:rsidRPr="003A6E14" w:rsidRDefault="003A6E14" w:rsidP="003A6E14">
      <w:pPr>
        <w:pStyle w:val="BodyText"/>
        <w:tabs>
          <w:tab w:val="clear" w:pos="-720"/>
        </w:tabs>
        <w:spacing w:line="240" w:lineRule="auto"/>
      </w:pPr>
    </w:p>
    <w:p w:rsidR="007B549C" w:rsidRPr="003A6E14" w:rsidRDefault="007B549C" w:rsidP="00CB3A1C">
      <w:pPr>
        <w:pStyle w:val="BodyText"/>
        <w:suppressAutoHyphens w:val="0"/>
        <w:spacing w:line="240" w:lineRule="auto"/>
      </w:pPr>
    </w:p>
    <w:p w:rsidR="007B549C" w:rsidRPr="003A6E14" w:rsidRDefault="007B549C" w:rsidP="007B549C">
      <w:pPr>
        <w:pStyle w:val="BodyText"/>
        <w:tabs>
          <w:tab w:val="clear" w:pos="-720"/>
        </w:tabs>
        <w:suppressAutoHyphens w:val="0"/>
        <w:spacing w:line="240" w:lineRule="auto"/>
      </w:pPr>
    </w:p>
    <w:p w:rsidR="00CB2E02" w:rsidRPr="003A6E14" w:rsidRDefault="00CB2E02">
      <w:pPr>
        <w:keepNext/>
        <w:keepLines/>
        <w:tabs>
          <w:tab w:val="center" w:pos="4680"/>
        </w:tabs>
        <w:suppressAutoHyphens/>
        <w:rPr>
          <w:rFonts w:ascii="Times New Roman" w:hAnsi="Times New Roman"/>
          <w:b/>
        </w:rPr>
      </w:pPr>
      <w:r w:rsidRPr="003A6E14">
        <w:rPr>
          <w:rFonts w:ascii="Times New Roman" w:hAnsi="Times New Roman"/>
        </w:rPr>
        <w:tab/>
      </w:r>
      <w:r w:rsidRPr="003A6E14">
        <w:rPr>
          <w:rFonts w:ascii="Times New Roman" w:hAnsi="Times New Roman"/>
          <w:b/>
        </w:rPr>
        <w:t>-FCC-</w:t>
      </w:r>
    </w:p>
    <w:sectPr w:rsidR="00CB2E02" w:rsidRPr="003A6E14"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E" w:rsidRDefault="0086741E">
      <w:r>
        <w:separator/>
      </w:r>
    </w:p>
  </w:endnote>
  <w:endnote w:type="continuationSeparator" w:id="0">
    <w:p w:rsidR="0086741E" w:rsidRDefault="008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D0F">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AEE">
      <w:rPr>
        <w:rStyle w:val="PageNumber"/>
        <w:noProof/>
      </w:rPr>
      <w:t>2</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E" w:rsidRDefault="0086741E">
      <w:r>
        <w:separator/>
      </w:r>
    </w:p>
  </w:footnote>
  <w:footnote w:type="continuationSeparator" w:id="0">
    <w:p w:rsidR="0086741E" w:rsidRDefault="0086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0F" w:rsidRDefault="00A80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0F" w:rsidRDefault="00A80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07285"/>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0BD0"/>
    <w:rsid w:val="000E3458"/>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E63D9"/>
    <w:rsid w:val="001F2F06"/>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A45"/>
    <w:rsid w:val="00267E71"/>
    <w:rsid w:val="00273F60"/>
    <w:rsid w:val="0027749D"/>
    <w:rsid w:val="00283EC4"/>
    <w:rsid w:val="00284C45"/>
    <w:rsid w:val="00293B6A"/>
    <w:rsid w:val="0029585D"/>
    <w:rsid w:val="002B1B3D"/>
    <w:rsid w:val="002B20E0"/>
    <w:rsid w:val="002B38B1"/>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1FF4"/>
    <w:rsid w:val="00353463"/>
    <w:rsid w:val="00357B9B"/>
    <w:rsid w:val="003621A2"/>
    <w:rsid w:val="003649F4"/>
    <w:rsid w:val="00380D2C"/>
    <w:rsid w:val="003848E6"/>
    <w:rsid w:val="00386689"/>
    <w:rsid w:val="0038734C"/>
    <w:rsid w:val="00391465"/>
    <w:rsid w:val="003928F0"/>
    <w:rsid w:val="0039759B"/>
    <w:rsid w:val="003A2A3E"/>
    <w:rsid w:val="003A6E14"/>
    <w:rsid w:val="003A70E5"/>
    <w:rsid w:val="003B1611"/>
    <w:rsid w:val="003C4F9A"/>
    <w:rsid w:val="003D2E75"/>
    <w:rsid w:val="003D5230"/>
    <w:rsid w:val="003D5439"/>
    <w:rsid w:val="003D5F3C"/>
    <w:rsid w:val="003E334F"/>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56E88"/>
    <w:rsid w:val="00462F28"/>
    <w:rsid w:val="00473804"/>
    <w:rsid w:val="004803A0"/>
    <w:rsid w:val="00480762"/>
    <w:rsid w:val="00483AEA"/>
    <w:rsid w:val="0048591C"/>
    <w:rsid w:val="00494E69"/>
    <w:rsid w:val="004971EB"/>
    <w:rsid w:val="004A02CF"/>
    <w:rsid w:val="004A531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603A21"/>
    <w:rsid w:val="006213D9"/>
    <w:rsid w:val="00633267"/>
    <w:rsid w:val="00643D35"/>
    <w:rsid w:val="006465DA"/>
    <w:rsid w:val="00650034"/>
    <w:rsid w:val="0065099A"/>
    <w:rsid w:val="00653A69"/>
    <w:rsid w:val="00656262"/>
    <w:rsid w:val="006605FE"/>
    <w:rsid w:val="0067519E"/>
    <w:rsid w:val="00677519"/>
    <w:rsid w:val="006848A4"/>
    <w:rsid w:val="00686024"/>
    <w:rsid w:val="006861C0"/>
    <w:rsid w:val="006877E2"/>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73EB"/>
    <w:rsid w:val="00717911"/>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3E04"/>
    <w:rsid w:val="007B549C"/>
    <w:rsid w:val="007D7790"/>
    <w:rsid w:val="007F13F2"/>
    <w:rsid w:val="007F13FD"/>
    <w:rsid w:val="007F68E8"/>
    <w:rsid w:val="0080298E"/>
    <w:rsid w:val="00807812"/>
    <w:rsid w:val="00815238"/>
    <w:rsid w:val="00821197"/>
    <w:rsid w:val="008330FB"/>
    <w:rsid w:val="00833899"/>
    <w:rsid w:val="008568CD"/>
    <w:rsid w:val="00856DB9"/>
    <w:rsid w:val="00861A32"/>
    <w:rsid w:val="00864E2B"/>
    <w:rsid w:val="0086741E"/>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1BB5"/>
    <w:rsid w:val="009733C5"/>
    <w:rsid w:val="009868A6"/>
    <w:rsid w:val="00992BB3"/>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53AEE"/>
    <w:rsid w:val="00A6106C"/>
    <w:rsid w:val="00A625C1"/>
    <w:rsid w:val="00A63A4C"/>
    <w:rsid w:val="00A779BB"/>
    <w:rsid w:val="00A80D0F"/>
    <w:rsid w:val="00A83473"/>
    <w:rsid w:val="00A916CB"/>
    <w:rsid w:val="00A9284D"/>
    <w:rsid w:val="00A951B7"/>
    <w:rsid w:val="00A96183"/>
    <w:rsid w:val="00AA2270"/>
    <w:rsid w:val="00AA34D9"/>
    <w:rsid w:val="00AB2665"/>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56F"/>
    <w:rsid w:val="00B35BD6"/>
    <w:rsid w:val="00B3685C"/>
    <w:rsid w:val="00B508ED"/>
    <w:rsid w:val="00B5252D"/>
    <w:rsid w:val="00B53D34"/>
    <w:rsid w:val="00B7769B"/>
    <w:rsid w:val="00B7796E"/>
    <w:rsid w:val="00B77F9E"/>
    <w:rsid w:val="00B8555C"/>
    <w:rsid w:val="00B85D54"/>
    <w:rsid w:val="00B92D89"/>
    <w:rsid w:val="00BA58F8"/>
    <w:rsid w:val="00BB0382"/>
    <w:rsid w:val="00BB1769"/>
    <w:rsid w:val="00BB3E7F"/>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16D"/>
    <w:rsid w:val="00D0569B"/>
    <w:rsid w:val="00D10DD7"/>
    <w:rsid w:val="00D15595"/>
    <w:rsid w:val="00D22CEF"/>
    <w:rsid w:val="00D2339C"/>
    <w:rsid w:val="00D32FB7"/>
    <w:rsid w:val="00D3608E"/>
    <w:rsid w:val="00D36C52"/>
    <w:rsid w:val="00D40D23"/>
    <w:rsid w:val="00D41501"/>
    <w:rsid w:val="00D437B3"/>
    <w:rsid w:val="00D659D4"/>
    <w:rsid w:val="00D66036"/>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A13B8"/>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A529E"/>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2419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2015-03-19T20:45:00Z</dcterms:created>
  <dcterms:modified xsi:type="dcterms:W3CDTF">2015-03-19T20:45:00Z</dcterms:modified>
  <cp:category> </cp:category>
  <cp:contentStatus> </cp:contentStatus>
</cp:coreProperties>
</file>