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Pr="002914E3" w:rsidRDefault="004C2EE3">
      <w:pPr>
        <w:jc w:val="center"/>
        <w:rPr>
          <w:b/>
          <w:szCs w:val="22"/>
        </w:rPr>
      </w:pPr>
      <w:bookmarkStart w:id="0" w:name="_GoBack"/>
      <w:bookmarkEnd w:id="0"/>
      <w:r w:rsidRPr="002914E3">
        <w:rPr>
          <w:b/>
          <w:kern w:val="0"/>
          <w:szCs w:val="22"/>
        </w:rPr>
        <w:t>Before</w:t>
      </w:r>
      <w:r w:rsidRPr="002914E3">
        <w:rPr>
          <w:b/>
          <w:szCs w:val="22"/>
        </w:rPr>
        <w:t xml:space="preserve"> the</w:t>
      </w:r>
    </w:p>
    <w:p w:rsidR="00921803" w:rsidRPr="002914E3" w:rsidRDefault="00921803" w:rsidP="00921803">
      <w:pPr>
        <w:pStyle w:val="StyleBoldCentered"/>
        <w:rPr>
          <w:rFonts w:ascii="Times New Roman" w:hAnsi="Times New Roman"/>
        </w:rPr>
      </w:pPr>
      <w:r w:rsidRPr="002914E3">
        <w:rPr>
          <w:rFonts w:ascii="Times New Roman" w:hAnsi="Times New Roman"/>
        </w:rPr>
        <w:t>F</w:t>
      </w:r>
      <w:r w:rsidRPr="002914E3">
        <w:rPr>
          <w:rFonts w:ascii="Times New Roman" w:hAnsi="Times New Roman"/>
          <w:caps w:val="0"/>
        </w:rPr>
        <w:t>ederal Communications Commission</w:t>
      </w:r>
    </w:p>
    <w:p w:rsidR="004C2EE3" w:rsidRPr="002914E3" w:rsidRDefault="00810B6F" w:rsidP="00096D8C">
      <w:pPr>
        <w:pStyle w:val="StyleBoldCentered"/>
        <w:rPr>
          <w:rFonts w:ascii="Times New Roman" w:hAnsi="Times New Roman"/>
        </w:rPr>
      </w:pPr>
      <w:r w:rsidRPr="002914E3">
        <w:rPr>
          <w:rFonts w:ascii="Times New Roman" w:hAnsi="Times New Roman"/>
          <w:caps w:val="0"/>
        </w:rPr>
        <w:t>Washington, D.C. 20554</w:t>
      </w:r>
    </w:p>
    <w:p w:rsidR="004C2EE3" w:rsidRPr="002914E3" w:rsidRDefault="004C2EE3" w:rsidP="0070224F">
      <w:pPr>
        <w:rPr>
          <w:szCs w:val="22"/>
        </w:rPr>
      </w:pPr>
    </w:p>
    <w:p w:rsidR="004C2EE3" w:rsidRPr="002914E3" w:rsidRDefault="004C2EE3" w:rsidP="0070224F">
      <w:pPr>
        <w:rPr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E507EE" w:rsidRPr="002914E3">
        <w:tc>
          <w:tcPr>
            <w:tcW w:w="4698" w:type="dxa"/>
          </w:tcPr>
          <w:p w:rsidR="00E507EE" w:rsidRPr="002914E3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2914E3">
              <w:rPr>
                <w:spacing w:val="-2"/>
                <w:szCs w:val="22"/>
              </w:rPr>
              <w:t>In the Matter of</w:t>
            </w:r>
          </w:p>
          <w:p w:rsidR="00E507EE" w:rsidRPr="002914E3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E507EE" w:rsidRPr="002914E3" w:rsidRDefault="00933A78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2914E3">
              <w:rPr>
                <w:spacing w:val="-2"/>
                <w:szCs w:val="22"/>
              </w:rPr>
              <w:t xml:space="preserve">Protecting and Promoting the Open Internet </w:t>
            </w:r>
          </w:p>
        </w:tc>
        <w:tc>
          <w:tcPr>
            <w:tcW w:w="630" w:type="dxa"/>
          </w:tcPr>
          <w:p w:rsidR="00E507EE" w:rsidRPr="002914E3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2914E3">
              <w:rPr>
                <w:b/>
                <w:spacing w:val="-2"/>
                <w:szCs w:val="22"/>
              </w:rPr>
              <w:t>)</w:t>
            </w:r>
          </w:p>
          <w:p w:rsidR="00E507EE" w:rsidRPr="002914E3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2914E3">
              <w:rPr>
                <w:b/>
                <w:spacing w:val="-2"/>
                <w:szCs w:val="22"/>
              </w:rPr>
              <w:t>)</w:t>
            </w:r>
          </w:p>
          <w:p w:rsidR="00E507EE" w:rsidRPr="002914E3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2914E3">
              <w:rPr>
                <w:b/>
                <w:spacing w:val="-2"/>
                <w:szCs w:val="22"/>
              </w:rPr>
              <w:t>)</w:t>
            </w:r>
          </w:p>
        </w:tc>
        <w:tc>
          <w:tcPr>
            <w:tcW w:w="4248" w:type="dxa"/>
          </w:tcPr>
          <w:p w:rsidR="00E507EE" w:rsidRPr="002914E3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E507EE" w:rsidRPr="002914E3" w:rsidRDefault="00E507EE" w:rsidP="00295D47">
            <w:pPr>
              <w:pStyle w:val="TOAHeading"/>
              <w:widowControl/>
              <w:tabs>
                <w:tab w:val="clear" w:pos="9360"/>
                <w:tab w:val="center" w:pos="4680"/>
              </w:tabs>
              <w:rPr>
                <w:spacing w:val="-2"/>
                <w:szCs w:val="22"/>
              </w:rPr>
            </w:pPr>
          </w:p>
          <w:p w:rsidR="00933A78" w:rsidRPr="002914E3" w:rsidRDefault="00933A78" w:rsidP="00933A78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2914E3">
              <w:rPr>
                <w:spacing w:val="-2"/>
                <w:szCs w:val="22"/>
              </w:rPr>
              <w:t>GN Docket No. 14-28</w:t>
            </w:r>
          </w:p>
          <w:p w:rsidR="00E507EE" w:rsidRPr="002914E3" w:rsidRDefault="00E507EE" w:rsidP="00295D47">
            <w:pPr>
              <w:widowControl/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</w:tc>
      </w:tr>
    </w:tbl>
    <w:p w:rsidR="004C2EE3" w:rsidRPr="002914E3" w:rsidRDefault="004C2EE3" w:rsidP="0070224F">
      <w:pPr>
        <w:rPr>
          <w:szCs w:val="22"/>
        </w:rPr>
      </w:pPr>
    </w:p>
    <w:p w:rsidR="00841AB1" w:rsidRPr="002914E3" w:rsidRDefault="00DC083C" w:rsidP="00F021FA">
      <w:pPr>
        <w:pStyle w:val="StyleBoldCentered"/>
        <w:rPr>
          <w:rFonts w:ascii="Times New Roman" w:hAnsi="Times New Roman"/>
        </w:rPr>
      </w:pPr>
      <w:r w:rsidRPr="002914E3">
        <w:rPr>
          <w:rFonts w:ascii="Times New Roman" w:hAnsi="Times New Roman"/>
        </w:rPr>
        <w:t>erratum</w:t>
      </w:r>
    </w:p>
    <w:p w:rsidR="004C2EE3" w:rsidRPr="002914E3" w:rsidRDefault="004C2EE3">
      <w:pPr>
        <w:tabs>
          <w:tab w:val="left" w:pos="-720"/>
        </w:tabs>
        <w:suppressAutoHyphens/>
        <w:spacing w:line="227" w:lineRule="auto"/>
        <w:rPr>
          <w:spacing w:val="-2"/>
          <w:szCs w:val="22"/>
        </w:rPr>
      </w:pPr>
    </w:p>
    <w:p w:rsidR="004C2EE3" w:rsidRPr="002914E3" w:rsidRDefault="00DC083C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  <w:szCs w:val="22"/>
        </w:rPr>
      </w:pPr>
      <w:r w:rsidRPr="002914E3">
        <w:rPr>
          <w:b/>
          <w:spacing w:val="-2"/>
          <w:szCs w:val="22"/>
        </w:rPr>
        <w:tab/>
      </w:r>
      <w:r w:rsidR="004C2EE3" w:rsidRPr="002914E3">
        <w:rPr>
          <w:b/>
          <w:spacing w:val="-2"/>
          <w:szCs w:val="22"/>
        </w:rPr>
        <w:tab/>
      </w:r>
      <w:r w:rsidR="00822CE0" w:rsidRPr="002914E3">
        <w:rPr>
          <w:b/>
          <w:spacing w:val="-2"/>
          <w:szCs w:val="22"/>
        </w:rPr>
        <w:t>Released</w:t>
      </w:r>
      <w:r w:rsidR="004C2EE3" w:rsidRPr="002914E3">
        <w:rPr>
          <w:b/>
          <w:spacing w:val="-2"/>
          <w:szCs w:val="22"/>
        </w:rPr>
        <w:t>:</w:t>
      </w:r>
      <w:r w:rsidR="00822CE0" w:rsidRPr="002914E3">
        <w:rPr>
          <w:b/>
          <w:spacing w:val="-2"/>
          <w:szCs w:val="22"/>
        </w:rPr>
        <w:t xml:space="preserve"> </w:t>
      </w:r>
      <w:r w:rsidR="004C2EE3" w:rsidRPr="002914E3">
        <w:rPr>
          <w:b/>
          <w:spacing w:val="-2"/>
          <w:szCs w:val="22"/>
        </w:rPr>
        <w:t xml:space="preserve"> </w:t>
      </w:r>
      <w:r w:rsidR="00DE13EE" w:rsidRPr="002914E3">
        <w:rPr>
          <w:b/>
          <w:spacing w:val="-2"/>
          <w:szCs w:val="22"/>
        </w:rPr>
        <w:t>April</w:t>
      </w:r>
      <w:r w:rsidR="00D93D2A" w:rsidRPr="002914E3">
        <w:rPr>
          <w:b/>
          <w:spacing w:val="-2"/>
          <w:szCs w:val="22"/>
        </w:rPr>
        <w:t xml:space="preserve"> </w:t>
      </w:r>
      <w:r w:rsidR="003E54A1">
        <w:rPr>
          <w:b/>
          <w:spacing w:val="-2"/>
          <w:szCs w:val="22"/>
        </w:rPr>
        <w:t>3</w:t>
      </w:r>
      <w:r w:rsidRPr="002914E3">
        <w:rPr>
          <w:b/>
          <w:spacing w:val="-2"/>
          <w:szCs w:val="22"/>
        </w:rPr>
        <w:t>, 201</w:t>
      </w:r>
      <w:r w:rsidR="00933A78" w:rsidRPr="002914E3">
        <w:rPr>
          <w:b/>
          <w:spacing w:val="-2"/>
          <w:szCs w:val="22"/>
        </w:rPr>
        <w:t>5</w:t>
      </w:r>
    </w:p>
    <w:p w:rsidR="00822CE0" w:rsidRPr="002914E3" w:rsidRDefault="00822CE0">
      <w:pPr>
        <w:rPr>
          <w:szCs w:val="22"/>
        </w:rPr>
      </w:pPr>
    </w:p>
    <w:p w:rsidR="004C2EE3" w:rsidRPr="002914E3" w:rsidRDefault="004C2EE3">
      <w:pPr>
        <w:rPr>
          <w:spacing w:val="-2"/>
          <w:szCs w:val="22"/>
        </w:rPr>
      </w:pPr>
      <w:r w:rsidRPr="002914E3">
        <w:rPr>
          <w:szCs w:val="22"/>
        </w:rPr>
        <w:t xml:space="preserve">By </w:t>
      </w:r>
      <w:r w:rsidR="004E4A22" w:rsidRPr="002914E3">
        <w:rPr>
          <w:szCs w:val="22"/>
        </w:rPr>
        <w:t>the</w:t>
      </w:r>
      <w:r w:rsidR="00DC083C" w:rsidRPr="002914E3">
        <w:rPr>
          <w:spacing w:val="-2"/>
          <w:szCs w:val="22"/>
        </w:rPr>
        <w:t xml:space="preserve"> Chief, Wireline Competition Bureau</w:t>
      </w:r>
      <w:r w:rsidRPr="002914E3">
        <w:rPr>
          <w:spacing w:val="-2"/>
          <w:szCs w:val="22"/>
        </w:rPr>
        <w:t>:</w:t>
      </w:r>
    </w:p>
    <w:p w:rsidR="00822EC6" w:rsidRPr="002914E3" w:rsidRDefault="00822EC6">
      <w:pPr>
        <w:rPr>
          <w:spacing w:val="-2"/>
          <w:szCs w:val="22"/>
        </w:rPr>
      </w:pPr>
    </w:p>
    <w:p w:rsidR="00100D38" w:rsidRPr="002914E3" w:rsidRDefault="00822EC6" w:rsidP="00822EC6">
      <w:pPr>
        <w:pStyle w:val="ParaNum"/>
        <w:numPr>
          <w:ilvl w:val="0"/>
          <w:numId w:val="0"/>
        </w:numPr>
        <w:ind w:firstLine="720"/>
        <w:rPr>
          <w:szCs w:val="22"/>
        </w:rPr>
      </w:pPr>
      <w:r w:rsidRPr="002914E3">
        <w:rPr>
          <w:szCs w:val="22"/>
        </w:rPr>
        <w:t xml:space="preserve">On </w:t>
      </w:r>
      <w:r w:rsidR="00933A78" w:rsidRPr="002914E3">
        <w:rPr>
          <w:szCs w:val="22"/>
        </w:rPr>
        <w:t>March 12, 2015</w:t>
      </w:r>
      <w:r w:rsidRPr="002914E3">
        <w:rPr>
          <w:szCs w:val="22"/>
        </w:rPr>
        <w:t xml:space="preserve">, the </w:t>
      </w:r>
      <w:r w:rsidR="00E507EE" w:rsidRPr="002914E3">
        <w:rPr>
          <w:szCs w:val="22"/>
        </w:rPr>
        <w:t>Commission</w:t>
      </w:r>
      <w:r w:rsidR="002914E3" w:rsidRPr="002914E3">
        <w:rPr>
          <w:szCs w:val="22"/>
        </w:rPr>
        <w:t xml:space="preserve"> released a Report and</w:t>
      </w:r>
      <w:r w:rsidR="000B063C" w:rsidRPr="002914E3">
        <w:rPr>
          <w:szCs w:val="22"/>
        </w:rPr>
        <w:t xml:space="preserve"> Order on Re</w:t>
      </w:r>
      <w:r w:rsidR="00933A78" w:rsidRPr="002914E3">
        <w:rPr>
          <w:szCs w:val="22"/>
        </w:rPr>
        <w:t>mand, Declaratory Ruling, and Order</w:t>
      </w:r>
      <w:r w:rsidR="000B063C" w:rsidRPr="002914E3">
        <w:rPr>
          <w:szCs w:val="22"/>
        </w:rPr>
        <w:t xml:space="preserve"> </w:t>
      </w:r>
      <w:r w:rsidR="00B97C64" w:rsidRPr="002914E3">
        <w:rPr>
          <w:szCs w:val="22"/>
        </w:rPr>
        <w:t>(</w:t>
      </w:r>
      <w:r w:rsidR="002914E3" w:rsidRPr="002914E3">
        <w:rPr>
          <w:i/>
          <w:szCs w:val="22"/>
        </w:rPr>
        <w:t xml:space="preserve">2015 </w:t>
      </w:r>
      <w:r w:rsidR="00933A78" w:rsidRPr="002914E3">
        <w:rPr>
          <w:i/>
          <w:szCs w:val="22"/>
        </w:rPr>
        <w:t>Open Internet Order</w:t>
      </w:r>
      <w:r w:rsidR="00B97C64" w:rsidRPr="002914E3">
        <w:rPr>
          <w:szCs w:val="22"/>
        </w:rPr>
        <w:t>)</w:t>
      </w:r>
      <w:r w:rsidRPr="002914E3">
        <w:rPr>
          <w:szCs w:val="22"/>
        </w:rPr>
        <w:t xml:space="preserve">, </w:t>
      </w:r>
      <w:r w:rsidR="00E507EE" w:rsidRPr="002914E3">
        <w:rPr>
          <w:szCs w:val="22"/>
        </w:rPr>
        <w:t>FCC</w:t>
      </w:r>
      <w:r w:rsidR="00933A78" w:rsidRPr="002914E3">
        <w:rPr>
          <w:szCs w:val="22"/>
        </w:rPr>
        <w:t xml:space="preserve"> 15-24</w:t>
      </w:r>
      <w:r w:rsidRPr="002914E3">
        <w:rPr>
          <w:szCs w:val="22"/>
        </w:rPr>
        <w:t>, in the above-captioned proceeding.</w:t>
      </w:r>
      <w:r w:rsidR="003753B1">
        <w:rPr>
          <w:szCs w:val="22"/>
        </w:rPr>
        <w:t xml:space="preserve">  </w:t>
      </w:r>
      <w:r w:rsidR="00B97C64" w:rsidRPr="002914E3">
        <w:rPr>
          <w:szCs w:val="22"/>
        </w:rPr>
        <w:t xml:space="preserve">This </w:t>
      </w:r>
      <w:r w:rsidRPr="002914E3">
        <w:rPr>
          <w:szCs w:val="22"/>
        </w:rPr>
        <w:t xml:space="preserve">Erratum </w:t>
      </w:r>
      <w:r w:rsidR="00100D38" w:rsidRPr="002914E3">
        <w:rPr>
          <w:szCs w:val="22"/>
        </w:rPr>
        <w:t>amend</w:t>
      </w:r>
      <w:r w:rsidRPr="002914E3">
        <w:rPr>
          <w:szCs w:val="22"/>
        </w:rPr>
        <w:t xml:space="preserve">s </w:t>
      </w:r>
      <w:r w:rsidR="00A95ADB" w:rsidRPr="002914E3">
        <w:rPr>
          <w:szCs w:val="22"/>
        </w:rPr>
        <w:t xml:space="preserve">the </w:t>
      </w:r>
      <w:r w:rsidR="002914E3" w:rsidRPr="002914E3">
        <w:rPr>
          <w:i/>
          <w:szCs w:val="22"/>
        </w:rPr>
        <w:t xml:space="preserve">2015 </w:t>
      </w:r>
      <w:r w:rsidR="00933A78" w:rsidRPr="002914E3">
        <w:rPr>
          <w:i/>
          <w:szCs w:val="22"/>
        </w:rPr>
        <w:t>Open Inter</w:t>
      </w:r>
      <w:r w:rsidR="007D33D3" w:rsidRPr="002914E3">
        <w:rPr>
          <w:i/>
          <w:szCs w:val="22"/>
        </w:rPr>
        <w:t>n</w:t>
      </w:r>
      <w:r w:rsidR="00933A78" w:rsidRPr="002914E3">
        <w:rPr>
          <w:i/>
          <w:szCs w:val="22"/>
        </w:rPr>
        <w:t>et</w:t>
      </w:r>
      <w:r w:rsidR="007D33D3" w:rsidRPr="002914E3">
        <w:rPr>
          <w:i/>
          <w:szCs w:val="22"/>
        </w:rPr>
        <w:t xml:space="preserve"> Order</w:t>
      </w:r>
      <w:r w:rsidR="00933A78" w:rsidRPr="002914E3">
        <w:rPr>
          <w:i/>
          <w:szCs w:val="22"/>
        </w:rPr>
        <w:t xml:space="preserve"> </w:t>
      </w:r>
      <w:r w:rsidR="00100D38" w:rsidRPr="002914E3">
        <w:rPr>
          <w:szCs w:val="22"/>
        </w:rPr>
        <w:t>as indicated below:</w:t>
      </w:r>
    </w:p>
    <w:p w:rsidR="003753B1" w:rsidRDefault="00F36689" w:rsidP="00D81AF1">
      <w:pPr>
        <w:pStyle w:val="ParaNum"/>
        <w:numPr>
          <w:ilvl w:val="0"/>
          <w:numId w:val="10"/>
        </w:numPr>
        <w:tabs>
          <w:tab w:val="left" w:pos="1260"/>
        </w:tabs>
        <w:ind w:left="0" w:firstLine="720"/>
        <w:rPr>
          <w:szCs w:val="22"/>
        </w:rPr>
      </w:pPr>
      <w:r>
        <w:rPr>
          <w:szCs w:val="22"/>
        </w:rPr>
        <w:t>In p</w:t>
      </w:r>
      <w:r w:rsidR="003423A6" w:rsidRPr="003753B1">
        <w:rPr>
          <w:szCs w:val="22"/>
        </w:rPr>
        <w:t>aragraph 419,</w:t>
      </w:r>
      <w:r w:rsidR="003423A6">
        <w:rPr>
          <w:szCs w:val="22"/>
        </w:rPr>
        <w:t xml:space="preserve"> i</w:t>
      </w:r>
      <w:r w:rsidR="001549F5" w:rsidRPr="003753B1">
        <w:rPr>
          <w:szCs w:val="22"/>
        </w:rPr>
        <w:t>n</w:t>
      </w:r>
      <w:r w:rsidR="00C4646D" w:rsidRPr="003753B1">
        <w:rPr>
          <w:szCs w:val="22"/>
        </w:rPr>
        <w:t xml:space="preserve"> the fourth sentence</w:t>
      </w:r>
      <w:r w:rsidR="003423A6">
        <w:rPr>
          <w:szCs w:val="22"/>
        </w:rPr>
        <w:t>,</w:t>
      </w:r>
      <w:r w:rsidR="001549F5" w:rsidRPr="003753B1">
        <w:rPr>
          <w:szCs w:val="22"/>
        </w:rPr>
        <w:t xml:space="preserve"> </w:t>
      </w:r>
      <w:r w:rsidR="00C4646D" w:rsidRPr="003753B1">
        <w:rPr>
          <w:szCs w:val="22"/>
        </w:rPr>
        <w:t>replace the word “proscribes” with the word “ascribes.”</w:t>
      </w:r>
    </w:p>
    <w:p w:rsidR="003753B1" w:rsidRDefault="00F36689" w:rsidP="00D81AF1">
      <w:pPr>
        <w:pStyle w:val="ParaNum"/>
        <w:numPr>
          <w:ilvl w:val="0"/>
          <w:numId w:val="10"/>
        </w:numPr>
        <w:tabs>
          <w:tab w:val="left" w:pos="1260"/>
        </w:tabs>
        <w:ind w:left="0" w:firstLine="720"/>
        <w:rPr>
          <w:szCs w:val="22"/>
        </w:rPr>
      </w:pPr>
      <w:r>
        <w:rPr>
          <w:szCs w:val="22"/>
        </w:rPr>
        <w:t>In p</w:t>
      </w:r>
      <w:r w:rsidR="003423A6" w:rsidRPr="003753B1">
        <w:rPr>
          <w:szCs w:val="22"/>
        </w:rPr>
        <w:t xml:space="preserve">aragraph 514, </w:t>
      </w:r>
      <w:r w:rsidR="003423A6">
        <w:rPr>
          <w:szCs w:val="22"/>
        </w:rPr>
        <w:t>i</w:t>
      </w:r>
      <w:r w:rsidR="00933A78" w:rsidRPr="003753B1">
        <w:rPr>
          <w:szCs w:val="22"/>
        </w:rPr>
        <w:t>n the seventh sentence</w:t>
      </w:r>
      <w:r w:rsidR="003423A6">
        <w:rPr>
          <w:szCs w:val="22"/>
        </w:rPr>
        <w:t xml:space="preserve">, </w:t>
      </w:r>
      <w:r w:rsidR="00933A78" w:rsidRPr="003753B1">
        <w:rPr>
          <w:szCs w:val="22"/>
        </w:rPr>
        <w:t xml:space="preserve">insert </w:t>
      </w:r>
      <w:r w:rsidR="005E16A6" w:rsidRPr="003753B1">
        <w:rPr>
          <w:szCs w:val="22"/>
        </w:rPr>
        <w:t xml:space="preserve">the word </w:t>
      </w:r>
      <w:r w:rsidR="00933A78" w:rsidRPr="003753B1">
        <w:rPr>
          <w:szCs w:val="22"/>
        </w:rPr>
        <w:t xml:space="preserve">“not” before the </w:t>
      </w:r>
      <w:r w:rsidR="00DE13EE" w:rsidRPr="003753B1">
        <w:rPr>
          <w:szCs w:val="22"/>
        </w:rPr>
        <w:t>phrase “eliminate any previously-applicable requirements</w:t>
      </w:r>
      <w:r w:rsidR="00933A78" w:rsidRPr="00F36689">
        <w:rPr>
          <w:szCs w:val="22"/>
        </w:rPr>
        <w:t>.</w:t>
      </w:r>
      <w:r w:rsidR="00DE13EE" w:rsidRPr="00F36689">
        <w:rPr>
          <w:szCs w:val="22"/>
        </w:rPr>
        <w:t>”</w:t>
      </w:r>
    </w:p>
    <w:p w:rsidR="00AA4D73" w:rsidRDefault="00AA4D73" w:rsidP="00D81AF1">
      <w:pPr>
        <w:pStyle w:val="ParaNum"/>
        <w:numPr>
          <w:ilvl w:val="0"/>
          <w:numId w:val="10"/>
        </w:numPr>
        <w:tabs>
          <w:tab w:val="left" w:pos="1260"/>
        </w:tabs>
        <w:ind w:left="0" w:firstLine="720"/>
        <w:rPr>
          <w:szCs w:val="22"/>
        </w:rPr>
      </w:pPr>
      <w:r>
        <w:rPr>
          <w:szCs w:val="22"/>
        </w:rPr>
        <w:t>In paragraph 583, delete the extraneous comma and space before the words “of the Communications Act of 1934.”</w:t>
      </w:r>
    </w:p>
    <w:p w:rsidR="00613111" w:rsidRDefault="00613111" w:rsidP="00D81AF1">
      <w:pPr>
        <w:pStyle w:val="ParaNum"/>
        <w:numPr>
          <w:ilvl w:val="0"/>
          <w:numId w:val="10"/>
        </w:numPr>
        <w:tabs>
          <w:tab w:val="left" w:pos="1260"/>
        </w:tabs>
        <w:ind w:left="0" w:firstLine="720"/>
        <w:rPr>
          <w:szCs w:val="22"/>
        </w:rPr>
      </w:pPr>
      <w:r>
        <w:rPr>
          <w:szCs w:val="22"/>
        </w:rPr>
        <w:t>In footnote 69, replace the phrase “contravened federal policy” with “contravene[d] . . .</w:t>
      </w:r>
      <w:r w:rsidR="00E5338A">
        <w:rPr>
          <w:szCs w:val="22"/>
        </w:rPr>
        <w:t> </w:t>
      </w:r>
      <w:r>
        <w:rPr>
          <w:szCs w:val="22"/>
        </w:rPr>
        <w:t>federal policy.”</w:t>
      </w:r>
    </w:p>
    <w:p w:rsidR="00C4646D" w:rsidRPr="00D81AF1" w:rsidRDefault="00C4646D" w:rsidP="00D81AF1">
      <w:pPr>
        <w:pStyle w:val="ParaNum"/>
        <w:numPr>
          <w:ilvl w:val="0"/>
          <w:numId w:val="10"/>
        </w:numPr>
        <w:tabs>
          <w:tab w:val="left" w:pos="1260"/>
        </w:tabs>
        <w:ind w:left="0" w:firstLine="720"/>
        <w:rPr>
          <w:bCs/>
          <w:szCs w:val="22"/>
          <w:shd w:val="clear" w:color="auto" w:fill="FFFFFF"/>
        </w:rPr>
      </w:pPr>
      <w:r w:rsidRPr="003753B1">
        <w:rPr>
          <w:bCs/>
          <w:szCs w:val="22"/>
          <w:shd w:val="clear" w:color="auto" w:fill="FFFFFF"/>
        </w:rPr>
        <w:t xml:space="preserve">In footnote 194, insert a period </w:t>
      </w:r>
      <w:r w:rsidR="00A912E3">
        <w:rPr>
          <w:bCs/>
          <w:szCs w:val="22"/>
          <w:shd w:val="clear" w:color="auto" w:fill="FFFFFF"/>
        </w:rPr>
        <w:t>between</w:t>
      </w:r>
      <w:r w:rsidRPr="003753B1">
        <w:rPr>
          <w:bCs/>
          <w:szCs w:val="22"/>
          <w:shd w:val="clear" w:color="auto" w:fill="FFFFFF"/>
        </w:rPr>
        <w:t xml:space="preserve"> </w:t>
      </w:r>
      <w:r w:rsidR="004959D5" w:rsidRPr="003753B1">
        <w:rPr>
          <w:szCs w:val="22"/>
        </w:rPr>
        <w:t>(“</w:t>
      </w:r>
      <w:r w:rsidR="00793154">
        <w:rPr>
          <w:szCs w:val="22"/>
        </w:rPr>
        <w:t>. . .</w:t>
      </w:r>
      <w:r w:rsidR="004959D5" w:rsidRPr="003423A6">
        <w:rPr>
          <w:szCs w:val="22"/>
        </w:rPr>
        <w:t xml:space="preserve"> mobile broadband providers.”)</w:t>
      </w:r>
      <w:r w:rsidR="00A912E3">
        <w:rPr>
          <w:szCs w:val="22"/>
        </w:rPr>
        <w:t xml:space="preserve"> and “However</w:t>
      </w:r>
      <w:r w:rsidR="004959D5" w:rsidRPr="003423A6">
        <w:rPr>
          <w:szCs w:val="22"/>
        </w:rPr>
        <w:t>.</w:t>
      </w:r>
      <w:r w:rsidR="009F10E2">
        <w:rPr>
          <w:szCs w:val="22"/>
        </w:rPr>
        <w:t>”</w:t>
      </w:r>
    </w:p>
    <w:p w:rsidR="00C4646D" w:rsidRDefault="00C4646D" w:rsidP="00D81AF1">
      <w:pPr>
        <w:pStyle w:val="ParaNum"/>
        <w:numPr>
          <w:ilvl w:val="0"/>
          <w:numId w:val="10"/>
        </w:numPr>
        <w:tabs>
          <w:tab w:val="left" w:pos="1260"/>
        </w:tabs>
        <w:ind w:left="0" w:firstLine="720"/>
        <w:rPr>
          <w:szCs w:val="22"/>
        </w:rPr>
      </w:pPr>
      <w:r w:rsidRPr="003753B1">
        <w:rPr>
          <w:szCs w:val="22"/>
        </w:rPr>
        <w:t xml:space="preserve">In footnote 201, </w:t>
      </w:r>
      <w:r w:rsidR="009F10E2">
        <w:rPr>
          <w:szCs w:val="22"/>
        </w:rPr>
        <w:t>the word</w:t>
      </w:r>
      <w:r w:rsidRPr="003753B1">
        <w:rPr>
          <w:szCs w:val="22"/>
        </w:rPr>
        <w:t xml:space="preserve"> </w:t>
      </w:r>
      <w:r w:rsidR="009F10E2" w:rsidRPr="003753B1">
        <w:rPr>
          <w:szCs w:val="22"/>
        </w:rPr>
        <w:t>“remarks</w:t>
      </w:r>
      <w:r w:rsidR="009F10E2">
        <w:rPr>
          <w:szCs w:val="22"/>
        </w:rPr>
        <w:t>” is corrected to read as</w:t>
      </w:r>
      <w:r w:rsidR="009F10E2" w:rsidRPr="003753B1">
        <w:rPr>
          <w:szCs w:val="22"/>
        </w:rPr>
        <w:t xml:space="preserve"> </w:t>
      </w:r>
      <w:r w:rsidRPr="003753B1">
        <w:rPr>
          <w:szCs w:val="22"/>
        </w:rPr>
        <w:t>“R</w:t>
      </w:r>
      <w:r w:rsidR="009F10E2">
        <w:rPr>
          <w:szCs w:val="22"/>
        </w:rPr>
        <w:t>emarks</w:t>
      </w:r>
      <w:r w:rsidRPr="003753B1">
        <w:rPr>
          <w:szCs w:val="22"/>
        </w:rPr>
        <w:t>.”</w:t>
      </w:r>
    </w:p>
    <w:p w:rsidR="003753B1" w:rsidRDefault="00DE13EE" w:rsidP="00D81AF1">
      <w:pPr>
        <w:pStyle w:val="ParaNum"/>
        <w:numPr>
          <w:ilvl w:val="0"/>
          <w:numId w:val="10"/>
        </w:numPr>
        <w:tabs>
          <w:tab w:val="left" w:pos="1260"/>
        </w:tabs>
        <w:ind w:left="0" w:firstLine="720"/>
        <w:rPr>
          <w:szCs w:val="22"/>
        </w:rPr>
      </w:pPr>
      <w:r w:rsidRPr="003753B1">
        <w:rPr>
          <w:szCs w:val="22"/>
        </w:rPr>
        <w:t xml:space="preserve">In footnote 1136, </w:t>
      </w:r>
      <w:r w:rsidR="009F10E2">
        <w:rPr>
          <w:szCs w:val="22"/>
        </w:rPr>
        <w:t xml:space="preserve">replace </w:t>
      </w:r>
      <w:r w:rsidR="009F10E2" w:rsidRPr="009F10E2">
        <w:rPr>
          <w:szCs w:val="22"/>
        </w:rPr>
        <w:t>“</w:t>
      </w:r>
      <w:r w:rsidR="009F10E2">
        <w:rPr>
          <w:szCs w:val="22"/>
        </w:rPr>
        <w:t xml:space="preserve">(filed </w:t>
      </w:r>
      <w:r w:rsidR="009F10E2" w:rsidRPr="009F10E2">
        <w:rPr>
          <w:szCs w:val="22"/>
        </w:rPr>
        <w:t>Dec. 5, 2015</w:t>
      </w:r>
      <w:r w:rsidR="009F10E2">
        <w:rPr>
          <w:szCs w:val="22"/>
        </w:rPr>
        <w:t>)</w:t>
      </w:r>
      <w:r w:rsidR="009F10E2" w:rsidRPr="00C637F3">
        <w:rPr>
          <w:szCs w:val="22"/>
        </w:rPr>
        <w:t>”</w:t>
      </w:r>
      <w:r w:rsidR="009F10E2">
        <w:rPr>
          <w:szCs w:val="22"/>
        </w:rPr>
        <w:t xml:space="preserve"> with </w:t>
      </w:r>
      <w:r w:rsidR="009F10E2" w:rsidRPr="009F10E2">
        <w:rPr>
          <w:szCs w:val="22"/>
        </w:rPr>
        <w:t>“</w:t>
      </w:r>
      <w:r w:rsidR="009F10E2">
        <w:rPr>
          <w:szCs w:val="22"/>
        </w:rPr>
        <w:t xml:space="preserve">(filed </w:t>
      </w:r>
      <w:r w:rsidR="009F10E2" w:rsidRPr="009F10E2">
        <w:rPr>
          <w:szCs w:val="22"/>
        </w:rPr>
        <w:t>Dec. 5, 2014</w:t>
      </w:r>
      <w:r w:rsidR="009F10E2">
        <w:rPr>
          <w:szCs w:val="22"/>
        </w:rPr>
        <w:t>)</w:t>
      </w:r>
      <w:r w:rsidR="00472BE7">
        <w:rPr>
          <w:szCs w:val="22"/>
        </w:rPr>
        <w:t>,</w:t>
      </w:r>
      <w:r w:rsidR="00A70BFE" w:rsidRPr="009F10E2">
        <w:rPr>
          <w:szCs w:val="22"/>
        </w:rPr>
        <w:t>”</w:t>
      </w:r>
      <w:r w:rsidR="00472BE7">
        <w:rPr>
          <w:szCs w:val="22"/>
        </w:rPr>
        <w:t xml:space="preserve"> and insert a space between the first parenthesis and “10-127.”</w:t>
      </w:r>
    </w:p>
    <w:p w:rsidR="00822EC6" w:rsidRDefault="00A95ADB" w:rsidP="00613111">
      <w:pPr>
        <w:pStyle w:val="ParaNum"/>
        <w:numPr>
          <w:ilvl w:val="0"/>
          <w:numId w:val="10"/>
        </w:numPr>
        <w:tabs>
          <w:tab w:val="left" w:pos="1260"/>
        </w:tabs>
        <w:ind w:left="0" w:firstLine="720"/>
        <w:rPr>
          <w:bCs/>
          <w:szCs w:val="22"/>
          <w:shd w:val="clear" w:color="auto" w:fill="FFFFFF"/>
        </w:rPr>
      </w:pPr>
      <w:r w:rsidRPr="003753B1">
        <w:rPr>
          <w:szCs w:val="22"/>
        </w:rPr>
        <w:t>In</w:t>
      </w:r>
      <w:r w:rsidR="00DE13EE" w:rsidRPr="003753B1">
        <w:rPr>
          <w:szCs w:val="22"/>
        </w:rPr>
        <w:t xml:space="preserve"> </w:t>
      </w:r>
      <w:r w:rsidR="00DE13EE" w:rsidRPr="003753B1">
        <w:rPr>
          <w:bCs/>
          <w:szCs w:val="22"/>
          <w:shd w:val="clear" w:color="auto" w:fill="FFFFFF"/>
        </w:rPr>
        <w:t xml:space="preserve">footnote 1393, </w:t>
      </w:r>
      <w:r w:rsidR="009F10E2">
        <w:rPr>
          <w:bCs/>
          <w:szCs w:val="22"/>
          <w:shd w:val="clear" w:color="auto" w:fill="FFFFFF"/>
        </w:rPr>
        <w:t xml:space="preserve">in </w:t>
      </w:r>
      <w:r w:rsidR="009F10E2" w:rsidRPr="003753B1">
        <w:rPr>
          <w:szCs w:val="22"/>
        </w:rPr>
        <w:t xml:space="preserve">the </w:t>
      </w:r>
      <w:r w:rsidR="009F10E2">
        <w:rPr>
          <w:szCs w:val="22"/>
        </w:rPr>
        <w:t>last</w:t>
      </w:r>
      <w:r w:rsidR="009F10E2" w:rsidRPr="003753B1">
        <w:rPr>
          <w:szCs w:val="22"/>
        </w:rPr>
        <w:t xml:space="preserve"> sentence</w:t>
      </w:r>
      <w:r w:rsidR="009F10E2">
        <w:rPr>
          <w:szCs w:val="22"/>
        </w:rPr>
        <w:t>,</w:t>
      </w:r>
      <w:r w:rsidR="009F10E2" w:rsidRPr="003753B1">
        <w:rPr>
          <w:szCs w:val="22"/>
        </w:rPr>
        <w:t xml:space="preserve"> </w:t>
      </w:r>
      <w:r w:rsidR="00DE13EE" w:rsidRPr="003753B1">
        <w:rPr>
          <w:bCs/>
          <w:szCs w:val="22"/>
          <w:shd w:val="clear" w:color="auto" w:fill="FFFFFF"/>
        </w:rPr>
        <w:t>delete the phra</w:t>
      </w:r>
      <w:r w:rsidR="00100935" w:rsidRPr="003753B1">
        <w:rPr>
          <w:bCs/>
          <w:szCs w:val="22"/>
          <w:shd w:val="clear" w:color="auto" w:fill="FFFFFF"/>
        </w:rPr>
        <w:t>se “and our implementing rules</w:t>
      </w:r>
      <w:r w:rsidR="00100935" w:rsidRPr="009F10E2">
        <w:rPr>
          <w:bCs/>
          <w:szCs w:val="22"/>
          <w:shd w:val="clear" w:color="auto" w:fill="FFFFFF"/>
        </w:rPr>
        <w:t>.”</w:t>
      </w:r>
    </w:p>
    <w:p w:rsidR="00DE13EE" w:rsidRDefault="00BE2407" w:rsidP="00E5338A">
      <w:pPr>
        <w:pStyle w:val="ParaNum"/>
        <w:numPr>
          <w:ilvl w:val="0"/>
          <w:numId w:val="10"/>
        </w:numPr>
        <w:tabs>
          <w:tab w:val="left" w:pos="1260"/>
        </w:tabs>
        <w:ind w:left="0" w:firstLine="720"/>
        <w:rPr>
          <w:bCs/>
          <w:szCs w:val="22"/>
          <w:shd w:val="clear" w:color="auto" w:fill="FFFFFF"/>
        </w:rPr>
      </w:pPr>
      <w:r w:rsidRPr="003753B1">
        <w:rPr>
          <w:bCs/>
          <w:szCs w:val="22"/>
          <w:shd w:val="clear" w:color="auto" w:fill="FFFFFF"/>
        </w:rPr>
        <w:t>In footnote</w:t>
      </w:r>
      <w:r w:rsidR="000B0DDD">
        <w:rPr>
          <w:bCs/>
          <w:szCs w:val="22"/>
          <w:shd w:val="clear" w:color="auto" w:fill="FFFFFF"/>
        </w:rPr>
        <w:t>s</w:t>
      </w:r>
      <w:r w:rsidR="00DE13EE" w:rsidRPr="003753B1">
        <w:rPr>
          <w:bCs/>
          <w:szCs w:val="22"/>
          <w:shd w:val="clear" w:color="auto" w:fill="FFFFFF"/>
        </w:rPr>
        <w:t xml:space="preserve"> 1606</w:t>
      </w:r>
      <w:r w:rsidR="000B0DDD">
        <w:rPr>
          <w:bCs/>
          <w:szCs w:val="22"/>
          <w:shd w:val="clear" w:color="auto" w:fill="FFFFFF"/>
        </w:rPr>
        <w:t xml:space="preserve"> and </w:t>
      </w:r>
      <w:r w:rsidR="000B0DDD" w:rsidRPr="003753B1">
        <w:rPr>
          <w:bCs/>
          <w:szCs w:val="22"/>
          <w:shd w:val="clear" w:color="auto" w:fill="FFFFFF"/>
        </w:rPr>
        <w:t xml:space="preserve">1607, </w:t>
      </w:r>
      <w:r w:rsidR="000B0DDD">
        <w:rPr>
          <w:bCs/>
          <w:szCs w:val="22"/>
          <w:shd w:val="clear" w:color="auto" w:fill="FFFFFF"/>
        </w:rPr>
        <w:t xml:space="preserve">in the citations, </w:t>
      </w:r>
      <w:r w:rsidR="000B0DDD" w:rsidRPr="003753B1">
        <w:rPr>
          <w:bCs/>
          <w:szCs w:val="22"/>
          <w:shd w:val="clear" w:color="auto" w:fill="FFFFFF"/>
        </w:rPr>
        <w:t>replace “10” with “160.”</w:t>
      </w:r>
    </w:p>
    <w:p w:rsidR="003753B1" w:rsidRDefault="00BE2407" w:rsidP="00D81AF1">
      <w:pPr>
        <w:pStyle w:val="ParaNum"/>
        <w:numPr>
          <w:ilvl w:val="0"/>
          <w:numId w:val="10"/>
        </w:numPr>
        <w:tabs>
          <w:tab w:val="left" w:pos="1260"/>
        </w:tabs>
        <w:ind w:left="0" w:firstLine="720"/>
        <w:rPr>
          <w:bCs/>
          <w:szCs w:val="22"/>
          <w:shd w:val="clear" w:color="auto" w:fill="FFFFFF"/>
        </w:rPr>
      </w:pPr>
      <w:r w:rsidRPr="003753B1">
        <w:rPr>
          <w:bCs/>
          <w:szCs w:val="22"/>
          <w:shd w:val="clear" w:color="auto" w:fill="FFFFFF"/>
        </w:rPr>
        <w:t xml:space="preserve">In footnote 1608, </w:t>
      </w:r>
      <w:r w:rsidR="008A0D95" w:rsidRPr="003753B1">
        <w:rPr>
          <w:bCs/>
          <w:szCs w:val="22"/>
          <w:shd w:val="clear" w:color="auto" w:fill="FFFFFF"/>
        </w:rPr>
        <w:t xml:space="preserve">move </w:t>
      </w:r>
      <w:r w:rsidRPr="003753B1">
        <w:rPr>
          <w:bCs/>
          <w:szCs w:val="22"/>
          <w:shd w:val="clear" w:color="auto" w:fill="FFFFFF"/>
        </w:rPr>
        <w:t xml:space="preserve">the </w:t>
      </w:r>
      <w:r w:rsidR="00A70BFE" w:rsidRPr="003753B1">
        <w:rPr>
          <w:bCs/>
          <w:szCs w:val="22"/>
          <w:shd w:val="clear" w:color="auto" w:fill="FFFFFF"/>
        </w:rPr>
        <w:t xml:space="preserve">citation </w:t>
      </w:r>
      <w:r w:rsidR="008A0D95" w:rsidRPr="003753B1">
        <w:rPr>
          <w:bCs/>
          <w:szCs w:val="22"/>
          <w:shd w:val="clear" w:color="auto" w:fill="FFFFFF"/>
        </w:rPr>
        <w:t>“</w:t>
      </w:r>
      <w:r w:rsidR="00C85EA6">
        <w:rPr>
          <w:bCs/>
          <w:szCs w:val="22"/>
          <w:shd w:val="clear" w:color="auto" w:fill="FFFFFF"/>
        </w:rPr>
        <w:t xml:space="preserve">; </w:t>
      </w:r>
      <w:r w:rsidR="008A0D95" w:rsidRPr="003753B1">
        <w:rPr>
          <w:bCs/>
          <w:szCs w:val="22"/>
          <w:shd w:val="clear" w:color="auto" w:fill="FFFFFF"/>
        </w:rPr>
        <w:t xml:space="preserve">47 C.F.R. §§ 64.6000 </w:t>
      </w:r>
      <w:r w:rsidR="008A0D95" w:rsidRPr="003753B1">
        <w:rPr>
          <w:bCs/>
          <w:i/>
          <w:szCs w:val="22"/>
          <w:shd w:val="clear" w:color="auto" w:fill="FFFFFF"/>
        </w:rPr>
        <w:t>et seq.</w:t>
      </w:r>
      <w:r w:rsidR="008A0D95" w:rsidRPr="003423A6">
        <w:rPr>
          <w:bCs/>
          <w:szCs w:val="22"/>
          <w:shd w:val="clear" w:color="auto" w:fill="FFFFFF"/>
        </w:rPr>
        <w:t>” to the end of t</w:t>
      </w:r>
      <w:r w:rsidR="00965B63" w:rsidRPr="003423A6">
        <w:rPr>
          <w:bCs/>
          <w:szCs w:val="22"/>
          <w:shd w:val="clear" w:color="auto" w:fill="FFFFFF"/>
        </w:rPr>
        <w:t xml:space="preserve">he </w:t>
      </w:r>
      <w:r w:rsidR="00C85EA6">
        <w:rPr>
          <w:bCs/>
          <w:szCs w:val="22"/>
          <w:shd w:val="clear" w:color="auto" w:fill="FFFFFF"/>
        </w:rPr>
        <w:t>last sentence after “</w:t>
      </w:r>
      <w:r w:rsidR="00C85EA6" w:rsidRPr="00C85EA6">
        <w:rPr>
          <w:bCs/>
          <w:szCs w:val="22"/>
          <w:shd w:val="clear" w:color="auto" w:fill="FFFFFF"/>
        </w:rPr>
        <w:t>(D.C. Cir. Jan. 13,</w:t>
      </w:r>
      <w:r w:rsidR="00C85EA6">
        <w:rPr>
          <w:bCs/>
          <w:szCs w:val="22"/>
          <w:shd w:val="clear" w:color="auto" w:fill="FFFFFF"/>
        </w:rPr>
        <w:t xml:space="preserve"> </w:t>
      </w:r>
      <w:r w:rsidR="00C85EA6" w:rsidRPr="00C85EA6">
        <w:rPr>
          <w:bCs/>
          <w:szCs w:val="22"/>
          <w:shd w:val="clear" w:color="auto" w:fill="FFFFFF"/>
        </w:rPr>
        <w:t>2014)</w:t>
      </w:r>
      <w:r w:rsidR="008A0D95" w:rsidRPr="00C85EA6">
        <w:rPr>
          <w:bCs/>
          <w:szCs w:val="22"/>
          <w:shd w:val="clear" w:color="auto" w:fill="FFFFFF"/>
        </w:rPr>
        <w:t>.”</w:t>
      </w:r>
    </w:p>
    <w:p w:rsidR="003F262A" w:rsidRDefault="003F262A" w:rsidP="00D81AF1">
      <w:pPr>
        <w:pStyle w:val="ParaNum"/>
        <w:numPr>
          <w:ilvl w:val="0"/>
          <w:numId w:val="10"/>
        </w:numPr>
        <w:tabs>
          <w:tab w:val="left" w:pos="1260"/>
        </w:tabs>
        <w:ind w:left="0" w:firstLine="720"/>
        <w:rPr>
          <w:bCs/>
          <w:szCs w:val="22"/>
          <w:shd w:val="clear" w:color="auto" w:fill="FFFFFF"/>
        </w:rPr>
      </w:pPr>
      <w:r>
        <w:rPr>
          <w:bCs/>
          <w:szCs w:val="22"/>
          <w:shd w:val="clear" w:color="auto" w:fill="FFFFFF"/>
        </w:rPr>
        <w:t xml:space="preserve">In </w:t>
      </w:r>
      <w:r w:rsidRPr="003753B1">
        <w:rPr>
          <w:bCs/>
          <w:szCs w:val="22"/>
          <w:shd w:val="clear" w:color="auto" w:fill="FFFFFF"/>
        </w:rPr>
        <w:t xml:space="preserve">footnote 1617, </w:t>
      </w:r>
      <w:r w:rsidR="000B0DDD">
        <w:rPr>
          <w:bCs/>
          <w:szCs w:val="22"/>
          <w:shd w:val="clear" w:color="auto" w:fill="FFFFFF"/>
        </w:rPr>
        <w:t xml:space="preserve">in </w:t>
      </w:r>
      <w:r w:rsidR="000B0DDD" w:rsidRPr="003753B1">
        <w:rPr>
          <w:bCs/>
          <w:szCs w:val="22"/>
          <w:shd w:val="clear" w:color="auto" w:fill="FFFFFF"/>
        </w:rPr>
        <w:t>the citation</w:t>
      </w:r>
      <w:r w:rsidR="000B0DDD">
        <w:rPr>
          <w:bCs/>
          <w:szCs w:val="22"/>
          <w:shd w:val="clear" w:color="auto" w:fill="FFFFFF"/>
        </w:rPr>
        <w:t>,</w:t>
      </w:r>
      <w:r w:rsidR="000B0DDD" w:rsidRPr="003753B1">
        <w:rPr>
          <w:bCs/>
          <w:szCs w:val="22"/>
          <w:shd w:val="clear" w:color="auto" w:fill="FFFFFF"/>
        </w:rPr>
        <w:t xml:space="preserve"> </w:t>
      </w:r>
      <w:r w:rsidRPr="003753B1">
        <w:rPr>
          <w:bCs/>
          <w:szCs w:val="22"/>
          <w:shd w:val="clear" w:color="auto" w:fill="FFFFFF"/>
        </w:rPr>
        <w:t>delete the second section symbol</w:t>
      </w:r>
      <w:r>
        <w:rPr>
          <w:bCs/>
          <w:szCs w:val="22"/>
          <w:shd w:val="clear" w:color="auto" w:fill="FFFFFF"/>
        </w:rPr>
        <w:t xml:space="preserve"> “§</w:t>
      </w:r>
      <w:r w:rsidR="000B0DDD">
        <w:rPr>
          <w:bCs/>
          <w:szCs w:val="22"/>
          <w:shd w:val="clear" w:color="auto" w:fill="FFFFFF"/>
        </w:rPr>
        <w:t>.</w:t>
      </w:r>
      <w:r>
        <w:rPr>
          <w:bCs/>
          <w:szCs w:val="22"/>
          <w:shd w:val="clear" w:color="auto" w:fill="FFFFFF"/>
        </w:rPr>
        <w:t xml:space="preserve">” </w:t>
      </w:r>
    </w:p>
    <w:p w:rsidR="00472BE7" w:rsidRDefault="003F262A" w:rsidP="00CB4E6C">
      <w:pPr>
        <w:pStyle w:val="ParaNum"/>
        <w:numPr>
          <w:ilvl w:val="0"/>
          <w:numId w:val="10"/>
        </w:numPr>
        <w:tabs>
          <w:tab w:val="left" w:pos="1260"/>
        </w:tabs>
        <w:ind w:left="0" w:firstLine="720"/>
        <w:rPr>
          <w:bCs/>
          <w:szCs w:val="22"/>
          <w:shd w:val="clear" w:color="auto" w:fill="FFFFFF"/>
        </w:rPr>
      </w:pPr>
      <w:r w:rsidRPr="00613111">
        <w:rPr>
          <w:bCs/>
          <w:szCs w:val="22"/>
          <w:shd w:val="clear" w:color="auto" w:fill="FFFFFF"/>
        </w:rPr>
        <w:t xml:space="preserve">In footnote 1701, replace </w:t>
      </w:r>
      <w:r w:rsidR="00DD05C2" w:rsidRPr="00613111">
        <w:rPr>
          <w:bCs/>
          <w:szCs w:val="22"/>
          <w:shd w:val="clear" w:color="auto" w:fill="FFFFFF"/>
        </w:rPr>
        <w:t>“</w:t>
      </w:r>
      <w:r w:rsidR="00DD05C2" w:rsidRPr="00613111">
        <w:rPr>
          <w:bCs/>
          <w:i/>
          <w:szCs w:val="22"/>
          <w:shd w:val="clear" w:color="auto" w:fill="FFFFFF"/>
        </w:rPr>
        <w:t>See Id</w:t>
      </w:r>
      <w:r w:rsidR="00DD05C2" w:rsidRPr="00613111">
        <w:rPr>
          <w:bCs/>
          <w:szCs w:val="22"/>
          <w:shd w:val="clear" w:color="auto" w:fill="FFFFFF"/>
        </w:rPr>
        <w:t>. at 65-66” with “</w:t>
      </w:r>
      <w:r w:rsidR="00DD05C2" w:rsidRPr="00E5338A">
        <w:rPr>
          <w:bCs/>
          <w:i/>
          <w:szCs w:val="22"/>
          <w:shd w:val="clear" w:color="auto" w:fill="FFFFFF"/>
        </w:rPr>
        <w:t>See id</w:t>
      </w:r>
      <w:r w:rsidR="00DD05C2" w:rsidRPr="00E5338A">
        <w:rPr>
          <w:bCs/>
          <w:szCs w:val="22"/>
          <w:shd w:val="clear" w:color="auto" w:fill="FFFFFF"/>
        </w:rPr>
        <w:t>. at 65-66.”</w:t>
      </w:r>
    </w:p>
    <w:p w:rsidR="00570420" w:rsidRPr="00E5338A" w:rsidRDefault="000B0DDD" w:rsidP="00CB4E6C">
      <w:pPr>
        <w:pStyle w:val="ParaNum"/>
        <w:numPr>
          <w:ilvl w:val="0"/>
          <w:numId w:val="10"/>
        </w:numPr>
        <w:tabs>
          <w:tab w:val="left" w:pos="1260"/>
        </w:tabs>
        <w:ind w:left="0" w:firstLine="720"/>
        <w:rPr>
          <w:bCs/>
          <w:szCs w:val="22"/>
          <w:shd w:val="clear" w:color="auto" w:fill="FFFFFF"/>
        </w:rPr>
      </w:pPr>
      <w:r w:rsidRPr="00613111">
        <w:rPr>
          <w:bCs/>
          <w:szCs w:val="22"/>
          <w:shd w:val="clear" w:color="auto" w:fill="FFFFFF"/>
        </w:rPr>
        <w:t>I</w:t>
      </w:r>
      <w:r w:rsidR="003F262A" w:rsidRPr="00613111">
        <w:rPr>
          <w:bCs/>
          <w:szCs w:val="22"/>
          <w:shd w:val="clear" w:color="auto" w:fill="FFFFFF"/>
        </w:rPr>
        <w:t>n</w:t>
      </w:r>
      <w:r w:rsidR="000B72A4" w:rsidRPr="00613111">
        <w:rPr>
          <w:bCs/>
          <w:szCs w:val="22"/>
          <w:shd w:val="clear" w:color="auto" w:fill="FFFFFF"/>
        </w:rPr>
        <w:t xml:space="preserve"> paragraph 12</w:t>
      </w:r>
      <w:r w:rsidR="000B72A4" w:rsidRPr="00E5338A">
        <w:rPr>
          <w:bCs/>
          <w:szCs w:val="22"/>
          <w:shd w:val="clear" w:color="auto" w:fill="FFFFFF"/>
        </w:rPr>
        <w:t xml:space="preserve"> of Appendix A, on </w:t>
      </w:r>
      <w:r w:rsidR="00965B63" w:rsidRPr="00E5338A">
        <w:rPr>
          <w:bCs/>
          <w:szCs w:val="22"/>
          <w:shd w:val="clear" w:color="auto" w:fill="FFFFFF"/>
        </w:rPr>
        <w:t xml:space="preserve">page 286, </w:t>
      </w:r>
      <w:r w:rsidR="003F262A" w:rsidRPr="00E5338A">
        <w:rPr>
          <w:bCs/>
          <w:szCs w:val="22"/>
          <w:shd w:val="clear" w:color="auto" w:fill="FFFFFF"/>
        </w:rPr>
        <w:t xml:space="preserve">the </w:t>
      </w:r>
      <w:r w:rsidRPr="00E5338A">
        <w:rPr>
          <w:bCs/>
          <w:szCs w:val="22"/>
          <w:shd w:val="clear" w:color="auto" w:fill="FFFFFF"/>
        </w:rPr>
        <w:t xml:space="preserve">section </w:t>
      </w:r>
      <w:r w:rsidR="003F262A" w:rsidRPr="00E5338A">
        <w:rPr>
          <w:bCs/>
          <w:szCs w:val="22"/>
          <w:shd w:val="clear" w:color="auto" w:fill="FFFFFF"/>
        </w:rPr>
        <w:t xml:space="preserve">heading </w:t>
      </w:r>
      <w:r w:rsidRPr="00E5338A">
        <w:rPr>
          <w:bCs/>
          <w:szCs w:val="22"/>
          <w:shd w:val="clear" w:color="auto" w:fill="FFFFFF"/>
        </w:rPr>
        <w:t xml:space="preserve">is corrected to </w:t>
      </w:r>
      <w:r w:rsidR="001549F5" w:rsidRPr="00E5338A">
        <w:rPr>
          <w:bCs/>
          <w:szCs w:val="22"/>
          <w:shd w:val="clear" w:color="auto" w:fill="FFFFFF"/>
        </w:rPr>
        <w:t>read</w:t>
      </w:r>
      <w:r w:rsidRPr="00E5338A">
        <w:rPr>
          <w:bCs/>
          <w:szCs w:val="22"/>
          <w:shd w:val="clear" w:color="auto" w:fill="FFFFFF"/>
        </w:rPr>
        <w:t xml:space="preserve"> a</w:t>
      </w:r>
      <w:r w:rsidR="001549F5" w:rsidRPr="00E5338A">
        <w:rPr>
          <w:bCs/>
          <w:szCs w:val="22"/>
          <w:shd w:val="clear" w:color="auto" w:fill="FFFFFF"/>
        </w:rPr>
        <w:t xml:space="preserve">s: </w:t>
      </w:r>
      <w:r w:rsidR="00965B63" w:rsidRPr="00E5338A">
        <w:rPr>
          <w:bCs/>
          <w:szCs w:val="22"/>
          <w:shd w:val="clear" w:color="auto" w:fill="FFFFFF"/>
        </w:rPr>
        <w:t xml:space="preserve"> </w:t>
      </w:r>
      <w:r w:rsidR="001549F5" w:rsidRPr="00E5338A">
        <w:rPr>
          <w:bCs/>
          <w:szCs w:val="22"/>
          <w:shd w:val="clear" w:color="auto" w:fill="FFFFFF"/>
        </w:rPr>
        <w:t>“</w:t>
      </w:r>
      <w:r w:rsidR="001549F5" w:rsidRPr="00CB4E6C">
        <w:rPr>
          <w:b/>
          <w:bCs/>
          <w:szCs w:val="22"/>
          <w:u w:val="single"/>
          <w:shd w:val="clear" w:color="auto" w:fill="FFFFFF"/>
        </w:rPr>
        <w:t>§ 8.14 General formal complaint procedures.</w:t>
      </w:r>
      <w:r w:rsidR="001549F5" w:rsidRPr="00E5338A">
        <w:rPr>
          <w:bCs/>
          <w:szCs w:val="22"/>
          <w:shd w:val="clear" w:color="auto" w:fill="FFFFFF"/>
        </w:rPr>
        <w:t xml:space="preserve">” </w:t>
      </w:r>
    </w:p>
    <w:p w:rsidR="00570420" w:rsidRDefault="000B72A4" w:rsidP="00D81AF1">
      <w:pPr>
        <w:pStyle w:val="ParaNum"/>
        <w:numPr>
          <w:ilvl w:val="0"/>
          <w:numId w:val="10"/>
        </w:numPr>
        <w:tabs>
          <w:tab w:val="left" w:pos="1260"/>
        </w:tabs>
        <w:ind w:left="0" w:firstLine="720"/>
        <w:rPr>
          <w:szCs w:val="22"/>
        </w:rPr>
      </w:pPr>
      <w:r>
        <w:rPr>
          <w:szCs w:val="22"/>
        </w:rPr>
        <w:t>F</w:t>
      </w:r>
      <w:r w:rsidR="0023423F" w:rsidRPr="00DD05C2">
        <w:rPr>
          <w:szCs w:val="22"/>
        </w:rPr>
        <w:t xml:space="preserve">ootnote 42 </w:t>
      </w:r>
      <w:r>
        <w:rPr>
          <w:szCs w:val="22"/>
        </w:rPr>
        <w:t>o</w:t>
      </w:r>
      <w:r w:rsidRPr="00DD05C2">
        <w:rPr>
          <w:szCs w:val="22"/>
        </w:rPr>
        <w:t xml:space="preserve">n page 326, </w:t>
      </w:r>
      <w:r>
        <w:rPr>
          <w:szCs w:val="22"/>
        </w:rPr>
        <w:t>is corrected to read as follows:</w:t>
      </w:r>
    </w:p>
    <w:p w:rsidR="000B72A4" w:rsidRPr="00DD05C2" w:rsidRDefault="000B72A4" w:rsidP="00CB4E6C">
      <w:pPr>
        <w:pStyle w:val="ParaNum"/>
        <w:widowControl/>
        <w:numPr>
          <w:ilvl w:val="0"/>
          <w:numId w:val="0"/>
        </w:numPr>
        <w:tabs>
          <w:tab w:val="left" w:pos="1260"/>
        </w:tabs>
        <w:ind w:firstLine="720"/>
        <w:rPr>
          <w:szCs w:val="22"/>
        </w:rPr>
      </w:pPr>
      <w:r>
        <w:rPr>
          <w:szCs w:val="22"/>
        </w:rPr>
        <w:t>“</w:t>
      </w:r>
      <w:r w:rsidRPr="00D81AF1">
        <w:rPr>
          <w:i/>
          <w:szCs w:val="22"/>
        </w:rPr>
        <w:t>Modernizing the E-Rate Program for Schools and Libraries</w:t>
      </w:r>
      <w:r w:rsidRPr="000B72A4">
        <w:rPr>
          <w:szCs w:val="22"/>
        </w:rPr>
        <w:t>, WC Docket No. 13-184, Report and Order and</w:t>
      </w:r>
      <w:r>
        <w:rPr>
          <w:szCs w:val="22"/>
        </w:rPr>
        <w:t xml:space="preserve"> </w:t>
      </w:r>
      <w:r w:rsidRPr="000B72A4">
        <w:rPr>
          <w:szCs w:val="22"/>
        </w:rPr>
        <w:t xml:space="preserve">Further Notice of Proposed Rulemaking, 29 FCC Rcd 8870, 9042 (2014) (Dissenting </w:t>
      </w:r>
      <w:r w:rsidRPr="000B72A4">
        <w:rPr>
          <w:szCs w:val="22"/>
        </w:rPr>
        <w:lastRenderedPageBreak/>
        <w:t>Statement of Commissioner</w:t>
      </w:r>
      <w:r>
        <w:rPr>
          <w:szCs w:val="22"/>
        </w:rPr>
        <w:t xml:space="preserve"> </w:t>
      </w:r>
      <w:r w:rsidRPr="000B72A4">
        <w:rPr>
          <w:szCs w:val="22"/>
        </w:rPr>
        <w:t xml:space="preserve">Ajit Pai); </w:t>
      </w:r>
      <w:r w:rsidRPr="00D81AF1">
        <w:rPr>
          <w:i/>
          <w:szCs w:val="22"/>
        </w:rPr>
        <w:t>see also</w:t>
      </w:r>
      <w:r w:rsidRPr="000B72A4">
        <w:rPr>
          <w:szCs w:val="22"/>
        </w:rPr>
        <w:t xml:space="preserve"> </w:t>
      </w:r>
      <w:r w:rsidRPr="00DD05C2">
        <w:rPr>
          <w:szCs w:val="22"/>
        </w:rPr>
        <w:t>E-Rate Statement of FCC Commissioner Ajit Pai at the July 11, 2014 Open Meeting</w:t>
      </w:r>
      <w:r w:rsidR="00FD7F90">
        <w:rPr>
          <w:szCs w:val="22"/>
        </w:rPr>
        <w:t>,</w:t>
      </w:r>
      <w:r w:rsidRPr="000B72A4">
        <w:rPr>
          <w:szCs w:val="22"/>
        </w:rPr>
        <w:t xml:space="preserve"> http://youtu.be/6LDko49R9YM.</w:t>
      </w:r>
      <w:r>
        <w:rPr>
          <w:szCs w:val="22"/>
        </w:rPr>
        <w:t>”</w:t>
      </w:r>
    </w:p>
    <w:p w:rsidR="00613111" w:rsidRDefault="000B72A4" w:rsidP="00D81AF1">
      <w:pPr>
        <w:pStyle w:val="ParaNum"/>
        <w:widowControl/>
        <w:numPr>
          <w:ilvl w:val="0"/>
          <w:numId w:val="10"/>
        </w:numPr>
        <w:tabs>
          <w:tab w:val="left" w:pos="1260"/>
        </w:tabs>
        <w:ind w:left="0" w:firstLine="720"/>
        <w:rPr>
          <w:szCs w:val="22"/>
        </w:rPr>
      </w:pPr>
      <w:r>
        <w:rPr>
          <w:szCs w:val="22"/>
        </w:rPr>
        <w:t>On</w:t>
      </w:r>
      <w:r w:rsidR="00570420" w:rsidRPr="002914E3">
        <w:rPr>
          <w:szCs w:val="22"/>
        </w:rPr>
        <w:t xml:space="preserve"> page 335, </w:t>
      </w:r>
      <w:r>
        <w:rPr>
          <w:szCs w:val="22"/>
        </w:rPr>
        <w:t>i</w:t>
      </w:r>
      <w:r w:rsidRPr="002914E3">
        <w:rPr>
          <w:szCs w:val="22"/>
        </w:rPr>
        <w:t>n the first paragraph</w:t>
      </w:r>
      <w:r>
        <w:rPr>
          <w:szCs w:val="22"/>
        </w:rPr>
        <w:t>,</w:t>
      </w:r>
      <w:r w:rsidRPr="002914E3">
        <w:rPr>
          <w:szCs w:val="22"/>
        </w:rPr>
        <w:t xml:space="preserve"> </w:t>
      </w:r>
      <w:r w:rsidR="00570420" w:rsidRPr="002914E3">
        <w:rPr>
          <w:szCs w:val="22"/>
        </w:rPr>
        <w:t>delete the phrase “government-funded</w:t>
      </w:r>
      <w:r w:rsidR="00613111">
        <w:rPr>
          <w:szCs w:val="22"/>
        </w:rPr>
        <w:t>.</w:t>
      </w:r>
      <w:r w:rsidR="00570420" w:rsidRPr="002914E3">
        <w:rPr>
          <w:szCs w:val="22"/>
        </w:rPr>
        <w:t xml:space="preserve">” </w:t>
      </w:r>
    </w:p>
    <w:p w:rsidR="0023423F" w:rsidRDefault="00090E38" w:rsidP="00D81AF1">
      <w:pPr>
        <w:pStyle w:val="ParaNum"/>
        <w:widowControl/>
        <w:numPr>
          <w:ilvl w:val="0"/>
          <w:numId w:val="10"/>
        </w:numPr>
        <w:tabs>
          <w:tab w:val="left" w:pos="1260"/>
        </w:tabs>
        <w:ind w:left="0" w:firstLine="720"/>
        <w:rPr>
          <w:szCs w:val="22"/>
        </w:rPr>
      </w:pPr>
      <w:r>
        <w:rPr>
          <w:szCs w:val="22"/>
        </w:rPr>
        <w:t>Footnote 85, on page 335, is corrected to read as “[[Intentionally omitted]].”</w:t>
      </w:r>
    </w:p>
    <w:p w:rsidR="00570420" w:rsidRPr="00FD7F90" w:rsidRDefault="00FD7F90" w:rsidP="00D81AF1">
      <w:pPr>
        <w:pStyle w:val="ParaNum"/>
        <w:numPr>
          <w:ilvl w:val="0"/>
          <w:numId w:val="10"/>
        </w:numPr>
        <w:tabs>
          <w:tab w:val="left" w:pos="1260"/>
        </w:tabs>
        <w:ind w:left="0" w:firstLine="720"/>
        <w:rPr>
          <w:szCs w:val="22"/>
        </w:rPr>
      </w:pPr>
      <w:r>
        <w:rPr>
          <w:szCs w:val="22"/>
        </w:rPr>
        <w:t>On</w:t>
      </w:r>
      <w:r w:rsidRPr="00D501F5">
        <w:rPr>
          <w:szCs w:val="22"/>
        </w:rPr>
        <w:t xml:space="preserve"> page 380,</w:t>
      </w:r>
      <w:r w:rsidR="00D81AF1">
        <w:rPr>
          <w:szCs w:val="22"/>
        </w:rPr>
        <w:t xml:space="preserve"> </w:t>
      </w:r>
      <w:r>
        <w:rPr>
          <w:szCs w:val="22"/>
        </w:rPr>
        <w:t>i</w:t>
      </w:r>
      <w:r w:rsidR="00570420" w:rsidRPr="00FD7F90">
        <w:rPr>
          <w:szCs w:val="22"/>
        </w:rPr>
        <w:t>n the third paragraph</w:t>
      </w:r>
      <w:r>
        <w:rPr>
          <w:szCs w:val="22"/>
        </w:rPr>
        <w:t>,</w:t>
      </w:r>
      <w:r w:rsidR="00570420" w:rsidRPr="00FD7F90">
        <w:rPr>
          <w:szCs w:val="22"/>
        </w:rPr>
        <w:t xml:space="preserve"> delete the phrase “and broadband subscriber access service.”</w:t>
      </w:r>
    </w:p>
    <w:p w:rsidR="00570420" w:rsidRPr="002914E3" w:rsidRDefault="00570420" w:rsidP="00570420">
      <w:pPr>
        <w:pStyle w:val="ParaNum"/>
        <w:numPr>
          <w:ilvl w:val="0"/>
          <w:numId w:val="0"/>
        </w:numPr>
        <w:rPr>
          <w:szCs w:val="22"/>
        </w:rPr>
      </w:pPr>
    </w:p>
    <w:p w:rsidR="00570420" w:rsidRPr="002914E3" w:rsidRDefault="00570420" w:rsidP="00822EC6">
      <w:pPr>
        <w:rPr>
          <w:szCs w:val="22"/>
        </w:rPr>
      </w:pPr>
      <w:r w:rsidRPr="002914E3">
        <w:rPr>
          <w:szCs w:val="22"/>
        </w:rPr>
        <w:tab/>
      </w:r>
    </w:p>
    <w:p w:rsidR="00822EC6" w:rsidRPr="002914E3" w:rsidRDefault="00822EC6" w:rsidP="00822EC6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caps w:val="0"/>
          <w:spacing w:val="-2"/>
          <w:szCs w:val="22"/>
        </w:rPr>
      </w:pP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  <w:t>FEDERAL COMMUNICATIONS COMMISSION</w:t>
      </w:r>
    </w:p>
    <w:p w:rsidR="00822EC6" w:rsidRPr="002914E3" w:rsidRDefault="00822EC6" w:rsidP="00822EC6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caps w:val="0"/>
          <w:spacing w:val="-2"/>
          <w:szCs w:val="22"/>
        </w:rPr>
      </w:pPr>
    </w:p>
    <w:p w:rsidR="00822EC6" w:rsidRPr="002914E3" w:rsidRDefault="00822EC6" w:rsidP="00822EC6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caps w:val="0"/>
          <w:spacing w:val="-2"/>
          <w:szCs w:val="22"/>
        </w:rPr>
      </w:pP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</w:p>
    <w:p w:rsidR="00822EC6" w:rsidRPr="002914E3" w:rsidRDefault="00822EC6" w:rsidP="00822EC6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  <w:szCs w:val="22"/>
        </w:rPr>
      </w:pP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</w:p>
    <w:p w:rsidR="00822EC6" w:rsidRPr="002914E3" w:rsidRDefault="00822EC6" w:rsidP="00822EC6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  <w:szCs w:val="22"/>
        </w:rPr>
      </w:pPr>
      <w:r w:rsidRPr="002914E3">
        <w:rPr>
          <w:rFonts w:ascii="Times New Roman" w:hAnsi="Times New Roman"/>
          <w:b w:val="0"/>
          <w:caps w:val="0"/>
          <w:spacing w:val="-2"/>
          <w:szCs w:val="22"/>
        </w:rPr>
        <w:t xml:space="preserve"> </w:t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="005E16A6" w:rsidRPr="002914E3">
        <w:rPr>
          <w:rFonts w:ascii="Times New Roman" w:hAnsi="Times New Roman"/>
          <w:b w:val="0"/>
          <w:caps w:val="0"/>
          <w:spacing w:val="-2"/>
          <w:szCs w:val="22"/>
        </w:rPr>
        <w:t>Julie</w:t>
      </w:r>
      <w:r w:rsidR="000B063C" w:rsidRPr="002914E3">
        <w:rPr>
          <w:rFonts w:ascii="Times New Roman" w:hAnsi="Times New Roman"/>
          <w:b w:val="0"/>
          <w:caps w:val="0"/>
          <w:spacing w:val="-2"/>
          <w:szCs w:val="22"/>
        </w:rPr>
        <w:t xml:space="preserve"> A. Veach</w:t>
      </w:r>
    </w:p>
    <w:p w:rsidR="00822EC6" w:rsidRPr="002914E3" w:rsidRDefault="00822EC6" w:rsidP="00822EC6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  <w:szCs w:val="22"/>
        </w:rPr>
      </w:pPr>
      <w:r w:rsidRPr="002914E3">
        <w:rPr>
          <w:rFonts w:ascii="Times New Roman" w:hAnsi="Times New Roman"/>
          <w:b w:val="0"/>
          <w:caps w:val="0"/>
          <w:spacing w:val="-2"/>
          <w:szCs w:val="22"/>
        </w:rPr>
        <w:t xml:space="preserve"> </w:t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  <w:t>Chief</w:t>
      </w:r>
    </w:p>
    <w:p w:rsidR="00822EC6" w:rsidRPr="002914E3" w:rsidRDefault="00822EC6" w:rsidP="00822EC6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  <w:szCs w:val="22"/>
        </w:rPr>
      </w:pPr>
      <w:r w:rsidRPr="002914E3">
        <w:rPr>
          <w:rFonts w:ascii="Times New Roman" w:hAnsi="Times New Roman"/>
          <w:b w:val="0"/>
          <w:caps w:val="0"/>
          <w:spacing w:val="-2"/>
          <w:szCs w:val="22"/>
        </w:rPr>
        <w:t xml:space="preserve"> </w:t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</w:r>
      <w:r w:rsidRPr="002914E3">
        <w:rPr>
          <w:rFonts w:ascii="Times New Roman" w:hAnsi="Times New Roman"/>
          <w:b w:val="0"/>
          <w:caps w:val="0"/>
          <w:spacing w:val="-2"/>
          <w:szCs w:val="22"/>
        </w:rPr>
        <w:tab/>
        <w:t>Wireline Competition Bureau</w:t>
      </w:r>
    </w:p>
    <w:p w:rsidR="00822EC6" w:rsidRDefault="00822EC6">
      <w:pPr>
        <w:rPr>
          <w:spacing w:val="-2"/>
        </w:rPr>
      </w:pPr>
    </w:p>
    <w:p w:rsidR="00822CE0" w:rsidRDefault="00822CE0">
      <w:pPr>
        <w:rPr>
          <w:spacing w:val="-2"/>
        </w:rPr>
      </w:pPr>
    </w:p>
    <w:p w:rsidR="002C00E8" w:rsidRPr="00DC083C" w:rsidRDefault="002C00E8" w:rsidP="00822EC6">
      <w:pPr>
        <w:pStyle w:val="ParaNum"/>
        <w:numPr>
          <w:ilvl w:val="0"/>
          <w:numId w:val="0"/>
        </w:numPr>
      </w:pPr>
    </w:p>
    <w:sectPr w:rsidR="002C00E8" w:rsidRPr="00DC083C" w:rsidSect="00D81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A2" w:rsidRDefault="004B5AA2">
      <w:pPr>
        <w:spacing w:line="20" w:lineRule="exact"/>
      </w:pPr>
    </w:p>
  </w:endnote>
  <w:endnote w:type="continuationSeparator" w:id="0">
    <w:p w:rsidR="004B5AA2" w:rsidRDefault="004B5AA2">
      <w:r>
        <w:t xml:space="preserve"> </w:t>
      </w:r>
    </w:p>
  </w:endnote>
  <w:endnote w:type="continuationNotice" w:id="1">
    <w:p w:rsidR="004B5AA2" w:rsidRDefault="004B5AA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143AB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A2" w:rsidRDefault="004B5AA2">
      <w:r>
        <w:separator/>
      </w:r>
    </w:p>
  </w:footnote>
  <w:footnote w:type="continuationSeparator" w:id="0">
    <w:p w:rsidR="004B5AA2" w:rsidRDefault="004B5AA2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4B5AA2" w:rsidRDefault="004B5AA2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B5" w:rsidRDefault="00885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</w:p>
  <w:p w:rsidR="00D25FB5" w:rsidRDefault="00D5589A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62A8A10" wp14:editId="68FF531D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5589A" w:rsidP="00810B6F">
    <w:pPr>
      <w:pStyle w:val="Header"/>
      <w:rPr>
        <w:b w:val="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6A83711" wp14:editId="7E554A02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45F"/>
    <w:multiLevelType w:val="hybridMultilevel"/>
    <w:tmpl w:val="42CCF0EA"/>
    <w:lvl w:ilvl="0" w:tplc="F94A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562112C"/>
    <w:multiLevelType w:val="hybridMultilevel"/>
    <w:tmpl w:val="FD0405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592940"/>
    <w:multiLevelType w:val="hybridMultilevel"/>
    <w:tmpl w:val="1E227B6C"/>
    <w:lvl w:ilvl="0" w:tplc="E542C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4E351CEB"/>
    <w:multiLevelType w:val="hybridMultilevel"/>
    <w:tmpl w:val="912A8964"/>
    <w:lvl w:ilvl="0" w:tplc="D91E1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>
    <w:nsid w:val="667B4A20"/>
    <w:multiLevelType w:val="hybridMultilevel"/>
    <w:tmpl w:val="D1D466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3C"/>
    <w:rsid w:val="00036039"/>
    <w:rsid w:val="00037F90"/>
    <w:rsid w:val="000708E8"/>
    <w:rsid w:val="000875BF"/>
    <w:rsid w:val="00090E38"/>
    <w:rsid w:val="000951D4"/>
    <w:rsid w:val="00096D8C"/>
    <w:rsid w:val="000B063C"/>
    <w:rsid w:val="000B0DDD"/>
    <w:rsid w:val="000B72A4"/>
    <w:rsid w:val="000C0B65"/>
    <w:rsid w:val="000C1DC7"/>
    <w:rsid w:val="000E05FE"/>
    <w:rsid w:val="000E3D42"/>
    <w:rsid w:val="00100935"/>
    <w:rsid w:val="00100D38"/>
    <w:rsid w:val="00122BD5"/>
    <w:rsid w:val="00133F79"/>
    <w:rsid w:val="00147DB1"/>
    <w:rsid w:val="001549F5"/>
    <w:rsid w:val="00194A66"/>
    <w:rsid w:val="001D6BCF"/>
    <w:rsid w:val="001E01CA"/>
    <w:rsid w:val="001E42D2"/>
    <w:rsid w:val="002143AB"/>
    <w:rsid w:val="0023423F"/>
    <w:rsid w:val="00275CF5"/>
    <w:rsid w:val="0028301F"/>
    <w:rsid w:val="00285017"/>
    <w:rsid w:val="002914E3"/>
    <w:rsid w:val="002A2D2E"/>
    <w:rsid w:val="002B3F02"/>
    <w:rsid w:val="002C00E8"/>
    <w:rsid w:val="003321DF"/>
    <w:rsid w:val="003423A6"/>
    <w:rsid w:val="00343749"/>
    <w:rsid w:val="003660ED"/>
    <w:rsid w:val="003753B1"/>
    <w:rsid w:val="003B0550"/>
    <w:rsid w:val="003B694F"/>
    <w:rsid w:val="003E54A1"/>
    <w:rsid w:val="003F171C"/>
    <w:rsid w:val="003F2497"/>
    <w:rsid w:val="003F262A"/>
    <w:rsid w:val="00412FC5"/>
    <w:rsid w:val="00422276"/>
    <w:rsid w:val="004242F1"/>
    <w:rsid w:val="00445A00"/>
    <w:rsid w:val="00451B0F"/>
    <w:rsid w:val="00472BE7"/>
    <w:rsid w:val="004959D5"/>
    <w:rsid w:val="004B4ED3"/>
    <w:rsid w:val="004B5AA2"/>
    <w:rsid w:val="004C2EE3"/>
    <w:rsid w:val="004E4A22"/>
    <w:rsid w:val="00511968"/>
    <w:rsid w:val="00524A7D"/>
    <w:rsid w:val="0055614C"/>
    <w:rsid w:val="00570420"/>
    <w:rsid w:val="005B2E3F"/>
    <w:rsid w:val="005E14C2"/>
    <w:rsid w:val="005E16A6"/>
    <w:rsid w:val="00607BA5"/>
    <w:rsid w:val="0061180A"/>
    <w:rsid w:val="00613111"/>
    <w:rsid w:val="00626EB6"/>
    <w:rsid w:val="00627637"/>
    <w:rsid w:val="00655D03"/>
    <w:rsid w:val="00683388"/>
    <w:rsid w:val="00683F84"/>
    <w:rsid w:val="006845E8"/>
    <w:rsid w:val="0068565A"/>
    <w:rsid w:val="006A6A81"/>
    <w:rsid w:val="006F7393"/>
    <w:rsid w:val="0070224F"/>
    <w:rsid w:val="007115F7"/>
    <w:rsid w:val="00785689"/>
    <w:rsid w:val="00793154"/>
    <w:rsid w:val="0079754B"/>
    <w:rsid w:val="007A1E6D"/>
    <w:rsid w:val="007B0EB2"/>
    <w:rsid w:val="007D33D3"/>
    <w:rsid w:val="00810B6F"/>
    <w:rsid w:val="00822CE0"/>
    <w:rsid w:val="00822EC6"/>
    <w:rsid w:val="00830999"/>
    <w:rsid w:val="00841AB1"/>
    <w:rsid w:val="00863268"/>
    <w:rsid w:val="00885DB5"/>
    <w:rsid w:val="008A0D95"/>
    <w:rsid w:val="008C68F1"/>
    <w:rsid w:val="008E6F72"/>
    <w:rsid w:val="008F5AA1"/>
    <w:rsid w:val="00921803"/>
    <w:rsid w:val="00926503"/>
    <w:rsid w:val="00933A78"/>
    <w:rsid w:val="00936B44"/>
    <w:rsid w:val="009535E1"/>
    <w:rsid w:val="00965B63"/>
    <w:rsid w:val="009726D8"/>
    <w:rsid w:val="009F10E2"/>
    <w:rsid w:val="009F76DB"/>
    <w:rsid w:val="00A32C3B"/>
    <w:rsid w:val="00A45F4F"/>
    <w:rsid w:val="00A600A9"/>
    <w:rsid w:val="00A70BFE"/>
    <w:rsid w:val="00A912E3"/>
    <w:rsid w:val="00A95ADB"/>
    <w:rsid w:val="00AA4D73"/>
    <w:rsid w:val="00AA55B7"/>
    <w:rsid w:val="00AA5B9E"/>
    <w:rsid w:val="00AB2407"/>
    <w:rsid w:val="00AB49A6"/>
    <w:rsid w:val="00AB53DF"/>
    <w:rsid w:val="00AC001C"/>
    <w:rsid w:val="00B07E5C"/>
    <w:rsid w:val="00B740FB"/>
    <w:rsid w:val="00B759B4"/>
    <w:rsid w:val="00B811F7"/>
    <w:rsid w:val="00B97C64"/>
    <w:rsid w:val="00BA5DC6"/>
    <w:rsid w:val="00BA6196"/>
    <w:rsid w:val="00BC6D8C"/>
    <w:rsid w:val="00BE2407"/>
    <w:rsid w:val="00C25322"/>
    <w:rsid w:val="00C34006"/>
    <w:rsid w:val="00C426B1"/>
    <w:rsid w:val="00C4646D"/>
    <w:rsid w:val="00C66160"/>
    <w:rsid w:val="00C721AC"/>
    <w:rsid w:val="00C85EA6"/>
    <w:rsid w:val="00C90D6A"/>
    <w:rsid w:val="00CA247E"/>
    <w:rsid w:val="00CB4E6C"/>
    <w:rsid w:val="00CC72B6"/>
    <w:rsid w:val="00D0218D"/>
    <w:rsid w:val="00D136AC"/>
    <w:rsid w:val="00D25FB5"/>
    <w:rsid w:val="00D44223"/>
    <w:rsid w:val="00D541E9"/>
    <w:rsid w:val="00D5589A"/>
    <w:rsid w:val="00D81AF1"/>
    <w:rsid w:val="00D93D2A"/>
    <w:rsid w:val="00DA2529"/>
    <w:rsid w:val="00DB130A"/>
    <w:rsid w:val="00DB2EBB"/>
    <w:rsid w:val="00DC083C"/>
    <w:rsid w:val="00DC10A1"/>
    <w:rsid w:val="00DC655F"/>
    <w:rsid w:val="00DD05C2"/>
    <w:rsid w:val="00DD0B59"/>
    <w:rsid w:val="00DD7EBD"/>
    <w:rsid w:val="00DE13EE"/>
    <w:rsid w:val="00DF62B6"/>
    <w:rsid w:val="00E07225"/>
    <w:rsid w:val="00E3468B"/>
    <w:rsid w:val="00E507EE"/>
    <w:rsid w:val="00E5338A"/>
    <w:rsid w:val="00E5409F"/>
    <w:rsid w:val="00EA5525"/>
    <w:rsid w:val="00EE4483"/>
    <w:rsid w:val="00EE6488"/>
    <w:rsid w:val="00F021FA"/>
    <w:rsid w:val="00F36689"/>
    <w:rsid w:val="00F62E97"/>
    <w:rsid w:val="00F64209"/>
    <w:rsid w:val="00F93BF5"/>
    <w:rsid w:val="00FD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E07225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">
    <w:name w:val="ParaNum Char"/>
    <w:link w:val="ParaNum"/>
    <w:locked/>
    <w:rsid w:val="00822EC6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B97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C64"/>
    <w:rPr>
      <w:rFonts w:ascii="Tahoma" w:hAnsi="Tahoma" w:cs="Tahoma"/>
      <w:snapToGrid w:val="0"/>
      <w:kern w:val="28"/>
      <w:sz w:val="16"/>
      <w:szCs w:val="16"/>
    </w:rPr>
  </w:style>
  <w:style w:type="character" w:styleId="CommentReference">
    <w:name w:val="annotation reference"/>
    <w:basedOn w:val="DefaultParagraphFont"/>
    <w:rsid w:val="00E53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33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5338A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E53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338A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E5338A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E07225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">
    <w:name w:val="ParaNum Char"/>
    <w:link w:val="ParaNum"/>
    <w:locked/>
    <w:rsid w:val="00822EC6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B97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C64"/>
    <w:rPr>
      <w:rFonts w:ascii="Tahoma" w:hAnsi="Tahoma" w:cs="Tahoma"/>
      <w:snapToGrid w:val="0"/>
      <w:kern w:val="28"/>
      <w:sz w:val="16"/>
      <w:szCs w:val="16"/>
    </w:rPr>
  </w:style>
  <w:style w:type="character" w:styleId="CommentReference">
    <w:name w:val="annotation reference"/>
    <w:basedOn w:val="DefaultParagraphFont"/>
    <w:rsid w:val="00E53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33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5338A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E53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338A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E5338A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2</Pages>
  <Words>417</Words>
  <Characters>2179</Characters>
  <Application>Microsoft Office Word</Application>
  <DocSecurity>0</DocSecurity>
  <Lines>66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2610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2014-04-30T17:20:00Z</cp:lastPrinted>
  <dcterms:created xsi:type="dcterms:W3CDTF">2015-04-03T14:47:00Z</dcterms:created>
  <dcterms:modified xsi:type="dcterms:W3CDTF">2015-04-03T14:47:00Z</dcterms:modified>
  <cp:category> </cp:category>
  <cp:contentStatus> </cp:contentStatus>
</cp:coreProperties>
</file>