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DA" w:rsidRPr="00224E0D" w:rsidRDefault="00FC35DA" w:rsidP="00FC35DA">
      <w:pPr>
        <w:jc w:val="center"/>
        <w:rPr>
          <w:b/>
        </w:rPr>
      </w:pPr>
      <w:bookmarkStart w:id="0" w:name="_GoBack"/>
      <w:bookmarkEnd w:id="0"/>
      <w:r>
        <w:rPr>
          <w:b/>
        </w:rPr>
        <w:t xml:space="preserve">2015 </w:t>
      </w:r>
      <w:r w:rsidRPr="00224E0D">
        <w:rPr>
          <w:b/>
        </w:rPr>
        <w:t>Urban Rate Survey –</w:t>
      </w:r>
      <w:r w:rsidR="008438A7">
        <w:rPr>
          <w:b/>
        </w:rPr>
        <w:t xml:space="preserve"> </w:t>
      </w:r>
      <w:r>
        <w:rPr>
          <w:b/>
        </w:rPr>
        <w:t>Fixed Broadband Service Analysis</w:t>
      </w:r>
    </w:p>
    <w:p w:rsidR="00874CC8" w:rsidRDefault="004840BF">
      <w:r w:rsidRPr="008A42A8">
        <w:rPr>
          <w:b/>
        </w:rPr>
        <w:t>Introduction</w:t>
      </w:r>
    </w:p>
    <w:p w:rsidR="0027304E" w:rsidRDefault="004840BF" w:rsidP="004840BF">
      <w:r>
        <w:t>The form and content of the Urban Rate Survey for fixed broadband services was adopted in an Order released in April 2013.</w:t>
      </w:r>
      <w:r>
        <w:rPr>
          <w:rStyle w:val="FootnoteReference"/>
        </w:rPr>
        <w:footnoteReference w:id="1"/>
      </w:r>
      <w:r>
        <w:t xml:space="preserve">  That Order concluded that the urban rate survey would be conducted from a statistically valid sample of fixed terrestrial broadband providers drawn from 2010 Census urban areas and urban clusters within Metropolitan Statistical Areas.  </w:t>
      </w:r>
      <w:r w:rsidR="00192065">
        <w:t xml:space="preserve">Last year, the Bureau determined that </w:t>
      </w:r>
      <w:r w:rsidR="003F2927">
        <w:t xml:space="preserve">a </w:t>
      </w:r>
      <w:r w:rsidR="00192065">
        <w:t xml:space="preserve">weighted linear regression </w:t>
      </w:r>
      <w:r w:rsidR="00E207EE">
        <w:t xml:space="preserve">was the best method to determine the broadband reasonable comparability benchmark because of the different characteristics of broadband offerings.  This methodology was used </w:t>
      </w:r>
      <w:r w:rsidR="00192065">
        <w:t>to estimate the mean rate for a specific set of service characteristics</w:t>
      </w:r>
      <w:r w:rsidR="00E207EE">
        <w:t xml:space="preserve">. </w:t>
      </w:r>
      <w:r w:rsidR="00192065">
        <w:t xml:space="preserve"> </w:t>
      </w:r>
      <w:r w:rsidR="00E207EE">
        <w:t>T</w:t>
      </w:r>
      <w:r w:rsidR="00192065">
        <w:t xml:space="preserve">wo standard deviations </w:t>
      </w:r>
      <w:r w:rsidR="00E207EE">
        <w:t xml:space="preserve">were added </w:t>
      </w:r>
      <w:r w:rsidR="00192065">
        <w:t>to this mean to determine the benchmark for services meeting those defined service characteristics</w:t>
      </w:r>
      <w:r w:rsidR="00E207EE" w:rsidRPr="00E207EE">
        <w:rPr>
          <w:rStyle w:val="FootnoteReference"/>
        </w:rPr>
        <w:t xml:space="preserve"> </w:t>
      </w:r>
      <w:r w:rsidR="00E207EE">
        <w:rPr>
          <w:rStyle w:val="FootnoteReference"/>
        </w:rPr>
        <w:footnoteReference w:id="2"/>
      </w:r>
      <w:r w:rsidR="000472F9">
        <w:t xml:space="preserve">  </w:t>
      </w:r>
      <w:r w:rsidR="00B460B4">
        <w:t>The Bureau used the same methodology this year</w:t>
      </w:r>
      <w:r w:rsidR="00504979">
        <w:t xml:space="preserve">, with small adjustments </w:t>
      </w:r>
      <w:r w:rsidR="00B460B4">
        <w:t>to improve the sample collected.</w:t>
      </w:r>
    </w:p>
    <w:p w:rsidR="004840BF" w:rsidRDefault="004840BF" w:rsidP="004840BF">
      <w:r w:rsidRPr="00BC4199">
        <w:t>The 201</w:t>
      </w:r>
      <w:r>
        <w:t>5</w:t>
      </w:r>
      <w:r w:rsidRPr="00BC4199">
        <w:t xml:space="preserve"> Urban Rate Survey (URS) received </w:t>
      </w:r>
      <w:r w:rsidR="00496576">
        <w:t>37</w:t>
      </w:r>
      <w:r w:rsidR="00935454">
        <w:t>0</w:t>
      </w:r>
      <w:r w:rsidRPr="00BC4199">
        <w:t xml:space="preserve"> </w:t>
      </w:r>
      <w:r w:rsidR="00935454">
        <w:t xml:space="preserve">applicable </w:t>
      </w:r>
      <w:r w:rsidRPr="00BC4199">
        <w:t xml:space="preserve">responses with monthly rates from </w:t>
      </w:r>
      <w:r w:rsidR="00496576">
        <w:t>10</w:t>
      </w:r>
      <w:r w:rsidR="00935454">
        <w:t>0</w:t>
      </w:r>
      <w:r w:rsidRPr="00BC4199">
        <w:t xml:space="preserve"> different carriers offering fixed </w:t>
      </w:r>
      <w:r w:rsidR="00B865ED">
        <w:t>broadband</w:t>
      </w:r>
      <w:r w:rsidR="00B865ED" w:rsidRPr="00BC4199">
        <w:t xml:space="preserve"> </w:t>
      </w:r>
      <w:r w:rsidRPr="00BC4199">
        <w:t xml:space="preserve">service in </w:t>
      </w:r>
      <w:r w:rsidR="00496576">
        <w:t>252</w:t>
      </w:r>
      <w:r w:rsidRPr="00BC4199">
        <w:t xml:space="preserve"> different </w:t>
      </w:r>
      <w:r w:rsidR="006B6881">
        <w:t>C</w:t>
      </w:r>
      <w:r w:rsidRPr="00BC4199">
        <w:t xml:space="preserve">ensus tracts. </w:t>
      </w:r>
      <w:r>
        <w:t xml:space="preserve"> </w:t>
      </w:r>
      <w:r w:rsidR="003B075E">
        <w:t>Although the</w:t>
      </w:r>
      <w:r w:rsidR="003822FC">
        <w:t xml:space="preserve"> reasonable</w:t>
      </w:r>
      <w:r w:rsidR="003B075E">
        <w:t xml:space="preserve"> comparability </w:t>
      </w:r>
      <w:r w:rsidR="00853AC0">
        <w:t>benchmark</w:t>
      </w:r>
      <w:r w:rsidR="003B075E">
        <w:t xml:space="preserve"> can be calculated for any combination of download speed, upload speed, and usage </w:t>
      </w:r>
      <w:r w:rsidR="00853AC0">
        <w:t>allowance</w:t>
      </w:r>
      <w:r w:rsidR="003B075E">
        <w:t xml:space="preserve"> that meets the Commission’s requirements, </w:t>
      </w:r>
      <w:r w:rsidR="00853AC0">
        <w:t xml:space="preserve">the benchmarks for a sample of common </w:t>
      </w:r>
      <w:r w:rsidR="00FE0A29">
        <w:t>offerings</w:t>
      </w:r>
      <w:r w:rsidR="00CB0523">
        <w:t xml:space="preserve"> </w:t>
      </w:r>
      <w:r w:rsidR="00853AC0">
        <w:t>are as follows:</w:t>
      </w:r>
    </w:p>
    <w:p w:rsidR="00FE0A29" w:rsidRDefault="00FE0A29" w:rsidP="00FE0A29"/>
    <w:tbl>
      <w:tblPr>
        <w:tblW w:w="6827" w:type="dxa"/>
        <w:jc w:val="center"/>
        <w:tblInd w:w="-2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00"/>
        <w:gridCol w:w="1980"/>
        <w:gridCol w:w="1228"/>
      </w:tblGrid>
      <w:tr w:rsidR="00FE0A29" w:rsidRPr="00E0007E" w:rsidTr="009A7F18">
        <w:trPr>
          <w:trHeight w:val="300"/>
          <w:jc w:val="center"/>
        </w:trPr>
        <w:tc>
          <w:tcPr>
            <w:tcW w:w="1819" w:type="dxa"/>
            <w:shd w:val="clear" w:color="auto" w:fill="auto"/>
            <w:noWrap/>
            <w:vAlign w:val="bottom"/>
            <w:hideMark/>
          </w:tcPr>
          <w:p w:rsidR="00FE0A29" w:rsidRPr="00E0007E" w:rsidRDefault="00FE0A29" w:rsidP="00FD63B8">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Download Speed (Mbps)</w:t>
            </w:r>
          </w:p>
        </w:tc>
        <w:tc>
          <w:tcPr>
            <w:tcW w:w="1800" w:type="dxa"/>
            <w:shd w:val="clear" w:color="auto" w:fill="auto"/>
            <w:noWrap/>
            <w:vAlign w:val="bottom"/>
            <w:hideMark/>
          </w:tcPr>
          <w:p w:rsidR="00FE0A29" w:rsidRPr="00E0007E" w:rsidRDefault="00FE0A29" w:rsidP="00FD63B8">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Upload Speed (Mbps)</w:t>
            </w:r>
          </w:p>
        </w:tc>
        <w:tc>
          <w:tcPr>
            <w:tcW w:w="1980" w:type="dxa"/>
            <w:shd w:val="clear" w:color="auto" w:fill="auto"/>
            <w:noWrap/>
            <w:vAlign w:val="bottom"/>
            <w:hideMark/>
          </w:tcPr>
          <w:p w:rsidR="00FE0A29" w:rsidRPr="00E0007E" w:rsidRDefault="00FE0A29" w:rsidP="00FD63B8">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Usage Allowance (GB)</w:t>
            </w:r>
          </w:p>
        </w:tc>
        <w:tc>
          <w:tcPr>
            <w:tcW w:w="1228" w:type="dxa"/>
            <w:shd w:val="clear" w:color="auto" w:fill="auto"/>
            <w:noWrap/>
            <w:vAlign w:val="bottom"/>
            <w:hideMark/>
          </w:tcPr>
          <w:p w:rsidR="00FE0A29" w:rsidRPr="00E0007E" w:rsidRDefault="00B22A14" w:rsidP="00FD63B8">
            <w:pPr>
              <w:keepNext/>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Benchmark</w:t>
            </w:r>
          </w:p>
        </w:tc>
      </w:tr>
      <w:tr w:rsidR="009A7F18" w:rsidRPr="00E0007E" w:rsidTr="009A7F18">
        <w:trPr>
          <w:trHeight w:val="300"/>
          <w:jc w:val="center"/>
        </w:trPr>
        <w:tc>
          <w:tcPr>
            <w:tcW w:w="1819"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w:t>
            </w:r>
          </w:p>
        </w:tc>
        <w:tc>
          <w:tcPr>
            <w:tcW w:w="1800"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w:t>
            </w:r>
          </w:p>
        </w:tc>
        <w:tc>
          <w:tcPr>
            <w:tcW w:w="1980"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100</w:t>
            </w:r>
          </w:p>
        </w:tc>
        <w:tc>
          <w:tcPr>
            <w:tcW w:w="1228" w:type="dxa"/>
            <w:shd w:val="clear" w:color="auto" w:fill="auto"/>
            <w:noWrap/>
            <w:vAlign w:val="bottom"/>
            <w:hideMark/>
          </w:tcPr>
          <w:p w:rsidR="009A7F18" w:rsidRPr="00E0007E" w:rsidRDefault="009A7F18" w:rsidP="008A42A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$71.41</w:t>
            </w:r>
          </w:p>
        </w:tc>
      </w:tr>
      <w:tr w:rsidR="009A7F18" w:rsidRPr="00E0007E" w:rsidTr="009A7F18">
        <w:trPr>
          <w:trHeight w:val="300"/>
          <w:jc w:val="center"/>
        </w:trPr>
        <w:tc>
          <w:tcPr>
            <w:tcW w:w="1819"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w:t>
            </w:r>
          </w:p>
        </w:tc>
        <w:tc>
          <w:tcPr>
            <w:tcW w:w="1800"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w:t>
            </w:r>
          </w:p>
        </w:tc>
        <w:tc>
          <w:tcPr>
            <w:tcW w:w="1980"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250</w:t>
            </w:r>
          </w:p>
        </w:tc>
        <w:tc>
          <w:tcPr>
            <w:tcW w:w="1228" w:type="dxa"/>
            <w:shd w:val="clear" w:color="auto" w:fill="auto"/>
            <w:noWrap/>
            <w:vAlign w:val="bottom"/>
            <w:hideMark/>
          </w:tcPr>
          <w:p w:rsidR="009A7F18" w:rsidRPr="00E0007E" w:rsidRDefault="009A7F18" w:rsidP="008A42A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$76.00</w:t>
            </w:r>
          </w:p>
        </w:tc>
      </w:tr>
      <w:tr w:rsidR="009A7F18" w:rsidRPr="00E0007E" w:rsidTr="009A7F18">
        <w:trPr>
          <w:trHeight w:val="300"/>
          <w:jc w:val="center"/>
        </w:trPr>
        <w:tc>
          <w:tcPr>
            <w:tcW w:w="1819"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w:t>
            </w:r>
          </w:p>
        </w:tc>
        <w:tc>
          <w:tcPr>
            <w:tcW w:w="1800"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w:t>
            </w:r>
          </w:p>
        </w:tc>
        <w:tc>
          <w:tcPr>
            <w:tcW w:w="1980"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Unlimited</w:t>
            </w:r>
          </w:p>
        </w:tc>
        <w:tc>
          <w:tcPr>
            <w:tcW w:w="1228" w:type="dxa"/>
            <w:shd w:val="clear" w:color="auto" w:fill="auto"/>
            <w:noWrap/>
            <w:vAlign w:val="bottom"/>
            <w:hideMark/>
          </w:tcPr>
          <w:p w:rsidR="009A7F18" w:rsidRPr="00E0007E" w:rsidRDefault="009A7F18" w:rsidP="008A42A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$77.81</w:t>
            </w:r>
          </w:p>
        </w:tc>
      </w:tr>
      <w:tr w:rsidR="009A7F18" w:rsidRPr="00E0007E" w:rsidTr="009A7F18">
        <w:trPr>
          <w:trHeight w:val="300"/>
          <w:jc w:val="center"/>
        </w:trPr>
        <w:tc>
          <w:tcPr>
            <w:tcW w:w="1819"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25</w:t>
            </w:r>
          </w:p>
        </w:tc>
        <w:tc>
          <w:tcPr>
            <w:tcW w:w="1800"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5</w:t>
            </w:r>
          </w:p>
        </w:tc>
        <w:tc>
          <w:tcPr>
            <w:tcW w:w="1980"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250</w:t>
            </w:r>
          </w:p>
        </w:tc>
        <w:tc>
          <w:tcPr>
            <w:tcW w:w="1228" w:type="dxa"/>
            <w:shd w:val="clear" w:color="auto" w:fill="auto"/>
            <w:noWrap/>
            <w:vAlign w:val="bottom"/>
            <w:hideMark/>
          </w:tcPr>
          <w:p w:rsidR="009A7F18" w:rsidRPr="00E0007E" w:rsidRDefault="009A7F18" w:rsidP="008A42A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$95.09</w:t>
            </w:r>
          </w:p>
        </w:tc>
      </w:tr>
      <w:tr w:rsidR="009A7F18" w:rsidRPr="00E0007E" w:rsidTr="009A7F18">
        <w:trPr>
          <w:trHeight w:val="300"/>
          <w:jc w:val="center"/>
        </w:trPr>
        <w:tc>
          <w:tcPr>
            <w:tcW w:w="1819"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25</w:t>
            </w:r>
          </w:p>
        </w:tc>
        <w:tc>
          <w:tcPr>
            <w:tcW w:w="1800"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5</w:t>
            </w:r>
          </w:p>
        </w:tc>
        <w:tc>
          <w:tcPr>
            <w:tcW w:w="1980" w:type="dxa"/>
            <w:shd w:val="clear" w:color="auto" w:fill="auto"/>
            <w:noWrap/>
            <w:vAlign w:val="bottom"/>
            <w:hideMark/>
          </w:tcPr>
          <w:p w:rsidR="009A7F18" w:rsidRPr="00E0007E" w:rsidRDefault="009A7F18" w:rsidP="00FD63B8">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Unlimited</w:t>
            </w:r>
          </w:p>
        </w:tc>
        <w:tc>
          <w:tcPr>
            <w:tcW w:w="1228" w:type="dxa"/>
            <w:shd w:val="clear" w:color="auto" w:fill="auto"/>
            <w:noWrap/>
            <w:vAlign w:val="bottom"/>
            <w:hideMark/>
          </w:tcPr>
          <w:p w:rsidR="009A7F18" w:rsidRPr="00E0007E" w:rsidRDefault="009A7F18" w:rsidP="008A42A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$96.90</w:t>
            </w:r>
          </w:p>
        </w:tc>
      </w:tr>
    </w:tbl>
    <w:p w:rsidR="004840BF" w:rsidRDefault="004840BF" w:rsidP="004840BF"/>
    <w:p w:rsidR="005E6427" w:rsidRPr="005E6427" w:rsidRDefault="005E6427" w:rsidP="00694FFE">
      <w:pPr>
        <w:keepNext/>
        <w:rPr>
          <w:b/>
        </w:rPr>
      </w:pPr>
      <w:r w:rsidRPr="005E6427">
        <w:rPr>
          <w:b/>
        </w:rPr>
        <w:t>Sample Selection</w:t>
      </w:r>
    </w:p>
    <w:p w:rsidR="005873BC" w:rsidRDefault="005873BC" w:rsidP="005873BC">
      <w:r>
        <w:t xml:space="preserve">Similar to the process used for the first URS, this year’s URS asked for broadband service rates from a sample of service providers. </w:t>
      </w:r>
      <w:r w:rsidR="00416AAF">
        <w:t xml:space="preserve"> </w:t>
      </w:r>
      <w:r>
        <w:t xml:space="preserve">To determine which </w:t>
      </w:r>
      <w:r w:rsidR="00B865ED">
        <w:t xml:space="preserve">broadband </w:t>
      </w:r>
      <w:r>
        <w:t xml:space="preserve">providers to sample, the Wireline Competition Bureau (Bureau) relied on data collected via FCC Form 477. </w:t>
      </w:r>
      <w:r w:rsidR="00416AAF">
        <w:t xml:space="preserve"> </w:t>
      </w:r>
      <w:r>
        <w:t xml:space="preserve">The Bureau used the U.S. Census Bureau’s definition of urban to determine what areas were eligible for the survey and then defined as the sample pool </w:t>
      </w:r>
      <w:r w:rsidR="009A2EFF">
        <w:t>all</w:t>
      </w:r>
      <w:r>
        <w:t xml:space="preserve"> fixed terrestrial </w:t>
      </w:r>
      <w:r w:rsidR="00B865ED">
        <w:t xml:space="preserve">broadband </w:t>
      </w:r>
      <w:r>
        <w:t>service provider</w:t>
      </w:r>
      <w:r w:rsidR="009A2EFF">
        <w:t>s</w:t>
      </w:r>
      <w:r>
        <w:t xml:space="preserve"> that operated in these areas.  </w:t>
      </w:r>
    </w:p>
    <w:p w:rsidR="005E6427" w:rsidRPr="005E6427" w:rsidRDefault="005873BC">
      <w:pPr>
        <w:rPr>
          <w:i/>
        </w:rPr>
      </w:pPr>
      <w:r>
        <w:lastRenderedPageBreak/>
        <w:t>The sample was derived from</w:t>
      </w:r>
      <w:r w:rsidRPr="002D4AD7">
        <w:t xml:space="preserve"> 58,332 urban </w:t>
      </w:r>
      <w:r w:rsidR="006B6881">
        <w:t>C</w:t>
      </w:r>
      <w:r w:rsidRPr="002D4AD7">
        <w:t xml:space="preserve">ensus tracts </w:t>
      </w:r>
      <w:r>
        <w:t>encompassing the</w:t>
      </w:r>
      <w:r w:rsidRPr="002D4AD7">
        <w:t xml:space="preserve"> 50 states</w:t>
      </w:r>
      <w:r>
        <w:t>, the District of Columbia,</w:t>
      </w:r>
      <w:r w:rsidRPr="002D4AD7">
        <w:t xml:space="preserve"> and Puerto Rico</w:t>
      </w:r>
      <w:r w:rsidR="00E95D08">
        <w:t xml:space="preserve">.  </w:t>
      </w:r>
      <w:r w:rsidR="005E6427">
        <w:t xml:space="preserve">The first phase in the sample selection process was to randomly select 375 </w:t>
      </w:r>
      <w:r w:rsidR="006B6881">
        <w:t xml:space="preserve">Census </w:t>
      </w:r>
      <w:r w:rsidR="005E6427">
        <w:t xml:space="preserve">tracts without replacement from this list of urban </w:t>
      </w:r>
      <w:r w:rsidR="006B6881">
        <w:t xml:space="preserve">Census </w:t>
      </w:r>
      <w:r w:rsidR="005E6427">
        <w:t xml:space="preserve">tracts.  Each </w:t>
      </w:r>
      <w:r w:rsidR="006B6881">
        <w:t xml:space="preserve">Census </w:t>
      </w:r>
      <w:r w:rsidR="005E6427">
        <w:t xml:space="preserve">tract had an equal chance of being selected in the sample.  The selection was performed using the “RandomSample” function in Mathematica.  </w:t>
      </w:r>
    </w:p>
    <w:p w:rsidR="005E6427" w:rsidRDefault="003922D6" w:rsidP="005E6427">
      <w:r>
        <w:t>Using Form 477 December 201</w:t>
      </w:r>
      <w:r w:rsidR="0002452C">
        <w:t>3</w:t>
      </w:r>
      <w:r>
        <w:t xml:space="preserve"> filings, the Bureau identified</w:t>
      </w:r>
      <w:r w:rsidR="005E6427">
        <w:t xml:space="preserve"> </w:t>
      </w:r>
      <w:r w:rsidR="00F278AF">
        <w:t xml:space="preserve">1,030 (service provider, </w:t>
      </w:r>
      <w:r>
        <w:t xml:space="preserve">Census </w:t>
      </w:r>
      <w:r w:rsidR="00F278AF">
        <w:t>tract)</w:t>
      </w:r>
      <w:r w:rsidR="001B0AD6" w:rsidRPr="001B0AD6">
        <w:rPr>
          <w:rStyle w:val="FootnoteReference"/>
        </w:rPr>
        <w:t xml:space="preserve"> </w:t>
      </w:r>
      <w:r w:rsidR="001B0AD6">
        <w:rPr>
          <w:rStyle w:val="FootnoteReference"/>
        </w:rPr>
        <w:footnoteReference w:id="3"/>
      </w:r>
      <w:r w:rsidR="00F278AF">
        <w:t xml:space="preserve"> pairs for </w:t>
      </w:r>
      <w:r w:rsidR="00574EA8">
        <w:t>137</w:t>
      </w:r>
      <w:r w:rsidR="001B0AD6" w:rsidRPr="001B0AD6">
        <w:t xml:space="preserve"> </w:t>
      </w:r>
      <w:r w:rsidR="001B0AD6">
        <w:t>different</w:t>
      </w:r>
      <w:r w:rsidR="005E6427">
        <w:t xml:space="preserve"> service providers in</w:t>
      </w:r>
      <w:r w:rsidR="00F278AF">
        <w:t xml:space="preserve"> 374 </w:t>
      </w:r>
      <w:r w:rsidR="001B0AD6">
        <w:t xml:space="preserve">different </w:t>
      </w:r>
      <w:r w:rsidR="006B6881">
        <w:t xml:space="preserve">Census </w:t>
      </w:r>
      <w:r w:rsidR="00F278AF">
        <w:t>tracts</w:t>
      </w:r>
      <w:r w:rsidR="005E6427">
        <w:t>.</w:t>
      </w:r>
      <w:r w:rsidR="0058576A">
        <w:rPr>
          <w:rStyle w:val="FootnoteReference"/>
        </w:rPr>
        <w:footnoteReference w:id="4"/>
      </w:r>
      <w:r w:rsidR="00724322">
        <w:t xml:space="preserve">  This list is referred to as the “full sample.”</w:t>
      </w:r>
    </w:p>
    <w:p w:rsidR="005E6427" w:rsidRDefault="005E6427" w:rsidP="005E6427">
      <w:r>
        <w:t xml:space="preserve">If a service provider was in 25 or </w:t>
      </w:r>
      <w:r w:rsidR="007A72B1">
        <w:t xml:space="preserve">fewer </w:t>
      </w:r>
      <w:r>
        <w:t xml:space="preserve">(service provider, </w:t>
      </w:r>
      <w:r w:rsidR="006B6881">
        <w:t xml:space="preserve">Census </w:t>
      </w:r>
      <w:r>
        <w:t xml:space="preserve">tract) pairs in the sample, then responses were requested for all such pairs in the sample. </w:t>
      </w:r>
      <w:r w:rsidR="007A72B1">
        <w:t xml:space="preserve"> </w:t>
      </w:r>
      <w:r>
        <w:t xml:space="preserve">If a service provider was in 26 or more (service provider, </w:t>
      </w:r>
      <w:r w:rsidR="006B6881">
        <w:t xml:space="preserve">Census </w:t>
      </w:r>
      <w:r>
        <w:t xml:space="preserve">tract) pairs in the sample, then </w:t>
      </w:r>
      <w:r w:rsidR="003B6A26">
        <w:t xml:space="preserve">survey </w:t>
      </w:r>
      <w:r>
        <w:t>responses were requested for 25 such pairs randomly selected without replacement or weighting from the sample.</w:t>
      </w:r>
      <w:r w:rsidR="00DD41DB">
        <w:rPr>
          <w:rStyle w:val="FootnoteReference"/>
        </w:rPr>
        <w:footnoteReference w:id="5"/>
      </w:r>
      <w:r>
        <w:t xml:space="preserve">  The selection was performed using the “RandomSample” function in Mathematica.  The selection process produced a list of 488 (service provider, </w:t>
      </w:r>
      <w:r w:rsidR="006B6881">
        <w:t xml:space="preserve">Census </w:t>
      </w:r>
      <w:r>
        <w:t xml:space="preserve">tract) pairs encompassing </w:t>
      </w:r>
      <w:r w:rsidR="002E4DC0">
        <w:t>136</w:t>
      </w:r>
      <w:r>
        <w:t xml:space="preserve"> </w:t>
      </w:r>
      <w:r w:rsidR="001B0AD6">
        <w:t xml:space="preserve">different </w:t>
      </w:r>
      <w:r>
        <w:t xml:space="preserve">service providers in 286 </w:t>
      </w:r>
      <w:r w:rsidR="001B0AD6">
        <w:t xml:space="preserve">different </w:t>
      </w:r>
      <w:r w:rsidR="006B6881">
        <w:t xml:space="preserve">Census </w:t>
      </w:r>
      <w:r>
        <w:t xml:space="preserve">tracts. </w:t>
      </w:r>
      <w:r w:rsidR="007A72B1">
        <w:t xml:space="preserve"> </w:t>
      </w:r>
      <w:r>
        <w:t xml:space="preserve">Results of the response selection </w:t>
      </w:r>
      <w:r w:rsidR="00BB7513">
        <w:t>are</w:t>
      </w:r>
      <w:r w:rsidR="00724322">
        <w:t xml:space="preserve"> referred to as the “survey sample.”</w:t>
      </w:r>
    </w:p>
    <w:p w:rsidR="00C844DF" w:rsidRPr="00224E0D" w:rsidRDefault="00224E0D" w:rsidP="00224E0D">
      <w:pPr>
        <w:rPr>
          <w:b/>
        </w:rPr>
      </w:pPr>
      <w:r>
        <w:rPr>
          <w:b/>
        </w:rPr>
        <w:t>Data Preparation</w:t>
      </w:r>
    </w:p>
    <w:p w:rsidR="00AA3138" w:rsidRDefault="00AA052A" w:rsidP="00AA3138">
      <w:r>
        <w:t>A total of 2,352</w:t>
      </w:r>
      <w:r w:rsidR="009375D9">
        <w:t xml:space="preserve"> rates were provided at a variety of service levels.</w:t>
      </w:r>
      <w:r w:rsidR="00EF0E5E">
        <w:t xml:space="preserve"> </w:t>
      </w:r>
      <w:r w:rsidR="009375D9">
        <w:t xml:space="preserve"> </w:t>
      </w:r>
      <w:r w:rsidR="00610050">
        <w:t>Several rates were excluded from the analysis for various reasons as described in the Appendix</w:t>
      </w:r>
      <w:r w:rsidR="00B22A14">
        <w:t xml:space="preserve"> attached hereto</w:t>
      </w:r>
      <w:r w:rsidR="00963CBB">
        <w:t xml:space="preserve">, </w:t>
      </w:r>
      <w:r w:rsidR="00610050">
        <w:t xml:space="preserve">resulting in a total of </w:t>
      </w:r>
      <w:r w:rsidR="00F365ED">
        <w:t>2,306 rates available for the analysis.</w:t>
      </w:r>
      <w:r w:rsidR="00EF0E5E">
        <w:t xml:space="preserve"> </w:t>
      </w:r>
      <w:r w:rsidR="00F365ED">
        <w:t xml:space="preserve"> </w:t>
      </w:r>
      <w:r w:rsidR="00AA3138">
        <w:t xml:space="preserve">The table below presents the number of responses, the number of different service providers, the number of different </w:t>
      </w:r>
      <w:r w:rsidR="00B005FE">
        <w:t xml:space="preserve">Census </w:t>
      </w:r>
      <w:r w:rsidR="00AA3138">
        <w:t xml:space="preserve">tracts, and the number of rates for each technology among responses received with rates </w:t>
      </w:r>
      <w:r w:rsidR="00F365ED">
        <w:t>available for</w:t>
      </w:r>
      <w:r w:rsidR="00AA3138">
        <w:t xml:space="preserve"> the analysis.</w:t>
      </w:r>
    </w:p>
    <w:tbl>
      <w:tblPr>
        <w:tblStyle w:val="TableGrid"/>
        <w:tblW w:w="0" w:type="auto"/>
        <w:jc w:val="center"/>
        <w:tblLook w:val="04A0" w:firstRow="1" w:lastRow="0" w:firstColumn="1" w:lastColumn="0" w:noHBand="0" w:noVBand="1"/>
      </w:tblPr>
      <w:tblGrid>
        <w:gridCol w:w="1596"/>
        <w:gridCol w:w="1596"/>
        <w:gridCol w:w="1878"/>
        <w:gridCol w:w="1530"/>
        <w:gridCol w:w="1380"/>
      </w:tblGrid>
      <w:tr w:rsidR="00AA3138" w:rsidTr="00FD63B8">
        <w:trPr>
          <w:jc w:val="center"/>
        </w:trPr>
        <w:tc>
          <w:tcPr>
            <w:tcW w:w="1596" w:type="dxa"/>
          </w:tcPr>
          <w:p w:rsidR="00AA3138" w:rsidRDefault="00AA3138" w:rsidP="008539F4">
            <w:pPr>
              <w:keepNext/>
            </w:pPr>
            <w:r>
              <w:t>Technology</w:t>
            </w:r>
          </w:p>
        </w:tc>
        <w:tc>
          <w:tcPr>
            <w:tcW w:w="1596" w:type="dxa"/>
          </w:tcPr>
          <w:p w:rsidR="00AA3138" w:rsidRDefault="00AA3138" w:rsidP="008539F4">
            <w:pPr>
              <w:keepNext/>
              <w:jc w:val="center"/>
            </w:pPr>
            <w:r>
              <w:t>Responses</w:t>
            </w:r>
          </w:p>
        </w:tc>
        <w:tc>
          <w:tcPr>
            <w:tcW w:w="1878" w:type="dxa"/>
          </w:tcPr>
          <w:p w:rsidR="00AA3138" w:rsidRDefault="00AA3138" w:rsidP="008539F4">
            <w:pPr>
              <w:keepNext/>
              <w:jc w:val="center"/>
            </w:pPr>
            <w:r>
              <w:t>Service Providers</w:t>
            </w:r>
          </w:p>
        </w:tc>
        <w:tc>
          <w:tcPr>
            <w:tcW w:w="1530" w:type="dxa"/>
          </w:tcPr>
          <w:p w:rsidR="00AA3138" w:rsidRDefault="00AA3138" w:rsidP="008539F4">
            <w:pPr>
              <w:keepNext/>
              <w:jc w:val="center"/>
            </w:pPr>
            <w:r>
              <w:t>Census Tracts</w:t>
            </w:r>
          </w:p>
        </w:tc>
        <w:tc>
          <w:tcPr>
            <w:tcW w:w="1380" w:type="dxa"/>
          </w:tcPr>
          <w:p w:rsidR="00AA3138" w:rsidRDefault="00AA3138" w:rsidP="008539F4">
            <w:pPr>
              <w:keepNext/>
              <w:jc w:val="center"/>
            </w:pPr>
            <w:r>
              <w:t>Rates</w:t>
            </w:r>
          </w:p>
        </w:tc>
      </w:tr>
      <w:tr w:rsidR="00AA3138" w:rsidTr="00FD63B8">
        <w:trPr>
          <w:jc w:val="center"/>
        </w:trPr>
        <w:tc>
          <w:tcPr>
            <w:tcW w:w="1596" w:type="dxa"/>
          </w:tcPr>
          <w:p w:rsidR="00AA3138" w:rsidRDefault="00AA3138" w:rsidP="008539F4">
            <w:pPr>
              <w:keepNext/>
            </w:pPr>
            <w:r>
              <w:t>Cable</w:t>
            </w:r>
          </w:p>
        </w:tc>
        <w:tc>
          <w:tcPr>
            <w:tcW w:w="1596" w:type="dxa"/>
          </w:tcPr>
          <w:p w:rsidR="00AA3138" w:rsidRDefault="00AF2DC0" w:rsidP="008539F4">
            <w:pPr>
              <w:keepNext/>
              <w:jc w:val="center"/>
            </w:pPr>
            <w:r>
              <w:t>195</w:t>
            </w:r>
          </w:p>
        </w:tc>
        <w:tc>
          <w:tcPr>
            <w:tcW w:w="1878" w:type="dxa"/>
          </w:tcPr>
          <w:p w:rsidR="00AA3138" w:rsidRDefault="00AF2DC0" w:rsidP="008539F4">
            <w:pPr>
              <w:keepNext/>
              <w:jc w:val="center"/>
            </w:pPr>
            <w:r>
              <w:t>39</w:t>
            </w:r>
          </w:p>
        </w:tc>
        <w:tc>
          <w:tcPr>
            <w:tcW w:w="1530" w:type="dxa"/>
          </w:tcPr>
          <w:p w:rsidR="00AA3138" w:rsidRDefault="00AF2DC0" w:rsidP="008539F4">
            <w:pPr>
              <w:keepNext/>
              <w:jc w:val="center"/>
            </w:pPr>
            <w:r>
              <w:t>177</w:t>
            </w:r>
          </w:p>
        </w:tc>
        <w:tc>
          <w:tcPr>
            <w:tcW w:w="1380" w:type="dxa"/>
          </w:tcPr>
          <w:p w:rsidR="00AA3138" w:rsidRDefault="00AF2DC0" w:rsidP="008539F4">
            <w:pPr>
              <w:keepNext/>
              <w:jc w:val="center"/>
            </w:pPr>
            <w:r>
              <w:t>1147</w:t>
            </w:r>
          </w:p>
        </w:tc>
      </w:tr>
      <w:tr w:rsidR="00AA3138" w:rsidTr="00FD63B8">
        <w:trPr>
          <w:jc w:val="center"/>
        </w:trPr>
        <w:tc>
          <w:tcPr>
            <w:tcW w:w="1596" w:type="dxa"/>
          </w:tcPr>
          <w:p w:rsidR="00AA3138" w:rsidRDefault="00AA3138" w:rsidP="008539F4">
            <w:pPr>
              <w:keepNext/>
            </w:pPr>
            <w:r>
              <w:t>DSL</w:t>
            </w:r>
          </w:p>
        </w:tc>
        <w:tc>
          <w:tcPr>
            <w:tcW w:w="1596" w:type="dxa"/>
          </w:tcPr>
          <w:p w:rsidR="00AA3138" w:rsidRDefault="00AA3138" w:rsidP="008539F4">
            <w:pPr>
              <w:keepNext/>
              <w:jc w:val="center"/>
            </w:pPr>
            <w:r>
              <w:t>120</w:t>
            </w:r>
          </w:p>
        </w:tc>
        <w:tc>
          <w:tcPr>
            <w:tcW w:w="1878" w:type="dxa"/>
          </w:tcPr>
          <w:p w:rsidR="00AA3138" w:rsidRDefault="00AA3138" w:rsidP="008539F4">
            <w:pPr>
              <w:keepNext/>
              <w:jc w:val="center"/>
            </w:pPr>
            <w:r>
              <w:t>26</w:t>
            </w:r>
          </w:p>
        </w:tc>
        <w:tc>
          <w:tcPr>
            <w:tcW w:w="1530" w:type="dxa"/>
          </w:tcPr>
          <w:p w:rsidR="00AA3138" w:rsidRDefault="00AA3138" w:rsidP="008539F4">
            <w:pPr>
              <w:keepNext/>
              <w:jc w:val="center"/>
            </w:pPr>
            <w:r>
              <w:t>107</w:t>
            </w:r>
          </w:p>
        </w:tc>
        <w:tc>
          <w:tcPr>
            <w:tcW w:w="1380" w:type="dxa"/>
          </w:tcPr>
          <w:p w:rsidR="00AA3138" w:rsidRDefault="00AF2DC0" w:rsidP="008539F4">
            <w:pPr>
              <w:keepNext/>
              <w:jc w:val="center"/>
            </w:pPr>
            <w:r>
              <w:t>647</w:t>
            </w:r>
          </w:p>
        </w:tc>
      </w:tr>
      <w:tr w:rsidR="00AA3138" w:rsidTr="00FD63B8">
        <w:trPr>
          <w:jc w:val="center"/>
        </w:trPr>
        <w:tc>
          <w:tcPr>
            <w:tcW w:w="1596" w:type="dxa"/>
          </w:tcPr>
          <w:p w:rsidR="00AA3138" w:rsidRDefault="00AA3138" w:rsidP="008539F4">
            <w:pPr>
              <w:keepNext/>
            </w:pPr>
            <w:r>
              <w:t>FTTH</w:t>
            </w:r>
          </w:p>
        </w:tc>
        <w:tc>
          <w:tcPr>
            <w:tcW w:w="1596" w:type="dxa"/>
          </w:tcPr>
          <w:p w:rsidR="00AA3138" w:rsidRDefault="00AA3138" w:rsidP="008539F4">
            <w:pPr>
              <w:keepNext/>
              <w:jc w:val="center"/>
            </w:pPr>
            <w:r>
              <w:t>44</w:t>
            </w:r>
          </w:p>
        </w:tc>
        <w:tc>
          <w:tcPr>
            <w:tcW w:w="1878" w:type="dxa"/>
          </w:tcPr>
          <w:p w:rsidR="00AA3138" w:rsidRDefault="00AA3138" w:rsidP="008539F4">
            <w:pPr>
              <w:keepNext/>
              <w:jc w:val="center"/>
            </w:pPr>
            <w:r>
              <w:t>22</w:t>
            </w:r>
          </w:p>
        </w:tc>
        <w:tc>
          <w:tcPr>
            <w:tcW w:w="1530" w:type="dxa"/>
          </w:tcPr>
          <w:p w:rsidR="00AA3138" w:rsidRDefault="00AA3138" w:rsidP="008539F4">
            <w:pPr>
              <w:keepNext/>
              <w:jc w:val="center"/>
            </w:pPr>
            <w:r>
              <w:t>43</w:t>
            </w:r>
          </w:p>
        </w:tc>
        <w:tc>
          <w:tcPr>
            <w:tcW w:w="1380" w:type="dxa"/>
          </w:tcPr>
          <w:p w:rsidR="00AA3138" w:rsidRDefault="00AF2DC0" w:rsidP="008539F4">
            <w:pPr>
              <w:keepNext/>
              <w:jc w:val="center"/>
            </w:pPr>
            <w:r>
              <w:t>247</w:t>
            </w:r>
          </w:p>
        </w:tc>
      </w:tr>
      <w:tr w:rsidR="00AA3138" w:rsidTr="00FD63B8">
        <w:trPr>
          <w:jc w:val="center"/>
        </w:trPr>
        <w:tc>
          <w:tcPr>
            <w:tcW w:w="1596" w:type="dxa"/>
          </w:tcPr>
          <w:p w:rsidR="00AA3138" w:rsidRDefault="00AA3138" w:rsidP="008539F4">
            <w:pPr>
              <w:keepNext/>
            </w:pPr>
            <w:r>
              <w:t>Fixed Wireless</w:t>
            </w:r>
          </w:p>
        </w:tc>
        <w:tc>
          <w:tcPr>
            <w:tcW w:w="1596" w:type="dxa"/>
          </w:tcPr>
          <w:p w:rsidR="00AA3138" w:rsidRDefault="00AA3138" w:rsidP="008539F4">
            <w:pPr>
              <w:keepNext/>
              <w:jc w:val="center"/>
            </w:pPr>
            <w:r>
              <w:t>35</w:t>
            </w:r>
          </w:p>
        </w:tc>
        <w:tc>
          <w:tcPr>
            <w:tcW w:w="1878" w:type="dxa"/>
          </w:tcPr>
          <w:p w:rsidR="00AA3138" w:rsidRDefault="00AA3138" w:rsidP="008539F4">
            <w:pPr>
              <w:keepNext/>
              <w:jc w:val="center"/>
            </w:pPr>
            <w:r>
              <w:t>29</w:t>
            </w:r>
          </w:p>
        </w:tc>
        <w:tc>
          <w:tcPr>
            <w:tcW w:w="1530" w:type="dxa"/>
          </w:tcPr>
          <w:p w:rsidR="00AA3138" w:rsidRDefault="00AA3138" w:rsidP="008539F4">
            <w:pPr>
              <w:keepNext/>
              <w:jc w:val="center"/>
            </w:pPr>
            <w:r>
              <w:t>27</w:t>
            </w:r>
          </w:p>
        </w:tc>
        <w:tc>
          <w:tcPr>
            <w:tcW w:w="1380" w:type="dxa"/>
          </w:tcPr>
          <w:p w:rsidR="00AA3138" w:rsidRDefault="00AF2DC0" w:rsidP="008539F4">
            <w:pPr>
              <w:keepNext/>
              <w:jc w:val="center"/>
            </w:pPr>
            <w:r>
              <w:t>120</w:t>
            </w:r>
          </w:p>
        </w:tc>
      </w:tr>
      <w:tr w:rsidR="00AA052A" w:rsidTr="00FD63B8">
        <w:trPr>
          <w:jc w:val="center"/>
        </w:trPr>
        <w:tc>
          <w:tcPr>
            <w:tcW w:w="1596" w:type="dxa"/>
          </w:tcPr>
          <w:p w:rsidR="00AA052A" w:rsidRDefault="00AA052A" w:rsidP="008539F4">
            <w:pPr>
              <w:keepNext/>
            </w:pPr>
            <w:r>
              <w:t>Other</w:t>
            </w:r>
          </w:p>
        </w:tc>
        <w:tc>
          <w:tcPr>
            <w:tcW w:w="1596" w:type="dxa"/>
          </w:tcPr>
          <w:p w:rsidR="00AA052A" w:rsidRDefault="00AF2DC0" w:rsidP="008539F4">
            <w:pPr>
              <w:keepNext/>
              <w:jc w:val="center"/>
            </w:pPr>
            <w:r>
              <w:t>25</w:t>
            </w:r>
          </w:p>
        </w:tc>
        <w:tc>
          <w:tcPr>
            <w:tcW w:w="1878" w:type="dxa"/>
          </w:tcPr>
          <w:p w:rsidR="00AA052A" w:rsidRDefault="00AF2DC0" w:rsidP="008539F4">
            <w:pPr>
              <w:keepNext/>
              <w:jc w:val="center"/>
            </w:pPr>
            <w:r>
              <w:t>1</w:t>
            </w:r>
          </w:p>
        </w:tc>
        <w:tc>
          <w:tcPr>
            <w:tcW w:w="1530" w:type="dxa"/>
          </w:tcPr>
          <w:p w:rsidR="00AA052A" w:rsidRDefault="00AF2DC0" w:rsidP="008539F4">
            <w:pPr>
              <w:keepNext/>
              <w:jc w:val="center"/>
            </w:pPr>
            <w:r>
              <w:t>25</w:t>
            </w:r>
          </w:p>
        </w:tc>
        <w:tc>
          <w:tcPr>
            <w:tcW w:w="1380" w:type="dxa"/>
          </w:tcPr>
          <w:p w:rsidR="00AA052A" w:rsidRDefault="00AF2DC0" w:rsidP="008539F4">
            <w:pPr>
              <w:keepNext/>
              <w:jc w:val="center"/>
            </w:pPr>
            <w:r>
              <w:t>145</w:t>
            </w:r>
          </w:p>
        </w:tc>
      </w:tr>
      <w:tr w:rsidR="00AA052A" w:rsidTr="00FD63B8">
        <w:trPr>
          <w:jc w:val="center"/>
        </w:trPr>
        <w:tc>
          <w:tcPr>
            <w:tcW w:w="1596" w:type="dxa"/>
          </w:tcPr>
          <w:p w:rsidR="00AA052A" w:rsidRDefault="00AA052A" w:rsidP="008539F4">
            <w:pPr>
              <w:keepNext/>
            </w:pPr>
            <w:r>
              <w:t>All</w:t>
            </w:r>
          </w:p>
        </w:tc>
        <w:tc>
          <w:tcPr>
            <w:tcW w:w="1596" w:type="dxa"/>
          </w:tcPr>
          <w:p w:rsidR="00AA052A" w:rsidRDefault="00AA052A" w:rsidP="008539F4">
            <w:pPr>
              <w:keepNext/>
              <w:jc w:val="center"/>
            </w:pPr>
            <w:r>
              <w:t>370</w:t>
            </w:r>
          </w:p>
        </w:tc>
        <w:tc>
          <w:tcPr>
            <w:tcW w:w="1878" w:type="dxa"/>
          </w:tcPr>
          <w:p w:rsidR="00AA052A" w:rsidRDefault="00AA052A" w:rsidP="008539F4">
            <w:pPr>
              <w:keepNext/>
              <w:jc w:val="center"/>
            </w:pPr>
            <w:r>
              <w:t>100</w:t>
            </w:r>
          </w:p>
        </w:tc>
        <w:tc>
          <w:tcPr>
            <w:tcW w:w="1530" w:type="dxa"/>
          </w:tcPr>
          <w:p w:rsidR="00AA052A" w:rsidRDefault="00AA052A" w:rsidP="008539F4">
            <w:pPr>
              <w:keepNext/>
              <w:jc w:val="center"/>
            </w:pPr>
            <w:r>
              <w:t>252</w:t>
            </w:r>
          </w:p>
        </w:tc>
        <w:tc>
          <w:tcPr>
            <w:tcW w:w="1380" w:type="dxa"/>
          </w:tcPr>
          <w:p w:rsidR="00AA052A" w:rsidRDefault="00AA052A" w:rsidP="008539F4">
            <w:pPr>
              <w:keepNext/>
              <w:jc w:val="center"/>
            </w:pPr>
            <w:r>
              <w:t>2306</w:t>
            </w:r>
          </w:p>
        </w:tc>
      </w:tr>
    </w:tbl>
    <w:p w:rsidR="00AA3138" w:rsidRDefault="00AA3138" w:rsidP="009375D9"/>
    <w:p w:rsidR="00400740" w:rsidRDefault="00400740" w:rsidP="00E0007E">
      <w:r>
        <w:t>All speed values w</w:t>
      </w:r>
      <w:r w:rsidR="00F365ED">
        <w:t>ere expected to be entered in Mb</w:t>
      </w:r>
      <w:r>
        <w:t xml:space="preserve">ps, but some </w:t>
      </w:r>
      <w:r w:rsidR="00B22A14">
        <w:t>appeared to be</w:t>
      </w:r>
      <w:r>
        <w:t xml:space="preserve"> entered as Kbps</w:t>
      </w:r>
      <w:r w:rsidR="00633DE1">
        <w:t xml:space="preserve"> or </w:t>
      </w:r>
      <w:r w:rsidR="00B4779A">
        <w:t>used</w:t>
      </w:r>
      <w:r w:rsidR="00362BB3">
        <w:t xml:space="preserve"> thousands in the binary sense.</w:t>
      </w:r>
      <w:r>
        <w:t xml:space="preserve">  For consistency, speed values entered in the survey were converted </w:t>
      </w:r>
      <w:r w:rsidR="00B22A14">
        <w:t>as shown</w:t>
      </w:r>
      <w:r>
        <w:t xml:space="preserve"> in the table below:</w:t>
      </w:r>
    </w:p>
    <w:tbl>
      <w:tblPr>
        <w:tblStyle w:val="TableGrid"/>
        <w:tblW w:w="0" w:type="auto"/>
        <w:tblInd w:w="2358" w:type="dxa"/>
        <w:tblLook w:val="04A0" w:firstRow="1" w:lastRow="0" w:firstColumn="1" w:lastColumn="0" w:noHBand="0" w:noVBand="1"/>
      </w:tblPr>
      <w:tblGrid>
        <w:gridCol w:w="2430"/>
        <w:gridCol w:w="1710"/>
      </w:tblGrid>
      <w:tr w:rsidR="00400740" w:rsidTr="00400740">
        <w:tc>
          <w:tcPr>
            <w:tcW w:w="2430" w:type="dxa"/>
            <w:vAlign w:val="bottom"/>
          </w:tcPr>
          <w:p w:rsidR="00400740" w:rsidRPr="00692EFE" w:rsidRDefault="00400740" w:rsidP="00FD63B8">
            <w:pPr>
              <w:jc w:val="center"/>
              <w:rPr>
                <w:rFonts w:ascii="Calibri" w:eastAsia="Times New Roman" w:hAnsi="Calibri" w:cs="Calibri"/>
                <w:color w:val="000000"/>
              </w:rPr>
            </w:pPr>
            <w:r w:rsidRPr="00692EFE">
              <w:rPr>
                <w:rFonts w:ascii="Calibri" w:eastAsia="Times New Roman" w:hAnsi="Calibri" w:cs="Calibri"/>
                <w:color w:val="000000"/>
              </w:rPr>
              <w:t>Speed Entered</w:t>
            </w:r>
          </w:p>
        </w:tc>
        <w:tc>
          <w:tcPr>
            <w:tcW w:w="1710" w:type="dxa"/>
            <w:vAlign w:val="bottom"/>
          </w:tcPr>
          <w:p w:rsidR="00400740" w:rsidRPr="00692EFE" w:rsidRDefault="00400740" w:rsidP="00400740">
            <w:pPr>
              <w:jc w:val="center"/>
              <w:rPr>
                <w:rFonts w:ascii="Calibri" w:eastAsia="Times New Roman" w:hAnsi="Calibri" w:cs="Calibri"/>
                <w:color w:val="000000"/>
              </w:rPr>
            </w:pPr>
            <w:r w:rsidRPr="00692EFE">
              <w:rPr>
                <w:rFonts w:ascii="Calibri" w:eastAsia="Times New Roman" w:hAnsi="Calibri" w:cs="Calibri"/>
                <w:color w:val="000000"/>
              </w:rPr>
              <w:t>Speed Used</w:t>
            </w:r>
          </w:p>
        </w:tc>
      </w:tr>
      <w:tr w:rsidR="00400740" w:rsidTr="00400740">
        <w:tc>
          <w:tcPr>
            <w:tcW w:w="2430" w:type="dxa"/>
          </w:tcPr>
          <w:p w:rsidR="00400740" w:rsidRDefault="00400740" w:rsidP="00400740">
            <w:pPr>
              <w:jc w:val="center"/>
            </w:pPr>
            <w:r>
              <w:t>0.128</w:t>
            </w:r>
          </w:p>
        </w:tc>
        <w:tc>
          <w:tcPr>
            <w:tcW w:w="1710" w:type="dxa"/>
          </w:tcPr>
          <w:p w:rsidR="00400740" w:rsidRDefault="00400740" w:rsidP="00400740">
            <w:pPr>
              <w:jc w:val="center"/>
            </w:pPr>
            <w:r>
              <w:t>0.125</w:t>
            </w:r>
          </w:p>
        </w:tc>
      </w:tr>
      <w:tr w:rsidR="00400740" w:rsidTr="00400740">
        <w:tc>
          <w:tcPr>
            <w:tcW w:w="2430" w:type="dxa"/>
          </w:tcPr>
          <w:p w:rsidR="00400740" w:rsidRDefault="00400740" w:rsidP="00400740">
            <w:pPr>
              <w:jc w:val="center"/>
            </w:pPr>
            <w:r>
              <w:t>0.256 or 256</w:t>
            </w:r>
          </w:p>
        </w:tc>
        <w:tc>
          <w:tcPr>
            <w:tcW w:w="1710" w:type="dxa"/>
          </w:tcPr>
          <w:p w:rsidR="00400740" w:rsidRDefault="00400740" w:rsidP="00400740">
            <w:pPr>
              <w:jc w:val="center"/>
            </w:pPr>
            <w:r>
              <w:t>0.25</w:t>
            </w:r>
          </w:p>
        </w:tc>
      </w:tr>
      <w:tr w:rsidR="00400740" w:rsidTr="00400740">
        <w:tc>
          <w:tcPr>
            <w:tcW w:w="2430" w:type="dxa"/>
          </w:tcPr>
          <w:p w:rsidR="00400740" w:rsidRDefault="00400740" w:rsidP="00400740">
            <w:pPr>
              <w:jc w:val="center"/>
            </w:pPr>
            <w:r>
              <w:t>0.37, 0.38, or 0.384</w:t>
            </w:r>
          </w:p>
        </w:tc>
        <w:tc>
          <w:tcPr>
            <w:tcW w:w="1710" w:type="dxa"/>
          </w:tcPr>
          <w:p w:rsidR="00400740" w:rsidRDefault="00400740" w:rsidP="00400740">
            <w:pPr>
              <w:jc w:val="center"/>
            </w:pPr>
            <w:r>
              <w:t>0.375</w:t>
            </w:r>
          </w:p>
        </w:tc>
      </w:tr>
      <w:tr w:rsidR="00400740" w:rsidTr="00400740">
        <w:tc>
          <w:tcPr>
            <w:tcW w:w="2430" w:type="dxa"/>
          </w:tcPr>
          <w:p w:rsidR="00400740" w:rsidRDefault="00400740" w:rsidP="00400740">
            <w:pPr>
              <w:jc w:val="center"/>
            </w:pPr>
            <w:r>
              <w:t>0</w:t>
            </w:r>
            <w:r w:rsidR="00633DE1">
              <w:t>.512 or 512</w:t>
            </w:r>
          </w:p>
        </w:tc>
        <w:tc>
          <w:tcPr>
            <w:tcW w:w="1710" w:type="dxa"/>
          </w:tcPr>
          <w:p w:rsidR="00400740" w:rsidRDefault="00400740" w:rsidP="00400740">
            <w:pPr>
              <w:jc w:val="center"/>
            </w:pPr>
            <w:r>
              <w:t>0.5</w:t>
            </w:r>
          </w:p>
        </w:tc>
      </w:tr>
      <w:tr w:rsidR="00400740" w:rsidTr="00400740">
        <w:tc>
          <w:tcPr>
            <w:tcW w:w="2430" w:type="dxa"/>
          </w:tcPr>
          <w:p w:rsidR="00400740" w:rsidRDefault="00400740" w:rsidP="00400740">
            <w:pPr>
              <w:jc w:val="center"/>
            </w:pPr>
            <w:r>
              <w:t>0.768</w:t>
            </w:r>
          </w:p>
        </w:tc>
        <w:tc>
          <w:tcPr>
            <w:tcW w:w="1710" w:type="dxa"/>
          </w:tcPr>
          <w:p w:rsidR="00400740" w:rsidRDefault="00400740" w:rsidP="00400740">
            <w:pPr>
              <w:jc w:val="center"/>
            </w:pPr>
            <w:r>
              <w:t>0.75</w:t>
            </w:r>
          </w:p>
        </w:tc>
      </w:tr>
      <w:tr w:rsidR="00400740" w:rsidTr="00400740">
        <w:tc>
          <w:tcPr>
            <w:tcW w:w="2430" w:type="dxa"/>
          </w:tcPr>
          <w:p w:rsidR="00400740" w:rsidRDefault="00400740" w:rsidP="00400740">
            <w:pPr>
              <w:jc w:val="center"/>
            </w:pPr>
            <w:r>
              <w:t>1024</w:t>
            </w:r>
          </w:p>
        </w:tc>
        <w:tc>
          <w:tcPr>
            <w:tcW w:w="1710" w:type="dxa"/>
          </w:tcPr>
          <w:p w:rsidR="00400740" w:rsidRDefault="00400740" w:rsidP="00400740">
            <w:pPr>
              <w:jc w:val="center"/>
            </w:pPr>
            <w:r>
              <w:t>1000</w:t>
            </w:r>
          </w:p>
        </w:tc>
      </w:tr>
    </w:tbl>
    <w:p w:rsidR="0079749E" w:rsidRDefault="0079749E" w:rsidP="00E0007E">
      <w:pPr>
        <w:keepNext/>
        <w:rPr>
          <w:b/>
        </w:rPr>
      </w:pPr>
    </w:p>
    <w:p w:rsidR="009B60F0" w:rsidRPr="009B60F0" w:rsidRDefault="009B60F0" w:rsidP="00E0007E">
      <w:pPr>
        <w:keepNext/>
        <w:rPr>
          <w:b/>
        </w:rPr>
      </w:pPr>
      <w:r w:rsidRPr="009B60F0">
        <w:rPr>
          <w:b/>
        </w:rPr>
        <w:t xml:space="preserve">Monthly Rate for </w:t>
      </w:r>
      <w:r>
        <w:rPr>
          <w:b/>
        </w:rPr>
        <w:t>a Service Type Response</w:t>
      </w:r>
    </w:p>
    <w:p w:rsidR="004973C8" w:rsidRDefault="00B4779A" w:rsidP="00A1665E">
      <w:r>
        <w:t xml:space="preserve">Monthly rates were treated as unique for a combination of </w:t>
      </w:r>
      <w:r w:rsidR="003B30DF">
        <w:t xml:space="preserve">Census </w:t>
      </w:r>
      <w:r>
        <w:t xml:space="preserve">tract, </w:t>
      </w:r>
      <w:r w:rsidR="008673EF">
        <w:t>FRN</w:t>
      </w:r>
      <w:r>
        <w:t xml:space="preserve">, service </w:t>
      </w:r>
      <w:r w:rsidR="008673EF">
        <w:t>name</w:t>
      </w:r>
      <w:r>
        <w:t xml:space="preserve">, </w:t>
      </w:r>
      <w:r w:rsidR="008673EF">
        <w:t>technology, download speed, upload speed, and capacity allowance.</w:t>
      </w:r>
      <w:r w:rsidR="00A62F7F">
        <w:rPr>
          <w:rStyle w:val="FootnoteReference"/>
        </w:rPr>
        <w:footnoteReference w:id="6"/>
      </w:r>
      <w:r w:rsidR="008673EF">
        <w:t xml:space="preserve">  The following average monthly rate was used if the service provider offered multiple rates in the </w:t>
      </w:r>
      <w:r w:rsidR="003B30DF">
        <w:t xml:space="preserve">Census </w:t>
      </w:r>
      <w:r w:rsidR="008673EF">
        <w:t>tract</w:t>
      </w:r>
      <w:r w:rsidR="00F365ED">
        <w:t xml:space="preserve"> for each unique combination</w:t>
      </w:r>
    </w:p>
    <w:p w:rsidR="008673EF" w:rsidRDefault="008673EF" w:rsidP="008673EF">
      <w:pPr>
        <w:pStyle w:val="ListParagraph"/>
        <w:numPr>
          <w:ilvl w:val="0"/>
          <w:numId w:val="6"/>
        </w:numPr>
      </w:pPr>
      <w:r>
        <w:t>Minimum Rate = Minimum Monthly Charge + Minimum Other Mandatory Charge + Minimum Surcharge</w:t>
      </w:r>
    </w:p>
    <w:p w:rsidR="008673EF" w:rsidRDefault="008673EF" w:rsidP="008673EF">
      <w:pPr>
        <w:pStyle w:val="ListParagraph"/>
        <w:numPr>
          <w:ilvl w:val="0"/>
          <w:numId w:val="6"/>
        </w:numPr>
      </w:pPr>
      <w:r>
        <w:t>Maximum Rate = Maximum Monthly Charge + Maximum Other Mandatory Charge + Maximum Surcharge</w:t>
      </w:r>
    </w:p>
    <w:p w:rsidR="008673EF" w:rsidRDefault="008673EF" w:rsidP="008673EF">
      <w:pPr>
        <w:pStyle w:val="ListParagraph"/>
        <w:numPr>
          <w:ilvl w:val="0"/>
          <w:numId w:val="6"/>
        </w:numPr>
      </w:pPr>
      <w:r>
        <w:t xml:space="preserve">Average Rate = </w:t>
      </w:r>
      <w:r w:rsidRPr="005D3FDA">
        <w:t xml:space="preserve">(Minimum </w:t>
      </w:r>
      <w:r>
        <w:t>Rate</w:t>
      </w:r>
      <w:r w:rsidRPr="005D3FDA">
        <w:t xml:space="preserve"> + Maximum </w:t>
      </w:r>
      <w:r>
        <w:t>Rate</w:t>
      </w:r>
      <w:r w:rsidRPr="005D3FDA">
        <w:t>)/2</w:t>
      </w:r>
    </w:p>
    <w:p w:rsidR="008673EF" w:rsidRDefault="008673EF" w:rsidP="008673EF">
      <w:pPr>
        <w:pStyle w:val="ListParagraph"/>
        <w:numPr>
          <w:ilvl w:val="0"/>
          <w:numId w:val="6"/>
        </w:numPr>
      </w:pPr>
      <w:r>
        <w:t xml:space="preserve">Rate Spread = </w:t>
      </w:r>
      <w:r w:rsidRPr="005D3FDA">
        <w:t xml:space="preserve">Maximum </w:t>
      </w:r>
      <w:r>
        <w:t xml:space="preserve">Rate - </w:t>
      </w:r>
      <w:r w:rsidRPr="005D3FDA">
        <w:t xml:space="preserve">Minimum </w:t>
      </w:r>
      <w:r>
        <w:t>Rate</w:t>
      </w:r>
    </w:p>
    <w:p w:rsidR="000C1052" w:rsidRPr="005D3FDA" w:rsidRDefault="000C1052" w:rsidP="000C1052">
      <w:r>
        <w:t xml:space="preserve">The following average monthly rate was used if the service provider did not offer multiple rates in the </w:t>
      </w:r>
      <w:r w:rsidR="003B30DF">
        <w:t xml:space="preserve">Census </w:t>
      </w:r>
      <w:r>
        <w:t>tract</w:t>
      </w:r>
      <w:r w:rsidR="00BF244C">
        <w:t xml:space="preserve"> for a unique combination</w:t>
      </w:r>
      <w:r>
        <w:t>:</w:t>
      </w:r>
    </w:p>
    <w:p w:rsidR="000C1052" w:rsidRDefault="000C1052" w:rsidP="000C1052">
      <w:pPr>
        <w:pStyle w:val="ListParagraph"/>
        <w:numPr>
          <w:ilvl w:val="0"/>
          <w:numId w:val="7"/>
        </w:numPr>
      </w:pPr>
      <w:r>
        <w:t>Average Rate = Minimum Monthly Charge + Minimum Other Mandatory Charge + Minimum Surcharge</w:t>
      </w:r>
    </w:p>
    <w:p w:rsidR="000C1052" w:rsidRDefault="000C1052" w:rsidP="000C1052">
      <w:pPr>
        <w:pStyle w:val="ListParagraph"/>
        <w:numPr>
          <w:ilvl w:val="0"/>
          <w:numId w:val="7"/>
        </w:numPr>
      </w:pPr>
      <w:r>
        <w:t>Rate Spread = 0</w:t>
      </w:r>
    </w:p>
    <w:p w:rsidR="00CC6159" w:rsidRDefault="00CC6159" w:rsidP="00CC6159">
      <w:pPr>
        <w:rPr>
          <w:b/>
        </w:rPr>
      </w:pPr>
      <w:r w:rsidRPr="00CC6159">
        <w:rPr>
          <w:b/>
        </w:rPr>
        <w:t>Weights for Rates</w:t>
      </w:r>
    </w:p>
    <w:p w:rsidR="0043161D" w:rsidRPr="0043161D" w:rsidDel="0021677C" w:rsidRDefault="0043161D" w:rsidP="00CC6159">
      <w:r>
        <w:t>Each (</w:t>
      </w:r>
      <w:r w:rsidR="003B30DF">
        <w:t xml:space="preserve">Census </w:t>
      </w:r>
      <w:r>
        <w:t>tract, service provider) pair in the full sample was assigned the following weights:</w:t>
      </w:r>
    </w:p>
    <w:p w:rsidR="007120BB" w:rsidRPr="00A61E00" w:rsidRDefault="007120BB" w:rsidP="007120BB">
      <w:r>
        <w:rPr>
          <w:i/>
        </w:rPr>
        <w:t>Household Weight</w:t>
      </w:r>
      <w:r w:rsidR="0043161D">
        <w:rPr>
          <w:i/>
        </w:rPr>
        <w:t xml:space="preserve"> (HW)</w:t>
      </w:r>
      <w:r w:rsidR="00DF41D3">
        <w:t xml:space="preserve">. </w:t>
      </w:r>
      <w:r w:rsidR="00416AAF">
        <w:t xml:space="preserve"> </w:t>
      </w:r>
      <w:r>
        <w:t xml:space="preserve">Each </w:t>
      </w:r>
      <w:r w:rsidR="00F365ED">
        <w:t>pair</w:t>
      </w:r>
      <w:r>
        <w:t xml:space="preserve"> in the full sample was assigned a Household Weight equal to the number of households in the </w:t>
      </w:r>
      <w:r w:rsidR="003B30DF">
        <w:t xml:space="preserve">Census </w:t>
      </w:r>
      <w:r>
        <w:t>tract.</w:t>
      </w:r>
    </w:p>
    <w:p w:rsidR="00A17B0A" w:rsidRDefault="00724322" w:rsidP="00CC6159">
      <w:r w:rsidRPr="00724322">
        <w:rPr>
          <w:i/>
        </w:rPr>
        <w:t>Provider Weight</w:t>
      </w:r>
      <w:r w:rsidR="0043161D">
        <w:rPr>
          <w:i/>
        </w:rPr>
        <w:t xml:space="preserve"> (PW)</w:t>
      </w:r>
      <w:r w:rsidR="00DF41D3">
        <w:t xml:space="preserve">. </w:t>
      </w:r>
      <w:r w:rsidR="00416AAF">
        <w:t xml:space="preserve"> </w:t>
      </w:r>
      <w:r>
        <w:t>E</w:t>
      </w:r>
      <w:r w:rsidR="00BA58D8">
        <w:t xml:space="preserve">ach </w:t>
      </w:r>
      <w:r w:rsidR="00F365ED">
        <w:t>pair</w:t>
      </w:r>
      <w:r w:rsidR="00BA58D8">
        <w:t xml:space="preserve"> in the full sample was labelled as a having a major or minor presence depending on the fraction of households the service provider had as customers in the </w:t>
      </w:r>
      <w:r w:rsidR="003B30DF">
        <w:t xml:space="preserve">Census </w:t>
      </w:r>
      <w:r w:rsidR="00BA58D8">
        <w:t xml:space="preserve">tract. </w:t>
      </w:r>
      <w:r w:rsidR="00416AAF">
        <w:t xml:space="preserve"> </w:t>
      </w:r>
      <w:r w:rsidR="00BA58D8">
        <w:t xml:space="preserve">If the service provider had more than 7% of the households as residential customers, it was considered as having a major presence in the </w:t>
      </w:r>
      <w:r w:rsidR="003B30DF">
        <w:t xml:space="preserve">Census </w:t>
      </w:r>
      <w:r w:rsidR="00BA58D8">
        <w:t xml:space="preserve">tract; otherwise, it was considered as having a minor presence in that </w:t>
      </w:r>
      <w:r w:rsidR="00467DD2">
        <w:t>C</w:t>
      </w:r>
      <w:r w:rsidR="00BA58D8">
        <w:t xml:space="preserve">ensus tract. </w:t>
      </w:r>
    </w:p>
    <w:p w:rsidR="00493FC2" w:rsidRDefault="00A17B0A" w:rsidP="00CC6159">
      <w:r>
        <w:t xml:space="preserve">For each </w:t>
      </w:r>
      <w:r w:rsidR="003B30DF">
        <w:t xml:space="preserve">Census </w:t>
      </w:r>
      <w:r>
        <w:t xml:space="preserve">tract in the full sample, the number of service providers with a minor presence in the </w:t>
      </w:r>
      <w:r w:rsidR="00467DD2">
        <w:t>Census</w:t>
      </w:r>
      <w:r>
        <w:t xml:space="preserve"> tract was found.  Service providers were included in this count</w:t>
      </w:r>
      <w:r w:rsidR="00493FC2">
        <w:t>:</w:t>
      </w:r>
    </w:p>
    <w:p w:rsidR="00493FC2" w:rsidRDefault="00A17B0A" w:rsidP="00493FC2">
      <w:pPr>
        <w:pStyle w:val="ListParagraph"/>
        <w:numPr>
          <w:ilvl w:val="0"/>
          <w:numId w:val="8"/>
        </w:numPr>
      </w:pPr>
      <w:r>
        <w:t xml:space="preserve">if the provider had a minor presence in the </w:t>
      </w:r>
      <w:r w:rsidR="003B30DF">
        <w:t xml:space="preserve">Census </w:t>
      </w:r>
      <w:r>
        <w:t xml:space="preserve">tract and gave a response with a rate for this </w:t>
      </w:r>
      <w:r w:rsidR="003B30DF">
        <w:t xml:space="preserve">Census </w:t>
      </w:r>
      <w:r>
        <w:t xml:space="preserve">tract </w:t>
      </w:r>
      <w:r w:rsidR="00493FC2">
        <w:t xml:space="preserve">not excluded from this analysis </w:t>
      </w:r>
      <w:r>
        <w:t>or</w:t>
      </w:r>
    </w:p>
    <w:p w:rsidR="00493FC2" w:rsidRDefault="00A17B0A" w:rsidP="00493FC2">
      <w:pPr>
        <w:pStyle w:val="ListParagraph"/>
        <w:numPr>
          <w:ilvl w:val="0"/>
          <w:numId w:val="8"/>
        </w:numPr>
      </w:pPr>
      <w:r>
        <w:t xml:space="preserve">if the provider had a minor presence in the </w:t>
      </w:r>
      <w:r w:rsidR="003B30DF">
        <w:t xml:space="preserve">Census </w:t>
      </w:r>
      <w:r>
        <w:t xml:space="preserve">tract and a response was not requested from the provider for this </w:t>
      </w:r>
      <w:r w:rsidR="003B30DF">
        <w:t xml:space="preserve">Census </w:t>
      </w:r>
      <w:r>
        <w:t xml:space="preserve">tract, but had provided responses with </w:t>
      </w:r>
      <w:r w:rsidR="00493FC2">
        <w:t xml:space="preserve">rates for other </w:t>
      </w:r>
      <w:r w:rsidR="003B30DF">
        <w:t xml:space="preserve">Census </w:t>
      </w:r>
      <w:r w:rsidR="00493FC2">
        <w:t>tracts.</w:t>
      </w:r>
    </w:p>
    <w:p w:rsidR="00493FC2" w:rsidRDefault="0043161D" w:rsidP="00CC6159">
      <w:r>
        <w:t>The</w:t>
      </w:r>
      <w:r w:rsidR="00493FC2">
        <w:t xml:space="preserve"> Provider Weight </w:t>
      </w:r>
      <w:r>
        <w:t xml:space="preserve">was set </w:t>
      </w:r>
      <w:r w:rsidR="00493FC2">
        <w:t xml:space="preserve">equal to 1 if the service provider had a major presence in the </w:t>
      </w:r>
      <w:r w:rsidR="003B30DF">
        <w:t xml:space="preserve">Census </w:t>
      </w:r>
      <w:r w:rsidR="00493FC2">
        <w:t>tract</w:t>
      </w:r>
      <w:r w:rsidR="00BC636E">
        <w:t xml:space="preserve">. </w:t>
      </w:r>
      <w:r w:rsidR="00416AAF">
        <w:t xml:space="preserve"> </w:t>
      </w:r>
      <w:r w:rsidR="00BC636E">
        <w:t>Otherwise,</w:t>
      </w:r>
      <w:r w:rsidR="00493FC2">
        <w:t xml:space="preserve"> </w:t>
      </w:r>
      <w:r w:rsidR="00BC636E">
        <w:t xml:space="preserve">it was set to </w:t>
      </w:r>
      <w:r w:rsidR="00493FC2">
        <w:t>1/(1+P) where P is the number of service providers with a minor</w:t>
      </w:r>
      <w:r>
        <w:t xml:space="preserve"> presence in the </w:t>
      </w:r>
      <w:r w:rsidR="003B30DF">
        <w:t xml:space="preserve">Census </w:t>
      </w:r>
      <w:r>
        <w:t>tract.</w:t>
      </w:r>
      <w:r w:rsidR="00493FC2">
        <w:rPr>
          <w:rStyle w:val="FootnoteReference"/>
        </w:rPr>
        <w:footnoteReference w:id="7"/>
      </w:r>
    </w:p>
    <w:p w:rsidR="003207BD" w:rsidRDefault="003207BD" w:rsidP="007120BB">
      <w:r>
        <w:t>The following weights were also used:</w:t>
      </w:r>
    </w:p>
    <w:p w:rsidR="00724322" w:rsidRDefault="00724322" w:rsidP="007120BB">
      <w:r w:rsidRPr="00724322">
        <w:rPr>
          <w:i/>
        </w:rPr>
        <w:t>Service Weight</w:t>
      </w:r>
      <w:r w:rsidR="0043161D">
        <w:rPr>
          <w:i/>
        </w:rPr>
        <w:t xml:space="preserve"> (SW)</w:t>
      </w:r>
      <w:r w:rsidR="00DF41D3">
        <w:t xml:space="preserve">. </w:t>
      </w:r>
      <w:r w:rsidR="00416AAF">
        <w:t xml:space="preserve"> </w:t>
      </w:r>
      <w:r w:rsidR="00D720F6">
        <w:t>R</w:t>
      </w:r>
      <w:r w:rsidRPr="00A61E00">
        <w:t>espondents</w:t>
      </w:r>
      <w:r w:rsidR="00D720F6">
        <w:t xml:space="preserve"> often</w:t>
      </w:r>
      <w:r w:rsidRPr="00A61E00">
        <w:t xml:space="preserve"> provided multiple rates for the same </w:t>
      </w:r>
      <w:r w:rsidR="00D720F6">
        <w:t>download speed, sometimes</w:t>
      </w:r>
      <w:r>
        <w:t xml:space="preserve"> </w:t>
      </w:r>
      <w:r w:rsidRPr="00A61E00">
        <w:t>offer</w:t>
      </w:r>
      <w:r w:rsidR="00DF41D3">
        <w:t>ed</w:t>
      </w:r>
      <w:r w:rsidRPr="00A61E00">
        <w:t xml:space="preserve"> via </w:t>
      </w:r>
      <w:r>
        <w:t>different</w:t>
      </w:r>
      <w:r w:rsidRPr="00A61E00">
        <w:t xml:space="preserve"> technologies</w:t>
      </w:r>
      <w:r>
        <w:t xml:space="preserve"> and/or service names</w:t>
      </w:r>
      <w:r w:rsidRPr="00A61E00">
        <w:t xml:space="preserve">. </w:t>
      </w:r>
      <w:r>
        <w:t xml:space="preserve"> Each rate was assigned a Service Weight equal to 1/L where L is the number of rate responses provided by a service provider for the same</w:t>
      </w:r>
      <w:r w:rsidR="00EF0405">
        <w:t xml:space="preserve"> download speed </w:t>
      </w:r>
      <w:r>
        <w:t xml:space="preserve">in a </w:t>
      </w:r>
      <w:r w:rsidR="003B30DF">
        <w:t xml:space="preserve">Census </w:t>
      </w:r>
      <w:r>
        <w:t>tract.</w:t>
      </w:r>
    </w:p>
    <w:p w:rsidR="00D10016" w:rsidRDefault="00D10016" w:rsidP="007120BB">
      <w:r w:rsidRPr="00D10016">
        <w:rPr>
          <w:i/>
        </w:rPr>
        <w:t>Request Weight (RW).</w:t>
      </w:r>
      <w:r>
        <w:t xml:space="preserve"> </w:t>
      </w:r>
      <w:r w:rsidR="00416AAF">
        <w:t xml:space="preserve"> </w:t>
      </w:r>
      <w:r>
        <w:t xml:space="preserve">Each unit in the full sample </w:t>
      </w:r>
      <w:r w:rsidR="00A27A2C">
        <w:t xml:space="preserve">not requested in the survey sample </w:t>
      </w:r>
      <w:r>
        <w:t>was assigned a weight equal to the number of requests for the unit’s service provider in the survey</w:t>
      </w:r>
      <w:r w:rsidR="00FF13CE">
        <w:rPr>
          <w:rFonts w:ascii="Calibri" w:hAnsi="Calibri" w:cs="Calibri"/>
          <w:color w:val="000000"/>
        </w:rPr>
        <w:t>.</w:t>
      </w:r>
      <w:r w:rsidR="003F2927">
        <w:rPr>
          <w:rStyle w:val="FootnoteReference"/>
        </w:rPr>
        <w:footnoteReference w:id="8"/>
      </w:r>
    </w:p>
    <w:p w:rsidR="00CC6159" w:rsidRDefault="00DF41D3" w:rsidP="00CC6159">
      <w:r>
        <w:t xml:space="preserve">Given a rate r uniquely identified by </w:t>
      </w:r>
      <w:r w:rsidR="00B005FE">
        <w:t xml:space="preserve">Census </w:t>
      </w:r>
      <w:r>
        <w:t>tract (CT</w:t>
      </w:r>
      <w:r w:rsidR="001B609C" w:rsidRPr="001B609C">
        <w:t>r</w:t>
      </w:r>
      <w:r w:rsidR="001B609C">
        <w:t>), service provider (FRN</w:t>
      </w:r>
      <w:r w:rsidR="001B609C" w:rsidRPr="001B609C">
        <w:t>r</w:t>
      </w:r>
      <w:r w:rsidR="001B609C">
        <w:t xml:space="preserve">), service name, technology, download speed, upload speed, and data cap, the weight for </w:t>
      </w:r>
      <w:r w:rsidR="00037E34">
        <w:t>the</w:t>
      </w:r>
      <w:r w:rsidR="001B609C">
        <w:t xml:space="preserve"> rate is</w:t>
      </w:r>
    </w:p>
    <w:p w:rsidR="00CC6159" w:rsidRDefault="00CC6159" w:rsidP="00CC6159">
      <w:pPr>
        <w:jc w:val="center"/>
      </w:pPr>
      <w:r>
        <w:t xml:space="preserve">Rate Weight = </w:t>
      </w:r>
      <w:r w:rsidR="001B609C">
        <w:t>SW</w:t>
      </w:r>
      <w:r w:rsidR="001B609C" w:rsidRPr="001B609C">
        <w:rPr>
          <w:vertAlign w:val="subscript"/>
        </w:rPr>
        <w:t>r</w:t>
      </w:r>
      <w:r w:rsidR="00D10016">
        <w:t xml:space="preserve"> x </w:t>
      </w:r>
      <w:r w:rsidR="00A27A2C">
        <w:t>[</w:t>
      </w:r>
      <w:r w:rsidR="001B609C">
        <w:t>PW</w:t>
      </w:r>
      <w:r w:rsidR="00E05236">
        <w:rPr>
          <w:vertAlign w:val="subscript"/>
        </w:rPr>
        <w:t>CT</w:t>
      </w:r>
      <w:r w:rsidR="00A27A2C">
        <w:rPr>
          <w:vertAlign w:val="subscript"/>
        </w:rPr>
        <w:t>r</w:t>
      </w:r>
      <w:r w:rsidR="001B609C" w:rsidRPr="001B609C">
        <w:rPr>
          <w:vertAlign w:val="subscript"/>
        </w:rPr>
        <w:t>,FRNr</w:t>
      </w:r>
      <w:r w:rsidR="001B609C">
        <w:t xml:space="preserve"> x HW</w:t>
      </w:r>
      <w:r w:rsidR="00E05236">
        <w:rPr>
          <w:vertAlign w:val="subscript"/>
        </w:rPr>
        <w:t>CT</w:t>
      </w:r>
      <w:r w:rsidR="00A27A2C">
        <w:rPr>
          <w:vertAlign w:val="subscript"/>
        </w:rPr>
        <w:t>r</w:t>
      </w:r>
      <w:r w:rsidR="001B609C">
        <w:t xml:space="preserve"> </w:t>
      </w:r>
      <w:r w:rsidR="00A27A2C">
        <w:t>+</w:t>
      </w:r>
      <w:r w:rsidR="00D10016">
        <w:t xml:space="preserve"> </w:t>
      </w:r>
      <w:r w:rsidR="00A27A2C" w:rsidRPr="00D10016">
        <w:rPr>
          <w:rFonts w:ascii="Mathematica1" w:hAnsi="Mathematica1"/>
        </w:rPr>
        <w:t></w:t>
      </w:r>
      <w:r w:rsidR="00A27A2C">
        <w:t>(PW</w:t>
      </w:r>
      <w:r w:rsidR="00A27A2C">
        <w:rPr>
          <w:vertAlign w:val="subscript"/>
        </w:rPr>
        <w:t>CTi</w:t>
      </w:r>
      <w:r w:rsidR="00A27A2C" w:rsidRPr="001B609C">
        <w:rPr>
          <w:vertAlign w:val="subscript"/>
        </w:rPr>
        <w:t>,FRNr</w:t>
      </w:r>
      <w:r w:rsidR="00A27A2C">
        <w:t xml:space="preserve"> x HW</w:t>
      </w:r>
      <w:r w:rsidR="00A27A2C">
        <w:rPr>
          <w:vertAlign w:val="subscript"/>
        </w:rPr>
        <w:t>CTi</w:t>
      </w:r>
      <w:r w:rsidR="00A27A2C">
        <w:t xml:space="preserve"> / RW</w:t>
      </w:r>
      <w:r w:rsidR="00A27A2C">
        <w:rPr>
          <w:vertAlign w:val="subscript"/>
        </w:rPr>
        <w:t>CTi</w:t>
      </w:r>
      <w:r w:rsidR="00A27A2C" w:rsidRPr="001B609C">
        <w:rPr>
          <w:vertAlign w:val="subscript"/>
        </w:rPr>
        <w:t>,FRNr</w:t>
      </w:r>
      <w:r w:rsidR="00A27A2C" w:rsidRPr="00D10016">
        <w:t>)</w:t>
      </w:r>
      <w:r w:rsidR="00A27A2C">
        <w:t>]</w:t>
      </w:r>
    </w:p>
    <w:p w:rsidR="0062510F" w:rsidRDefault="00463BAC" w:rsidP="0062510F">
      <w:r>
        <w:t>w</w:t>
      </w:r>
      <w:r w:rsidR="00A27A2C">
        <w:t xml:space="preserve">here the sum is over all units in the full sample </w:t>
      </w:r>
      <w:r>
        <w:t>for service provider FRNr that were not requested in the survey sample.</w:t>
      </w:r>
      <w:r w:rsidR="003B6A26">
        <w:rPr>
          <w:rStyle w:val="FootnoteReference"/>
        </w:rPr>
        <w:footnoteReference w:id="9"/>
      </w:r>
      <w:r>
        <w:t xml:space="preserve"> </w:t>
      </w:r>
      <w:r w:rsidR="00416AAF">
        <w:t xml:space="preserve"> </w:t>
      </w:r>
    </w:p>
    <w:p w:rsidR="00FC35DA" w:rsidRDefault="00FC35DA" w:rsidP="00E0007E">
      <w:pPr>
        <w:keepNext/>
        <w:rPr>
          <w:b/>
        </w:rPr>
      </w:pPr>
      <w:r>
        <w:rPr>
          <w:b/>
        </w:rPr>
        <w:t>Regression</w:t>
      </w:r>
      <w:r w:rsidR="00610050">
        <w:rPr>
          <w:b/>
        </w:rPr>
        <w:t xml:space="preserve"> Analysis</w:t>
      </w:r>
      <w:r w:rsidRPr="00FC35DA">
        <w:rPr>
          <w:b/>
        </w:rPr>
        <w:t xml:space="preserve"> </w:t>
      </w:r>
    </w:p>
    <w:p w:rsidR="00C9148A" w:rsidRDefault="00C9148A" w:rsidP="00C9148A">
      <w:r>
        <w:t xml:space="preserve">We applied a multidimensional weighted linear regression technique to all services with download bandwidths between 2 and 40 Mbps inclusive. </w:t>
      </w:r>
      <w:r w:rsidR="009A1240">
        <w:t xml:space="preserve"> </w:t>
      </w:r>
      <w:r>
        <w:t xml:space="preserve">This sub-sample of the data </w:t>
      </w:r>
      <w:r w:rsidR="00467DD2">
        <w:t xml:space="preserve">contained </w:t>
      </w:r>
      <w:r w:rsidR="00371245">
        <w:t>1</w:t>
      </w:r>
      <w:r w:rsidR="00A62F7F">
        <w:t>,</w:t>
      </w:r>
      <w:r w:rsidR="00371245">
        <w:t>446</w:t>
      </w:r>
      <w:r>
        <w:t xml:space="preserve"> rates</w:t>
      </w:r>
      <w:r w:rsidR="00A62F7F">
        <w:rPr>
          <w:rStyle w:val="FootnoteReference"/>
        </w:rPr>
        <w:footnoteReference w:id="10"/>
      </w:r>
      <w:r>
        <w:t xml:space="preserve"> </w:t>
      </w:r>
      <w:r w:rsidR="00A62F7F">
        <w:t>from</w:t>
      </w:r>
      <w:r w:rsidR="00371245">
        <w:t xml:space="preserve"> 345 responses encompassing</w:t>
      </w:r>
      <w:r>
        <w:t xml:space="preserve"> </w:t>
      </w:r>
      <w:r w:rsidR="00371245">
        <w:t>93</w:t>
      </w:r>
      <w:r>
        <w:t xml:space="preserve"> different providers in </w:t>
      </w:r>
      <w:r w:rsidR="00371245">
        <w:t>243</w:t>
      </w:r>
      <w:r>
        <w:t xml:space="preserve"> </w:t>
      </w:r>
      <w:r w:rsidR="00371245">
        <w:t xml:space="preserve">different </w:t>
      </w:r>
      <w:r w:rsidR="00B005FE">
        <w:t xml:space="preserve">Census </w:t>
      </w:r>
      <w:r>
        <w:t xml:space="preserve">tracts. </w:t>
      </w:r>
      <w:r w:rsidR="00416AAF">
        <w:t xml:space="preserve"> </w:t>
      </w:r>
      <w:r>
        <w:t>The rates in this sub-sample ranged from $</w:t>
      </w:r>
      <w:r w:rsidR="005958A1">
        <w:t>6.99</w:t>
      </w:r>
      <w:r>
        <w:t xml:space="preserve"> to $</w:t>
      </w:r>
      <w:r w:rsidR="005958A1">
        <w:t>147.95</w:t>
      </w:r>
      <w:r>
        <w:t xml:space="preserve"> with a weighted standard deviation of $</w:t>
      </w:r>
      <w:r w:rsidR="005958A1">
        <w:t>17.11</w:t>
      </w:r>
      <w:r w:rsidR="005F2FDA">
        <w:t>13</w:t>
      </w:r>
      <w:r>
        <w:t>.  We undertook a weighted linear regression fit based on the following model:</w:t>
      </w:r>
    </w:p>
    <w:p w:rsidR="00C9148A" w:rsidRDefault="00C9148A" w:rsidP="00C9148A">
      <w:pPr>
        <w:jc w:val="center"/>
      </w:pPr>
      <w:r>
        <w:t>Average Monthly Rate ($) = K</w:t>
      </w:r>
      <w:r w:rsidRPr="00FA5754">
        <w:rPr>
          <w:vertAlign w:val="subscript"/>
        </w:rPr>
        <w:t>0</w:t>
      </w:r>
      <w:r>
        <w:t xml:space="preserve"> + K</w:t>
      </w:r>
      <w:r w:rsidRPr="00FA5754">
        <w:rPr>
          <w:vertAlign w:val="subscript"/>
        </w:rPr>
        <w:t>D</w:t>
      </w:r>
      <w:r>
        <w:t xml:space="preserve"> D + K</w:t>
      </w:r>
      <w:r w:rsidRPr="00FA5754">
        <w:rPr>
          <w:vertAlign w:val="subscript"/>
        </w:rPr>
        <w:t>U</w:t>
      </w:r>
      <w:r>
        <w:t xml:space="preserve"> </w:t>
      </w:r>
      <w:r w:rsidR="00FA5754">
        <w:t>U + K</w:t>
      </w:r>
      <w:r w:rsidR="00FA5754" w:rsidRPr="00FA5754">
        <w:rPr>
          <w:vertAlign w:val="subscript"/>
        </w:rPr>
        <w:t>UI</w:t>
      </w:r>
      <w:r w:rsidR="00FA5754">
        <w:t xml:space="preserve"> UI +</w:t>
      </w:r>
      <w:r>
        <w:t xml:space="preserve"> K</w:t>
      </w:r>
      <w:r w:rsidRPr="00FA5754">
        <w:rPr>
          <w:vertAlign w:val="subscript"/>
        </w:rPr>
        <w:t>A</w:t>
      </w:r>
      <w:r>
        <w:t xml:space="preserve"> A</w:t>
      </w:r>
    </w:p>
    <w:p w:rsidR="00C9148A" w:rsidRDefault="00C9148A" w:rsidP="00C9148A">
      <w:r>
        <w:t xml:space="preserve">for download speed in Mbps (D), upload speed in Mbps (U), </w:t>
      </w:r>
      <w:r w:rsidR="00FA5754">
        <w:t>unlimited usage allowance indicator (UI)</w:t>
      </w:r>
      <w:r w:rsidR="007E5815">
        <w:t>,</w:t>
      </w:r>
      <w:r w:rsidR="00FA5754">
        <w:rPr>
          <w:rStyle w:val="FootnoteReference"/>
        </w:rPr>
        <w:footnoteReference w:id="11"/>
      </w:r>
      <w:r w:rsidR="00FA5754">
        <w:t xml:space="preserve"> </w:t>
      </w:r>
      <w:r>
        <w:t xml:space="preserve">and </w:t>
      </w:r>
      <w:r w:rsidR="00FA5754">
        <w:t xml:space="preserve">the log of </w:t>
      </w:r>
      <w:r>
        <w:t>usage allowance in GB (A</w:t>
      </w:r>
      <w:r w:rsidR="00FA5754">
        <w:t>)</w:t>
      </w:r>
      <w:r w:rsidR="007E5815">
        <w:t>.</w:t>
      </w:r>
      <w:r w:rsidR="00FA5754">
        <w:rPr>
          <w:rStyle w:val="FootnoteReference"/>
        </w:rPr>
        <w:footnoteReference w:id="12"/>
      </w:r>
      <w:r>
        <w:t xml:space="preserve">  We estimated the parameters as:</w:t>
      </w:r>
    </w:p>
    <w:p w:rsidR="00C9148A" w:rsidRDefault="00C9148A" w:rsidP="00C9148A">
      <w:pPr>
        <w:jc w:val="center"/>
      </w:pPr>
      <w:r>
        <w:t xml:space="preserve">Average Monthly Rate ($) = </w:t>
      </w:r>
      <w:r w:rsidR="00DA6F70">
        <w:t>13.8465</w:t>
      </w:r>
      <w:r>
        <w:t xml:space="preserve"> + </w:t>
      </w:r>
      <w:r w:rsidR="00FA5754">
        <w:t>1.220</w:t>
      </w:r>
      <w:r w:rsidR="00DA6F70">
        <w:t>28</w:t>
      </w:r>
      <w:r>
        <w:t xml:space="preserve"> D + </w:t>
      </w:r>
      <w:r w:rsidR="00FA5754">
        <w:t>0.</w:t>
      </w:r>
      <w:r w:rsidR="00DA6F70">
        <w:t xml:space="preserve">197281 </w:t>
      </w:r>
      <w:r>
        <w:t xml:space="preserve">U </w:t>
      </w:r>
      <w:r w:rsidR="00FA5754">
        <w:t>+ 29.</w:t>
      </w:r>
      <w:r w:rsidR="00DA6F70">
        <w:t>4602</w:t>
      </w:r>
      <w:r w:rsidR="00FA5754">
        <w:t xml:space="preserve"> UI +</w:t>
      </w:r>
      <w:r>
        <w:t xml:space="preserve"> </w:t>
      </w:r>
      <w:r w:rsidR="00FA5754">
        <w:t>11.</w:t>
      </w:r>
      <w:r w:rsidR="00DA6F70">
        <w:t>5315</w:t>
      </w:r>
      <w:r>
        <w:t xml:space="preserve"> A.</w:t>
      </w:r>
    </w:p>
    <w:p w:rsidR="00C9148A" w:rsidRDefault="00C9148A" w:rsidP="00C9148A">
      <w:r>
        <w:t>The weighted R Squared was 0.</w:t>
      </w:r>
      <w:r w:rsidR="00EF0405">
        <w:t>59</w:t>
      </w:r>
      <w:r>
        <w:t xml:space="preserve"> and each estimated coeffi</w:t>
      </w:r>
      <w:r w:rsidR="008A54BB">
        <w:t>cient was</w:t>
      </w:r>
      <w:r w:rsidR="00371245">
        <w:t xml:space="preserve"> highly</w:t>
      </w:r>
      <w:r w:rsidR="008A54BB">
        <w:t xml:space="preserve"> significant </w:t>
      </w:r>
      <w:r w:rsidR="00371245">
        <w:t xml:space="preserve">(&lt; </w:t>
      </w:r>
      <w:r w:rsidR="008679B3">
        <w:t>0</w:t>
      </w:r>
      <w:r w:rsidR="00371245">
        <w:t>.0001 significance) except for K</w:t>
      </w:r>
      <w:r w:rsidR="00371245" w:rsidRPr="00FA5754">
        <w:rPr>
          <w:vertAlign w:val="subscript"/>
        </w:rPr>
        <w:t>U</w:t>
      </w:r>
      <w:r w:rsidR="00371245">
        <w:t xml:space="preserve"> </w:t>
      </w:r>
      <w:r w:rsidR="00EF0405">
        <w:t>which had significance 0.012</w:t>
      </w:r>
      <w:r w:rsidR="00371245">
        <w:t>.</w:t>
      </w:r>
    </w:p>
    <w:p w:rsidR="00C9148A" w:rsidRDefault="00C2676D" w:rsidP="00C9148A">
      <w:r>
        <w:t xml:space="preserve">The </w:t>
      </w:r>
      <w:r w:rsidR="003822FC">
        <w:t xml:space="preserve">reasonable </w:t>
      </w:r>
      <w:r>
        <w:t xml:space="preserve">comparability benchmark is the estimated average monthly rate plus twice the standard deviation of rates for service plans with download speeds of 10 Mbps or greater, upload speeds of 1 Mbps or greater, and usage allowance of 100 GB or greater.  </w:t>
      </w:r>
      <w:r w:rsidR="00371245">
        <w:t xml:space="preserve">The </w:t>
      </w:r>
      <w:r w:rsidR="00347D1A">
        <w:t>root weighted mean squared error</w:t>
      </w:r>
      <w:r w:rsidR="008D6D68">
        <w:t xml:space="preserve"> </w:t>
      </w:r>
      <w:r w:rsidR="00347D1A">
        <w:t>(RWMSE)</w:t>
      </w:r>
      <w:r w:rsidR="00BF244C" w:rsidRPr="00BF244C">
        <w:rPr>
          <w:rStyle w:val="FootnoteReference"/>
        </w:rPr>
        <w:t xml:space="preserve"> </w:t>
      </w:r>
      <w:r w:rsidR="00BF244C">
        <w:rPr>
          <w:rStyle w:val="FootnoteReference"/>
        </w:rPr>
        <w:footnoteReference w:id="13"/>
      </w:r>
      <w:r w:rsidR="00347D1A">
        <w:t xml:space="preserve"> </w:t>
      </w:r>
      <w:r w:rsidR="008D6D68">
        <w:t xml:space="preserve">about the regression fit </w:t>
      </w:r>
      <w:r w:rsidR="00371245">
        <w:t xml:space="preserve">was </w:t>
      </w:r>
      <w:r w:rsidR="005958A1">
        <w:t>$</w:t>
      </w:r>
      <w:r w:rsidR="00CA4820">
        <w:t>11.04</w:t>
      </w:r>
      <w:r w:rsidR="00DA6F70">
        <w:t>7</w:t>
      </w:r>
      <w:r w:rsidR="00347D1A">
        <w:t xml:space="preserve"> for all </w:t>
      </w:r>
      <w:r w:rsidR="00CA4820">
        <w:t>rate</w:t>
      </w:r>
      <w:r w:rsidR="00A13F16">
        <w:t>s with service levels</w:t>
      </w:r>
      <w:r w:rsidR="00CA4820">
        <w:t xml:space="preserve"> meeting these criteria for </w:t>
      </w:r>
      <w:r w:rsidR="00347D1A">
        <w:t xml:space="preserve">download speeds between </w:t>
      </w:r>
      <w:r w:rsidR="00CA4820">
        <w:t>10</w:t>
      </w:r>
      <w:r w:rsidR="00A55C8D">
        <w:t xml:space="preserve"> and </w:t>
      </w:r>
      <w:r w:rsidR="00CA4820">
        <w:t>25</w:t>
      </w:r>
      <w:r w:rsidR="00A55C8D">
        <w:t xml:space="preserve"> Mbps inclusive</w:t>
      </w:r>
      <w:r w:rsidR="005958A1">
        <w:t>.</w:t>
      </w:r>
      <w:r w:rsidR="008679B3">
        <w:t xml:space="preserve"> </w:t>
      </w:r>
      <w:r w:rsidR="00416AAF">
        <w:t xml:space="preserve"> </w:t>
      </w:r>
      <w:r w:rsidR="00347D1A">
        <w:t xml:space="preserve">The RWMSE is an estimate of the standard deviation of rates </w:t>
      </w:r>
      <w:r w:rsidR="00A55C8D">
        <w:t xml:space="preserve">for service plans </w:t>
      </w:r>
      <w:r w:rsidR="00CA4820">
        <w:t xml:space="preserve">meeting the </w:t>
      </w:r>
      <w:r w:rsidR="003822FC">
        <w:t xml:space="preserve">reasonable </w:t>
      </w:r>
      <w:r w:rsidR="00CA4820">
        <w:t>co</w:t>
      </w:r>
      <w:r w:rsidR="002F1E1E">
        <w:t xml:space="preserve">mparability benchmark criteria. </w:t>
      </w:r>
      <w:r w:rsidR="00416AAF">
        <w:t xml:space="preserve"> </w:t>
      </w:r>
      <w:r w:rsidR="00347D1A">
        <w:t xml:space="preserve">Based on </w:t>
      </w:r>
      <w:r w:rsidR="00CA4820">
        <w:t>this estimate of the standard deviation</w:t>
      </w:r>
      <w:r w:rsidR="00347D1A">
        <w:t>,</w:t>
      </w:r>
      <w:r w:rsidR="008D6D68">
        <w:t xml:space="preserve"> the equation</w:t>
      </w:r>
      <w:r w:rsidR="00FD63B8">
        <w:t>s</w:t>
      </w:r>
      <w:r w:rsidR="008D6D68">
        <w:t xml:space="preserve"> for the </w:t>
      </w:r>
      <w:r w:rsidR="003822FC">
        <w:t xml:space="preserve">reasonable </w:t>
      </w:r>
      <w:r w:rsidR="008D6D68">
        <w:t xml:space="preserve">comparability benchmark </w:t>
      </w:r>
      <w:r w:rsidR="00FD63B8">
        <w:t>are</w:t>
      </w:r>
      <w:r w:rsidR="002E4811">
        <w:t>:</w:t>
      </w:r>
    </w:p>
    <w:p w:rsidR="00FD63B8" w:rsidRDefault="003822FC" w:rsidP="002E4811">
      <w:r>
        <w:t xml:space="preserve">Reasonable </w:t>
      </w:r>
      <w:r w:rsidR="008D6D68">
        <w:t xml:space="preserve">Comparability Benchmark ($) = </w:t>
      </w:r>
      <w:r w:rsidR="00FD63B8">
        <w:t>65.4007</w:t>
      </w:r>
      <w:r w:rsidR="0063448D">
        <w:t xml:space="preserve"> + 1.22028 D + 0.197281 U </w:t>
      </w:r>
      <w:r w:rsidR="00FD63B8">
        <w:t xml:space="preserve">for unlimited usage allowance and </w:t>
      </w:r>
    </w:p>
    <w:p w:rsidR="00FD63B8" w:rsidRDefault="003822FC" w:rsidP="002E4811">
      <w:r>
        <w:t xml:space="preserve">Reasonable </w:t>
      </w:r>
      <w:r w:rsidR="00FD63B8">
        <w:t xml:space="preserve">Comparability Benchmark ($) = 35.9405 + 1.22028 D + 0.197281 U + Min[29.4602, 11.5315 </w:t>
      </w:r>
      <w:r w:rsidR="00430B95">
        <w:t>LOG</w:t>
      </w:r>
      <w:r w:rsidR="00FD63B8">
        <w:t>A] otherwise</w:t>
      </w:r>
      <w:r w:rsidR="00430B95">
        <w:t xml:space="preserve"> where LOGA is </w:t>
      </w:r>
      <w:r w:rsidR="00430B95" w:rsidRPr="00430B95">
        <w:t>Log</w:t>
      </w:r>
      <w:r w:rsidR="00430B95" w:rsidRPr="007E2654">
        <w:rPr>
          <w:vertAlign w:val="subscript"/>
        </w:rPr>
        <w:t>10</w:t>
      </w:r>
      <w:r w:rsidR="00430B95" w:rsidRPr="00430B95">
        <w:t>[usage allowance in GB]</w:t>
      </w:r>
      <w:r w:rsidR="00FD63B8">
        <w:t>.</w:t>
      </w:r>
    </w:p>
    <w:p w:rsidR="002F1E1E" w:rsidRDefault="002F1E1E" w:rsidP="002F1E1E">
      <w:r>
        <w:t xml:space="preserve">If a </w:t>
      </w:r>
      <w:r w:rsidR="003822FC">
        <w:t xml:space="preserve">reasonable </w:t>
      </w:r>
      <w:r>
        <w:t xml:space="preserve">comparability benchmark is needed for </w:t>
      </w:r>
      <w:r w:rsidR="007B0C61">
        <w:t>lower</w:t>
      </w:r>
      <w:r>
        <w:t xml:space="preserve"> download speeds, the following equation may be used based on an </w:t>
      </w:r>
      <w:r w:rsidR="00A9134F">
        <w:t xml:space="preserve">RWMSE </w:t>
      </w:r>
      <w:r>
        <w:t>of $</w:t>
      </w:r>
      <w:r w:rsidRPr="002F1E1E">
        <w:t>9.</w:t>
      </w:r>
      <w:r w:rsidR="0063448D" w:rsidRPr="002F1E1E">
        <w:t>7</w:t>
      </w:r>
      <w:r w:rsidR="0063448D">
        <w:t xml:space="preserve">4832 </w:t>
      </w:r>
      <w:r>
        <w:t>for download speeds greater than or equal to 4 Mbps but less than 10 Mbps:</w:t>
      </w:r>
    </w:p>
    <w:p w:rsidR="00685091" w:rsidRDefault="003822FC" w:rsidP="00685091">
      <w:r>
        <w:t xml:space="preserve">Reasonable </w:t>
      </w:r>
      <w:r w:rsidR="00685091">
        <w:t xml:space="preserve">Comparability Benchmark ($) = 62.80334 + 1.22028 D + 0.197281 U for unlimited usage allowance and </w:t>
      </w:r>
    </w:p>
    <w:p w:rsidR="00685091" w:rsidRDefault="003822FC" w:rsidP="00685091">
      <w:r>
        <w:t xml:space="preserve">Reasonable </w:t>
      </w:r>
      <w:r w:rsidR="00685091">
        <w:t>Comparability Benchmark ($) = 33.34314 + 1.22028 D + 0.1</w:t>
      </w:r>
      <w:r w:rsidR="00430B95">
        <w:t>97281 U + Min[29.4602, 11.5315 LOGA</w:t>
      </w:r>
      <w:r w:rsidR="00685091">
        <w:t>] otherwise .</w:t>
      </w:r>
    </w:p>
    <w:p w:rsidR="00E0007E" w:rsidRDefault="008D6D68" w:rsidP="007E2654">
      <w:pPr>
        <w:keepNext/>
      </w:pPr>
      <w:r>
        <w:t xml:space="preserve">The table below provides </w:t>
      </w:r>
      <w:r w:rsidR="00A62F7F">
        <w:t xml:space="preserve">examples of </w:t>
      </w:r>
      <w:r w:rsidR="00D823B3">
        <w:t xml:space="preserve">reasonable </w:t>
      </w:r>
      <w:r>
        <w:t>comparability benchmarks based on the above equation</w:t>
      </w:r>
      <w:r w:rsidR="007B0C61">
        <w:t>s</w:t>
      </w:r>
      <w:r>
        <w:t xml:space="preserve"> </w:t>
      </w:r>
      <w:r w:rsidR="00A43B33">
        <w:t xml:space="preserve">(rounded up to the nearest cent) </w:t>
      </w:r>
      <w:r w:rsidR="007E5815">
        <w:t xml:space="preserve">for several service plan levels </w:t>
      </w:r>
      <w:r>
        <w:t xml:space="preserve">as well </w:t>
      </w:r>
      <w:r w:rsidR="00A43B33">
        <w:t xml:space="preserve">as </w:t>
      </w:r>
      <w:r w:rsidR="007E5815">
        <w:t>equivalent benchmark</w:t>
      </w:r>
      <w:r w:rsidR="00EA222B">
        <w:t>s</w:t>
      </w:r>
      <w:r w:rsidR="007E5815">
        <w:t xml:space="preserve"> </w:t>
      </w:r>
      <w:r w:rsidR="009418A8">
        <w:t>derived</w:t>
      </w:r>
      <w:r w:rsidR="007E5815">
        <w:t xml:space="preserve"> </w:t>
      </w:r>
      <w:r>
        <w:t>using the 2014 URS Broadband analysis</w:t>
      </w:r>
      <w:r w:rsidR="00A62F7F">
        <w:t>.</w:t>
      </w:r>
    </w:p>
    <w:tbl>
      <w:tblPr>
        <w:tblW w:w="7777" w:type="dxa"/>
        <w:jc w:val="center"/>
        <w:tblInd w:w="-2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00"/>
        <w:gridCol w:w="1980"/>
        <w:gridCol w:w="1218"/>
        <w:gridCol w:w="960"/>
      </w:tblGrid>
      <w:tr w:rsidR="00E0007E" w:rsidRPr="00E0007E" w:rsidTr="00E0007E">
        <w:trPr>
          <w:trHeight w:val="300"/>
          <w:jc w:val="center"/>
        </w:trPr>
        <w:tc>
          <w:tcPr>
            <w:tcW w:w="1819" w:type="dxa"/>
            <w:shd w:val="clear" w:color="auto" w:fill="auto"/>
            <w:noWrap/>
            <w:vAlign w:val="bottom"/>
            <w:hideMark/>
          </w:tcPr>
          <w:p w:rsidR="00E0007E" w:rsidRPr="00E0007E" w:rsidRDefault="00E0007E" w:rsidP="00BF244C">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Download Speed (Mbps)</w:t>
            </w:r>
          </w:p>
        </w:tc>
        <w:tc>
          <w:tcPr>
            <w:tcW w:w="1800" w:type="dxa"/>
            <w:shd w:val="clear" w:color="auto" w:fill="auto"/>
            <w:noWrap/>
            <w:vAlign w:val="bottom"/>
            <w:hideMark/>
          </w:tcPr>
          <w:p w:rsidR="00E0007E" w:rsidRPr="00E0007E" w:rsidRDefault="00E0007E">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Upload Speed (Mbps)</w:t>
            </w:r>
          </w:p>
        </w:tc>
        <w:tc>
          <w:tcPr>
            <w:tcW w:w="1980" w:type="dxa"/>
            <w:shd w:val="clear" w:color="auto" w:fill="auto"/>
            <w:noWrap/>
            <w:vAlign w:val="bottom"/>
            <w:hideMark/>
          </w:tcPr>
          <w:p w:rsidR="00E0007E" w:rsidRPr="00E0007E" w:rsidRDefault="00E0007E">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Usage Allowance (GB)</w:t>
            </w:r>
          </w:p>
        </w:tc>
        <w:tc>
          <w:tcPr>
            <w:tcW w:w="1218" w:type="dxa"/>
            <w:shd w:val="clear" w:color="auto" w:fill="auto"/>
            <w:noWrap/>
            <w:vAlign w:val="bottom"/>
            <w:hideMark/>
          </w:tcPr>
          <w:p w:rsidR="00E0007E" w:rsidRPr="00E0007E" w:rsidRDefault="00E0007E">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2014</w:t>
            </w:r>
          </w:p>
        </w:tc>
        <w:tc>
          <w:tcPr>
            <w:tcW w:w="960" w:type="dxa"/>
            <w:shd w:val="clear" w:color="auto" w:fill="auto"/>
            <w:noWrap/>
            <w:vAlign w:val="bottom"/>
            <w:hideMark/>
          </w:tcPr>
          <w:p w:rsidR="00E0007E" w:rsidRPr="00E0007E" w:rsidRDefault="00E0007E">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2015</w:t>
            </w:r>
            <w:r w:rsidR="003B6A26">
              <w:rPr>
                <w:rStyle w:val="FootnoteReference"/>
                <w:rFonts w:ascii="Calibri" w:eastAsia="Times New Roman" w:hAnsi="Calibri" w:cs="Times New Roman"/>
                <w:color w:val="000000"/>
              </w:rPr>
              <w:footnoteReference w:id="14"/>
            </w:r>
          </w:p>
        </w:tc>
      </w:tr>
      <w:tr w:rsidR="00E0007E" w:rsidRPr="00E0007E" w:rsidTr="00E0007E">
        <w:trPr>
          <w:trHeight w:val="300"/>
          <w:jc w:val="center"/>
        </w:trPr>
        <w:tc>
          <w:tcPr>
            <w:tcW w:w="1819" w:type="dxa"/>
            <w:shd w:val="clear" w:color="auto" w:fill="auto"/>
            <w:noWrap/>
            <w:vAlign w:val="bottom"/>
            <w:hideMark/>
          </w:tcPr>
          <w:p w:rsidR="00E0007E" w:rsidRPr="00E0007E" w:rsidRDefault="00E0007E" w:rsidP="007E2654">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4</w:t>
            </w:r>
          </w:p>
        </w:tc>
        <w:tc>
          <w:tcPr>
            <w:tcW w:w="1800" w:type="dxa"/>
            <w:shd w:val="clear" w:color="auto" w:fill="auto"/>
            <w:noWrap/>
            <w:vAlign w:val="bottom"/>
            <w:hideMark/>
          </w:tcPr>
          <w:p w:rsidR="00E0007E" w:rsidRPr="00E0007E" w:rsidRDefault="00E0007E" w:rsidP="007E2654">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w:t>
            </w:r>
          </w:p>
        </w:tc>
        <w:tc>
          <w:tcPr>
            <w:tcW w:w="1980" w:type="dxa"/>
            <w:shd w:val="clear" w:color="auto" w:fill="auto"/>
            <w:noWrap/>
            <w:vAlign w:val="bottom"/>
            <w:hideMark/>
          </w:tcPr>
          <w:p w:rsidR="00E0007E" w:rsidRPr="00E0007E" w:rsidRDefault="00E0007E" w:rsidP="007E2654">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100</w:t>
            </w:r>
          </w:p>
        </w:tc>
        <w:tc>
          <w:tcPr>
            <w:tcW w:w="1218" w:type="dxa"/>
            <w:shd w:val="clear" w:color="auto" w:fill="auto"/>
            <w:noWrap/>
            <w:vAlign w:val="bottom"/>
            <w:hideMark/>
          </w:tcPr>
          <w:p w:rsidR="00E0007E" w:rsidRPr="00E0007E" w:rsidRDefault="00E0007E" w:rsidP="007E2654">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$57.20</w:t>
            </w:r>
          </w:p>
        </w:tc>
        <w:tc>
          <w:tcPr>
            <w:tcW w:w="960" w:type="dxa"/>
            <w:shd w:val="clear" w:color="auto" w:fill="auto"/>
            <w:noWrap/>
            <w:vAlign w:val="bottom"/>
            <w:hideMark/>
          </w:tcPr>
          <w:p w:rsidR="00E0007E" w:rsidRPr="00E0007E" w:rsidRDefault="00682835" w:rsidP="007E2654">
            <w:pPr>
              <w:keepNext/>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r w:rsidR="00685091">
              <w:rPr>
                <w:rFonts w:ascii="Calibri" w:eastAsia="Times New Roman" w:hAnsi="Calibri" w:cs="Times New Roman"/>
                <w:color w:val="000000"/>
              </w:rPr>
              <w:t>4</w:t>
            </w:r>
            <w:r w:rsidR="009A7F18">
              <w:rPr>
                <w:rFonts w:ascii="Calibri" w:eastAsia="Times New Roman" w:hAnsi="Calibri" w:cs="Times New Roman"/>
                <w:color w:val="000000"/>
              </w:rPr>
              <w:t>9</w:t>
            </w:r>
          </w:p>
        </w:tc>
      </w:tr>
      <w:tr w:rsidR="00E0007E" w:rsidRPr="00E0007E" w:rsidTr="00E0007E">
        <w:trPr>
          <w:trHeight w:val="300"/>
          <w:jc w:val="center"/>
        </w:trPr>
        <w:tc>
          <w:tcPr>
            <w:tcW w:w="1819" w:type="dxa"/>
            <w:shd w:val="clear" w:color="auto" w:fill="auto"/>
            <w:noWrap/>
            <w:vAlign w:val="bottom"/>
            <w:hideMark/>
          </w:tcPr>
          <w:p w:rsidR="00E0007E" w:rsidRPr="00E0007E" w:rsidRDefault="00E0007E" w:rsidP="007E2654">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4</w:t>
            </w:r>
          </w:p>
        </w:tc>
        <w:tc>
          <w:tcPr>
            <w:tcW w:w="1800" w:type="dxa"/>
            <w:shd w:val="clear" w:color="auto" w:fill="auto"/>
            <w:noWrap/>
            <w:vAlign w:val="bottom"/>
            <w:hideMark/>
          </w:tcPr>
          <w:p w:rsidR="00E0007E" w:rsidRPr="00E0007E" w:rsidRDefault="00E0007E" w:rsidP="007E2654">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w:t>
            </w:r>
          </w:p>
        </w:tc>
        <w:tc>
          <w:tcPr>
            <w:tcW w:w="1980" w:type="dxa"/>
            <w:shd w:val="clear" w:color="auto" w:fill="auto"/>
            <w:noWrap/>
            <w:vAlign w:val="bottom"/>
            <w:hideMark/>
          </w:tcPr>
          <w:p w:rsidR="00E0007E" w:rsidRPr="00E0007E" w:rsidRDefault="00E0007E" w:rsidP="007E2654">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Unlimited</w:t>
            </w:r>
          </w:p>
        </w:tc>
        <w:tc>
          <w:tcPr>
            <w:tcW w:w="1218" w:type="dxa"/>
            <w:shd w:val="clear" w:color="auto" w:fill="auto"/>
            <w:noWrap/>
            <w:vAlign w:val="bottom"/>
            <w:hideMark/>
          </w:tcPr>
          <w:p w:rsidR="00E0007E" w:rsidRPr="00E0007E" w:rsidRDefault="00E0007E" w:rsidP="007E2654">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$74.31</w:t>
            </w:r>
          </w:p>
        </w:tc>
        <w:tc>
          <w:tcPr>
            <w:tcW w:w="960" w:type="dxa"/>
            <w:shd w:val="clear" w:color="auto" w:fill="auto"/>
            <w:noWrap/>
            <w:vAlign w:val="bottom"/>
            <w:hideMark/>
          </w:tcPr>
          <w:p w:rsidR="00E0007E" w:rsidRPr="00E0007E" w:rsidRDefault="00682835" w:rsidP="007E2654">
            <w:pPr>
              <w:keepNext/>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r w:rsidR="00685091">
              <w:rPr>
                <w:rFonts w:ascii="Calibri" w:eastAsia="Times New Roman" w:hAnsi="Calibri" w:cs="Times New Roman"/>
                <w:color w:val="000000"/>
              </w:rPr>
              <w:t>8</w:t>
            </w:r>
            <w:r w:rsidR="009A7F18">
              <w:rPr>
                <w:rFonts w:ascii="Calibri" w:eastAsia="Times New Roman" w:hAnsi="Calibri" w:cs="Times New Roman"/>
                <w:color w:val="000000"/>
              </w:rPr>
              <w:t>9</w:t>
            </w:r>
          </w:p>
        </w:tc>
      </w:tr>
      <w:tr w:rsidR="00E0007E" w:rsidRPr="00E0007E" w:rsidTr="00E0007E">
        <w:trPr>
          <w:trHeight w:val="300"/>
          <w:jc w:val="center"/>
        </w:trPr>
        <w:tc>
          <w:tcPr>
            <w:tcW w:w="1819"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w:t>
            </w:r>
          </w:p>
        </w:tc>
        <w:tc>
          <w:tcPr>
            <w:tcW w:w="1800"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w:t>
            </w:r>
          </w:p>
        </w:tc>
        <w:tc>
          <w:tcPr>
            <w:tcW w:w="1980"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100</w:t>
            </w:r>
          </w:p>
        </w:tc>
        <w:tc>
          <w:tcPr>
            <w:tcW w:w="1218" w:type="dxa"/>
            <w:shd w:val="clear" w:color="auto" w:fill="auto"/>
            <w:noWrap/>
            <w:vAlign w:val="bottom"/>
            <w:hideMark/>
          </w:tcPr>
          <w:p w:rsidR="00E0007E" w:rsidRPr="00E0007E" w:rsidRDefault="00E0007E" w:rsidP="002E4811">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$68.35</w:t>
            </w:r>
          </w:p>
        </w:tc>
        <w:tc>
          <w:tcPr>
            <w:tcW w:w="960" w:type="dxa"/>
            <w:shd w:val="clear" w:color="auto" w:fill="auto"/>
            <w:noWrap/>
            <w:vAlign w:val="bottom"/>
            <w:hideMark/>
          </w:tcPr>
          <w:p w:rsidR="00E0007E" w:rsidRPr="00E0007E" w:rsidRDefault="00682835" w:rsidP="002E48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w:t>
            </w:r>
            <w:r w:rsidR="00685091">
              <w:rPr>
                <w:rFonts w:ascii="Calibri" w:eastAsia="Times New Roman" w:hAnsi="Calibri" w:cs="Times New Roman"/>
                <w:color w:val="000000"/>
              </w:rPr>
              <w:t>4</w:t>
            </w:r>
            <w:r w:rsidR="009A7F18">
              <w:rPr>
                <w:rFonts w:ascii="Calibri" w:eastAsia="Times New Roman" w:hAnsi="Calibri" w:cs="Times New Roman"/>
                <w:color w:val="000000"/>
              </w:rPr>
              <w:t>1</w:t>
            </w:r>
          </w:p>
        </w:tc>
      </w:tr>
      <w:tr w:rsidR="00E0007E" w:rsidRPr="00E0007E" w:rsidTr="00E0007E">
        <w:trPr>
          <w:trHeight w:val="300"/>
          <w:jc w:val="center"/>
        </w:trPr>
        <w:tc>
          <w:tcPr>
            <w:tcW w:w="1819"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w:t>
            </w:r>
          </w:p>
        </w:tc>
        <w:tc>
          <w:tcPr>
            <w:tcW w:w="1800"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w:t>
            </w:r>
          </w:p>
        </w:tc>
        <w:tc>
          <w:tcPr>
            <w:tcW w:w="1980"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250</w:t>
            </w:r>
          </w:p>
        </w:tc>
        <w:tc>
          <w:tcPr>
            <w:tcW w:w="1218" w:type="dxa"/>
            <w:shd w:val="clear" w:color="auto" w:fill="auto"/>
            <w:noWrap/>
            <w:vAlign w:val="bottom"/>
            <w:hideMark/>
          </w:tcPr>
          <w:p w:rsidR="00E0007E" w:rsidRPr="00E0007E" w:rsidRDefault="00E0007E" w:rsidP="002E4811">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$78.61</w:t>
            </w:r>
          </w:p>
        </w:tc>
        <w:tc>
          <w:tcPr>
            <w:tcW w:w="960" w:type="dxa"/>
            <w:shd w:val="clear" w:color="auto" w:fill="auto"/>
            <w:noWrap/>
            <w:vAlign w:val="bottom"/>
            <w:hideMark/>
          </w:tcPr>
          <w:p w:rsidR="00E0007E" w:rsidRPr="00E0007E" w:rsidRDefault="00682835" w:rsidP="002E48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9A7F18">
              <w:rPr>
                <w:rFonts w:ascii="Calibri" w:eastAsia="Times New Roman" w:hAnsi="Calibri" w:cs="Times New Roman"/>
                <w:color w:val="000000"/>
              </w:rPr>
              <w:t>6.00</w:t>
            </w:r>
          </w:p>
        </w:tc>
      </w:tr>
      <w:tr w:rsidR="00E0007E" w:rsidRPr="00E0007E" w:rsidTr="00E0007E">
        <w:trPr>
          <w:trHeight w:val="300"/>
          <w:jc w:val="center"/>
        </w:trPr>
        <w:tc>
          <w:tcPr>
            <w:tcW w:w="1819"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w:t>
            </w:r>
          </w:p>
        </w:tc>
        <w:tc>
          <w:tcPr>
            <w:tcW w:w="1800"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w:t>
            </w:r>
          </w:p>
        </w:tc>
        <w:tc>
          <w:tcPr>
            <w:tcW w:w="1980"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Unlimited</w:t>
            </w:r>
          </w:p>
        </w:tc>
        <w:tc>
          <w:tcPr>
            <w:tcW w:w="1218" w:type="dxa"/>
            <w:shd w:val="clear" w:color="auto" w:fill="auto"/>
            <w:noWrap/>
            <w:vAlign w:val="bottom"/>
            <w:hideMark/>
          </w:tcPr>
          <w:p w:rsidR="00E0007E" w:rsidRPr="00E0007E" w:rsidRDefault="00E0007E" w:rsidP="002E4811">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$85.45</w:t>
            </w:r>
          </w:p>
        </w:tc>
        <w:tc>
          <w:tcPr>
            <w:tcW w:w="960" w:type="dxa"/>
            <w:shd w:val="clear" w:color="auto" w:fill="auto"/>
            <w:noWrap/>
            <w:vAlign w:val="bottom"/>
            <w:hideMark/>
          </w:tcPr>
          <w:p w:rsidR="00E0007E" w:rsidRPr="00E0007E" w:rsidRDefault="00682835" w:rsidP="002E48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$77.</w:t>
            </w:r>
            <w:r w:rsidR="00AB5D24">
              <w:rPr>
                <w:rFonts w:ascii="Calibri" w:eastAsia="Times New Roman" w:hAnsi="Calibri" w:cs="Times New Roman"/>
                <w:color w:val="000000"/>
              </w:rPr>
              <w:t>8</w:t>
            </w:r>
            <w:r w:rsidR="009A7F18">
              <w:rPr>
                <w:rFonts w:ascii="Calibri" w:eastAsia="Times New Roman" w:hAnsi="Calibri" w:cs="Times New Roman"/>
                <w:color w:val="000000"/>
              </w:rPr>
              <w:t>1</w:t>
            </w:r>
          </w:p>
        </w:tc>
      </w:tr>
      <w:tr w:rsidR="00E0007E" w:rsidRPr="00E0007E" w:rsidTr="00E0007E">
        <w:trPr>
          <w:trHeight w:val="300"/>
          <w:jc w:val="center"/>
        </w:trPr>
        <w:tc>
          <w:tcPr>
            <w:tcW w:w="1819"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25</w:t>
            </w:r>
          </w:p>
        </w:tc>
        <w:tc>
          <w:tcPr>
            <w:tcW w:w="1800"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5</w:t>
            </w:r>
          </w:p>
        </w:tc>
        <w:tc>
          <w:tcPr>
            <w:tcW w:w="1980"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250</w:t>
            </w:r>
          </w:p>
        </w:tc>
        <w:tc>
          <w:tcPr>
            <w:tcW w:w="1218" w:type="dxa"/>
            <w:shd w:val="clear" w:color="auto" w:fill="auto"/>
            <w:noWrap/>
            <w:vAlign w:val="bottom"/>
            <w:hideMark/>
          </w:tcPr>
          <w:p w:rsidR="00E0007E" w:rsidRPr="00E0007E" w:rsidRDefault="00E0007E" w:rsidP="002E4811">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$96.97</w:t>
            </w:r>
          </w:p>
        </w:tc>
        <w:tc>
          <w:tcPr>
            <w:tcW w:w="960" w:type="dxa"/>
            <w:shd w:val="clear" w:color="auto" w:fill="auto"/>
            <w:noWrap/>
            <w:vAlign w:val="bottom"/>
            <w:hideMark/>
          </w:tcPr>
          <w:p w:rsidR="00E0007E" w:rsidRPr="00E0007E" w:rsidRDefault="00682835" w:rsidP="002E48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$95.0</w:t>
            </w:r>
            <w:r w:rsidR="009A7F18">
              <w:rPr>
                <w:rFonts w:ascii="Calibri" w:eastAsia="Times New Roman" w:hAnsi="Calibri" w:cs="Times New Roman"/>
                <w:color w:val="000000"/>
              </w:rPr>
              <w:t>9</w:t>
            </w:r>
          </w:p>
        </w:tc>
      </w:tr>
      <w:tr w:rsidR="00E0007E" w:rsidRPr="00E0007E" w:rsidTr="00E0007E">
        <w:trPr>
          <w:trHeight w:val="300"/>
          <w:jc w:val="center"/>
        </w:trPr>
        <w:tc>
          <w:tcPr>
            <w:tcW w:w="1819"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25</w:t>
            </w:r>
          </w:p>
        </w:tc>
        <w:tc>
          <w:tcPr>
            <w:tcW w:w="1800"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5</w:t>
            </w:r>
          </w:p>
        </w:tc>
        <w:tc>
          <w:tcPr>
            <w:tcW w:w="1980" w:type="dxa"/>
            <w:shd w:val="clear" w:color="auto" w:fill="auto"/>
            <w:noWrap/>
            <w:vAlign w:val="bottom"/>
            <w:hideMark/>
          </w:tcPr>
          <w:p w:rsidR="00E0007E" w:rsidRPr="00E0007E" w:rsidRDefault="00E0007E" w:rsidP="00E0007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Unlimited</w:t>
            </w:r>
          </w:p>
        </w:tc>
        <w:tc>
          <w:tcPr>
            <w:tcW w:w="1218" w:type="dxa"/>
            <w:shd w:val="clear" w:color="auto" w:fill="auto"/>
            <w:noWrap/>
            <w:vAlign w:val="bottom"/>
            <w:hideMark/>
          </w:tcPr>
          <w:p w:rsidR="00E0007E" w:rsidRPr="00E0007E" w:rsidRDefault="00E0007E" w:rsidP="002E4811">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$103.81</w:t>
            </w:r>
          </w:p>
        </w:tc>
        <w:tc>
          <w:tcPr>
            <w:tcW w:w="960" w:type="dxa"/>
            <w:shd w:val="clear" w:color="auto" w:fill="auto"/>
            <w:noWrap/>
            <w:vAlign w:val="bottom"/>
            <w:hideMark/>
          </w:tcPr>
          <w:p w:rsidR="00E0007E" w:rsidRPr="00E0007E" w:rsidRDefault="00682835" w:rsidP="002E48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$96.</w:t>
            </w:r>
            <w:r w:rsidR="009A7F18">
              <w:rPr>
                <w:rFonts w:ascii="Calibri" w:eastAsia="Times New Roman" w:hAnsi="Calibri" w:cs="Times New Roman"/>
                <w:color w:val="000000"/>
              </w:rPr>
              <w:t>90</w:t>
            </w:r>
          </w:p>
        </w:tc>
      </w:tr>
    </w:tbl>
    <w:p w:rsidR="00C527BB" w:rsidRDefault="00C527BB" w:rsidP="00C9148A"/>
    <w:p w:rsidR="003B6A26" w:rsidRDefault="003B6A26" w:rsidP="00C9148A"/>
    <w:p w:rsidR="00C527BB" w:rsidRDefault="00C527BB">
      <w:r>
        <w:br w:type="page"/>
      </w:r>
    </w:p>
    <w:p w:rsidR="00FC35DA" w:rsidRPr="00610050" w:rsidRDefault="00FC35DA" w:rsidP="002E4811">
      <w:pPr>
        <w:keepNext/>
        <w:jc w:val="center"/>
        <w:rPr>
          <w:b/>
        </w:rPr>
      </w:pPr>
      <w:r w:rsidRPr="00610050">
        <w:rPr>
          <w:b/>
        </w:rPr>
        <w:t>Appendix</w:t>
      </w:r>
      <w:r>
        <w:rPr>
          <w:b/>
        </w:rPr>
        <w:t>: Rates Excluded from the Analysis</w:t>
      </w:r>
    </w:p>
    <w:p w:rsidR="00610050" w:rsidRDefault="00610050" w:rsidP="00610050">
      <w:r>
        <w:t xml:space="preserve">Google Fiber Kansas LLC and Google Fiber Missouri LLC responded with free product offerings ($0 rate) for 5/1/Unlimited service in three </w:t>
      </w:r>
      <w:r w:rsidR="00B005FE">
        <w:t xml:space="preserve">Census </w:t>
      </w:r>
      <w:r>
        <w:t xml:space="preserve">tracts. </w:t>
      </w:r>
      <w:r w:rsidR="00416AAF">
        <w:t xml:space="preserve"> </w:t>
      </w:r>
      <w:r w:rsidR="00C527BB">
        <w:t>According to Google’s website, these “free product offerings” require</w:t>
      </w:r>
      <w:r w:rsidR="00C527BB" w:rsidRPr="00D76D77">
        <w:t xml:space="preserve"> a $300 construction fee which is waived for </w:t>
      </w:r>
      <w:r w:rsidR="00C527BB">
        <w:t>Google Fiber’s</w:t>
      </w:r>
      <w:r w:rsidR="00C527BB" w:rsidRPr="00D76D77">
        <w:t xml:space="preserve"> other service plans</w:t>
      </w:r>
      <w:r w:rsidR="00C527BB">
        <w:t>.</w:t>
      </w:r>
      <w:r w:rsidR="00C527BB">
        <w:rPr>
          <w:rStyle w:val="FootnoteReference"/>
        </w:rPr>
        <w:footnoteReference w:id="15"/>
      </w:r>
      <w:r w:rsidR="00C527BB">
        <w:t xml:space="preserve">  </w:t>
      </w:r>
      <w:r>
        <w:t>Such offerings were considered outside the scope of the analysis</w:t>
      </w:r>
      <w:r w:rsidR="00C527BB">
        <w:t xml:space="preserve"> because of their uncom</w:t>
      </w:r>
      <w:r w:rsidR="00544477">
        <w:t>m</w:t>
      </w:r>
      <w:r w:rsidR="00C527BB">
        <w:t>on fee structure</w:t>
      </w:r>
      <w:r>
        <w:t>.</w:t>
      </w:r>
      <w:r w:rsidR="00C527BB">
        <w:t xml:space="preserve">  </w:t>
      </w:r>
      <w:r w:rsidR="001E5736">
        <w:t xml:space="preserve"> Moreover, inclusion of the Google offerings within the sample produced only minor variations in the benchmarks.  </w:t>
      </w:r>
      <w:r w:rsidR="00C527BB">
        <w:t>The Bureau will consider collecting non-recurring charges in future Surveys to account for these types of offerings.</w:t>
      </w:r>
      <w:r w:rsidR="001E5736">
        <w:t xml:space="preserve">  </w:t>
      </w:r>
    </w:p>
    <w:p w:rsidR="00610050" w:rsidRDefault="00610050" w:rsidP="00610050">
      <w:r>
        <w:t>In its one response, Ranch Wireless provided 16 rates which match their Business Internet Plans</w:t>
      </w:r>
      <w:r>
        <w:rPr>
          <w:rStyle w:val="FootnoteReference"/>
        </w:rPr>
        <w:footnoteReference w:id="16"/>
      </w:r>
      <w:r>
        <w:t xml:space="preserve"> as well as 5 rates which matched their Residential Internet Plans.</w:t>
      </w:r>
      <w:r>
        <w:rPr>
          <w:rStyle w:val="FootnoteReference"/>
        </w:rPr>
        <w:footnoteReference w:id="17"/>
      </w:r>
      <w:r>
        <w:t xml:space="preserve"> The responses which match Ranch Wireless’s Business Internet Plans were considered outside the scope of the analysis </w:t>
      </w:r>
      <w:r w:rsidR="00C527BB">
        <w:t xml:space="preserve">because </w:t>
      </w:r>
      <w:r>
        <w:t>the analysis encompasses residential service only.</w:t>
      </w:r>
    </w:p>
    <w:p w:rsidR="00610050" w:rsidRDefault="00610050" w:rsidP="00610050">
      <w:r>
        <w:t xml:space="preserve">WEHCO Video Inc. provided 3 rates for services named Business Standard, Business Enhanced, and Business Turbo. </w:t>
      </w:r>
      <w:r w:rsidR="00C527BB">
        <w:t xml:space="preserve"> Si</w:t>
      </w:r>
      <w:r w:rsidR="00B005FE">
        <w:t>m</w:t>
      </w:r>
      <w:r w:rsidR="00C527BB">
        <w:t>ilarly, t</w:t>
      </w:r>
      <w:r>
        <w:t xml:space="preserve">hese responses were considered outside the scope of the survey and were excluded from the analysis. </w:t>
      </w:r>
    </w:p>
    <w:p w:rsidR="00610050" w:rsidRDefault="00610050" w:rsidP="00610050">
      <w:r>
        <w:t>Armstrong Utilities Inc. provided 5 rates for services named Zoom Business I, Zoom Business II,</w:t>
      </w:r>
      <w:r w:rsidRPr="008A404D">
        <w:t xml:space="preserve"> </w:t>
      </w:r>
      <w:r>
        <w:t>Zoom Enterprise I, Zoom Enterprise II, and Zoom Enterprise III which matched service plans listed on their business web page.</w:t>
      </w:r>
      <w:r>
        <w:rPr>
          <w:rStyle w:val="FootnoteReference"/>
        </w:rPr>
        <w:footnoteReference w:id="18"/>
      </w:r>
      <w:r>
        <w:t xml:space="preserve"> </w:t>
      </w:r>
      <w:r w:rsidR="00C527BB">
        <w:t>For the reason noted above, t</w:t>
      </w:r>
      <w:r>
        <w:t xml:space="preserve">hese responses were considered outside the scope of the survey and were excluded from the analysis. </w:t>
      </w:r>
    </w:p>
    <w:p w:rsidR="00610050" w:rsidRDefault="00610050" w:rsidP="00610050">
      <w:r w:rsidRPr="00E16530">
        <w:t>Tacoma Power dba Click! Network</w:t>
      </w:r>
      <w:r>
        <w:t xml:space="preserve"> provided 18 responses to the survey. </w:t>
      </w:r>
      <w:r w:rsidR="00416AAF">
        <w:t xml:space="preserve"> </w:t>
      </w:r>
      <w:r>
        <w:t>Most of the rates provided in the responses came with the comment: “</w:t>
      </w:r>
      <w:r w:rsidRPr="00E16530">
        <w:t>Wholesale rate to ISP</w:t>
      </w:r>
      <w:r w:rsidR="00C527BB">
        <w:t>.</w:t>
      </w:r>
      <w:r>
        <w:t xml:space="preserve">” </w:t>
      </w:r>
      <w:r w:rsidR="00C527BB">
        <w:t xml:space="preserve"> Discussions with </w:t>
      </w:r>
      <w:r>
        <w:t xml:space="preserve">Tacoma Power </w:t>
      </w:r>
      <w:r w:rsidR="00C527BB">
        <w:t>revealed that</w:t>
      </w:r>
      <w:r>
        <w:t xml:space="preserve"> Tacoma Power only provides transport services to ISPs</w:t>
      </w:r>
      <w:r w:rsidR="00C527BB">
        <w:t>, not to residential customers</w:t>
      </w:r>
      <w:r>
        <w:t xml:space="preserve">.  </w:t>
      </w:r>
      <w:r w:rsidR="00C527BB">
        <w:t>Therefore, these</w:t>
      </w:r>
      <w:r>
        <w:t xml:space="preserve"> rates were not included in the analysis.</w:t>
      </w:r>
    </w:p>
    <w:p w:rsidR="00610050" w:rsidRDefault="00610050" w:rsidP="00A1665E">
      <w:r w:rsidRPr="00E47FF1">
        <w:t xml:space="preserve">Verizon California Inc. </w:t>
      </w:r>
      <w:r>
        <w:t xml:space="preserve">responded with two identical rates for 300/300/Unlimited service provided via FTTH technology in </w:t>
      </w:r>
      <w:r w:rsidR="00B005FE">
        <w:t>C</w:t>
      </w:r>
      <w:r>
        <w:t xml:space="preserve">ensus tract </w:t>
      </w:r>
      <w:r w:rsidRPr="00E47FF1">
        <w:t>6037574500</w:t>
      </w:r>
      <w:r>
        <w:t xml:space="preserve">. </w:t>
      </w:r>
      <w:r w:rsidR="00416AAF">
        <w:t xml:space="preserve"> </w:t>
      </w:r>
      <w:r>
        <w:t>One of the rates was excluded from the analysis.</w:t>
      </w:r>
    </w:p>
    <w:p w:rsidR="008372FF" w:rsidRDefault="008372FF" w:rsidP="00A1665E"/>
    <w:p w:rsidR="008372FF" w:rsidRDefault="008372FF" w:rsidP="00A1665E"/>
    <w:p w:rsidR="00A1665E" w:rsidRDefault="00A1665E" w:rsidP="000A68A2"/>
    <w:sectPr w:rsidR="00A1665E" w:rsidSect="007E26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C5" w:rsidRDefault="001444C5" w:rsidP="00863060">
      <w:pPr>
        <w:spacing w:after="0" w:line="240" w:lineRule="auto"/>
      </w:pPr>
      <w:r>
        <w:separator/>
      </w:r>
    </w:p>
  </w:endnote>
  <w:endnote w:type="continuationSeparator" w:id="0">
    <w:p w:rsidR="001444C5" w:rsidRDefault="001444C5" w:rsidP="0086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thematica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09" w:rsidRDefault="005F3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70924"/>
      <w:docPartObj>
        <w:docPartGallery w:val="Page Numbers (Bottom of Page)"/>
        <w:docPartUnique/>
      </w:docPartObj>
    </w:sdtPr>
    <w:sdtEndPr>
      <w:rPr>
        <w:noProof/>
      </w:rPr>
    </w:sdtEndPr>
    <w:sdtContent>
      <w:p w:rsidR="007E2654" w:rsidRDefault="007E2654">
        <w:pPr>
          <w:pStyle w:val="Footer"/>
          <w:jc w:val="center"/>
        </w:pPr>
        <w:r>
          <w:fldChar w:fldCharType="begin"/>
        </w:r>
        <w:r>
          <w:instrText xml:space="preserve"> PAGE   \* MERGEFORMAT </w:instrText>
        </w:r>
        <w:r>
          <w:fldChar w:fldCharType="separate"/>
        </w:r>
        <w:r w:rsidR="00800B0E">
          <w:rPr>
            <w:noProof/>
          </w:rPr>
          <w:t>7</w:t>
        </w:r>
        <w:r>
          <w:rPr>
            <w:noProof/>
          </w:rPr>
          <w:fldChar w:fldCharType="end"/>
        </w:r>
      </w:p>
    </w:sdtContent>
  </w:sdt>
  <w:p w:rsidR="00FD63B8" w:rsidRDefault="00FD6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09" w:rsidRDefault="005F3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C5" w:rsidRDefault="001444C5" w:rsidP="00863060">
      <w:pPr>
        <w:spacing w:after="0" w:line="240" w:lineRule="auto"/>
      </w:pPr>
      <w:r>
        <w:separator/>
      </w:r>
    </w:p>
  </w:footnote>
  <w:footnote w:type="continuationSeparator" w:id="0">
    <w:p w:rsidR="001444C5" w:rsidRDefault="001444C5" w:rsidP="00863060">
      <w:pPr>
        <w:spacing w:after="0" w:line="240" w:lineRule="auto"/>
      </w:pPr>
      <w:r>
        <w:continuationSeparator/>
      </w:r>
    </w:p>
  </w:footnote>
  <w:footnote w:id="1">
    <w:p w:rsidR="00FD63B8" w:rsidRDefault="00FD63B8" w:rsidP="004840BF">
      <w:pPr>
        <w:pStyle w:val="FootnoteText"/>
      </w:pPr>
      <w:r>
        <w:rPr>
          <w:rStyle w:val="FootnoteReference"/>
        </w:rPr>
        <w:footnoteRef/>
      </w:r>
      <w:r>
        <w:t xml:space="preserve"> </w:t>
      </w:r>
      <w:r w:rsidRPr="007F2D3E">
        <w:rPr>
          <w:i/>
        </w:rPr>
        <w:t>Connect America Fund</w:t>
      </w:r>
      <w:r>
        <w:t>, WC Docket No. 10-90, Order, 28 FCC Rcd 4242 (Wireline Comp. Bur. and Wireless Telecom. Bur. 2013).</w:t>
      </w:r>
    </w:p>
  </w:footnote>
  <w:footnote w:id="2">
    <w:p w:rsidR="00E207EE" w:rsidRDefault="00E207EE" w:rsidP="00E207EE">
      <w:pPr>
        <w:pStyle w:val="FootnoteText"/>
      </w:pPr>
      <w:r>
        <w:rPr>
          <w:rStyle w:val="FootnoteReference"/>
        </w:rPr>
        <w:footnoteRef/>
      </w:r>
      <w:r>
        <w:t xml:space="preserve"> </w:t>
      </w:r>
      <w:r w:rsidRPr="00897C63">
        <w:rPr>
          <w:i/>
        </w:rPr>
        <w:t>Connect America Fund</w:t>
      </w:r>
      <w:r w:rsidRPr="00897C63">
        <w:t xml:space="preserve">, WC Docket No. 10-90, Report and Order, </w:t>
      </w:r>
      <w:r w:rsidRPr="00897C63">
        <w:rPr>
          <w:iCs/>
          <w:color w:val="333333"/>
          <w:shd w:val="clear" w:color="auto" w:fill="FFFFFF"/>
        </w:rPr>
        <w:t>29 FCC Rcd 13485 (Wireline Comp. Bur. 2014).</w:t>
      </w:r>
    </w:p>
  </w:footnote>
  <w:footnote w:id="3">
    <w:p w:rsidR="00FD63B8" w:rsidRDefault="00FD63B8" w:rsidP="001B0AD6">
      <w:pPr>
        <w:pStyle w:val="FootnoteText"/>
      </w:pPr>
      <w:r>
        <w:rPr>
          <w:rStyle w:val="FootnoteReference"/>
        </w:rPr>
        <w:footnoteRef/>
      </w:r>
      <w:r>
        <w:t xml:space="preserve"> Two responses were requested from Windstream for the same Census tract (</w:t>
      </w:r>
      <w:r w:rsidRPr="000C4A09">
        <w:t>37057060203</w:t>
      </w:r>
      <w:r>
        <w:t>) since it was listed twice in the 477 data.  Both responses indicated Windstream did not offer broadband service in the Census tract.</w:t>
      </w:r>
    </w:p>
  </w:footnote>
  <w:footnote w:id="4">
    <w:p w:rsidR="00FD63B8" w:rsidRDefault="00FD63B8">
      <w:pPr>
        <w:pStyle w:val="FootnoteText"/>
      </w:pPr>
      <w:r>
        <w:rPr>
          <w:rStyle w:val="FootnoteReference"/>
        </w:rPr>
        <w:footnoteRef/>
      </w:r>
      <w:r>
        <w:t xml:space="preserve"> No providers were listed for Census tract 04013061017.</w:t>
      </w:r>
    </w:p>
  </w:footnote>
  <w:footnote w:id="5">
    <w:p w:rsidR="00DD41DB" w:rsidRDefault="00DD41DB">
      <w:pPr>
        <w:pStyle w:val="FootnoteText"/>
      </w:pPr>
      <w:r>
        <w:rPr>
          <w:rStyle w:val="FootnoteReference"/>
        </w:rPr>
        <w:footnoteRef/>
      </w:r>
      <w:r>
        <w:t xml:space="preserve"> Thus, for instance, while </w:t>
      </w:r>
      <w:r w:rsidR="005C491A">
        <w:t xml:space="preserve">the full sample contained requests for rates from Verizon Pennsylvania in </w:t>
      </w:r>
      <w:r>
        <w:t xml:space="preserve">17 </w:t>
      </w:r>
      <w:r w:rsidR="005C491A">
        <w:t>C</w:t>
      </w:r>
      <w:r>
        <w:t xml:space="preserve">ensus tracts, the Bureau </w:t>
      </w:r>
      <w:r w:rsidR="005C491A">
        <w:t xml:space="preserve">randomly </w:t>
      </w:r>
      <w:r>
        <w:t xml:space="preserve">selected only 6 of those </w:t>
      </w:r>
      <w:r w:rsidR="005C491A">
        <w:t>requests</w:t>
      </w:r>
      <w:r>
        <w:t xml:space="preserve"> to survey.</w:t>
      </w:r>
      <w:r w:rsidR="00FF13CE">
        <w:t xml:space="preserve">  T</w:t>
      </w:r>
      <w:r w:rsidR="00FF13CE" w:rsidRPr="00A50E80">
        <w:rPr>
          <w:bCs/>
        </w:rPr>
        <w:t>he uniform distribution of Verizon Pennsylvania rates</w:t>
      </w:r>
      <w:r w:rsidR="005C491A">
        <w:rPr>
          <w:bCs/>
        </w:rPr>
        <w:t xml:space="preserve"> reported in the survey</w:t>
      </w:r>
      <w:r w:rsidR="00FF13CE" w:rsidRPr="00A50E80">
        <w:rPr>
          <w:bCs/>
        </w:rPr>
        <w:t xml:space="preserve"> was assigned as the Verizon Pennsylvania rate </w:t>
      </w:r>
      <w:r w:rsidR="005C491A">
        <w:rPr>
          <w:bCs/>
        </w:rPr>
        <w:t>in the other 11 Census</w:t>
      </w:r>
      <w:r w:rsidR="00467DD2">
        <w:rPr>
          <w:bCs/>
        </w:rPr>
        <w:t xml:space="preserve"> tracts which were not requested in the survey</w:t>
      </w:r>
      <w:r w:rsidR="00FF13CE" w:rsidRPr="00A50E80">
        <w:rPr>
          <w:bCs/>
        </w:rPr>
        <w:t xml:space="preserve">.  This </w:t>
      </w:r>
      <w:r w:rsidR="00FF13CE">
        <w:rPr>
          <w:bCs/>
        </w:rPr>
        <w:t xml:space="preserve">process </w:t>
      </w:r>
      <w:r w:rsidR="00FF13CE" w:rsidRPr="00A50E80">
        <w:rPr>
          <w:bCs/>
        </w:rPr>
        <w:t xml:space="preserve">was </w:t>
      </w:r>
      <w:r w:rsidR="00FF13CE">
        <w:rPr>
          <w:bCs/>
        </w:rPr>
        <w:t>used</w:t>
      </w:r>
      <w:r w:rsidR="00FF13CE" w:rsidRPr="00A50E80">
        <w:rPr>
          <w:bCs/>
        </w:rPr>
        <w:t xml:space="preserve"> for each of the service providers </w:t>
      </w:r>
      <w:r w:rsidR="00FF13CE">
        <w:rPr>
          <w:bCs/>
        </w:rPr>
        <w:t xml:space="preserve">(including Verizon, </w:t>
      </w:r>
      <w:r w:rsidR="00FF13CE" w:rsidRPr="00A50E80">
        <w:rPr>
          <w:bCs/>
        </w:rPr>
        <w:t>AT&amp;T</w:t>
      </w:r>
      <w:r w:rsidR="00FF13CE">
        <w:rPr>
          <w:bCs/>
        </w:rPr>
        <w:t>,</w:t>
      </w:r>
      <w:r w:rsidR="00FF13CE" w:rsidRPr="00A50E80">
        <w:rPr>
          <w:bCs/>
        </w:rPr>
        <w:t xml:space="preserve"> and Time Warner</w:t>
      </w:r>
      <w:r w:rsidR="00FF13CE">
        <w:rPr>
          <w:bCs/>
        </w:rPr>
        <w:t>)</w:t>
      </w:r>
      <w:r w:rsidR="00FF13CE" w:rsidRPr="00A50E80">
        <w:rPr>
          <w:bCs/>
        </w:rPr>
        <w:t xml:space="preserve"> </w:t>
      </w:r>
      <w:r w:rsidR="003B6A26">
        <w:rPr>
          <w:bCs/>
        </w:rPr>
        <w:t>that</w:t>
      </w:r>
      <w:r w:rsidR="00FF13CE" w:rsidRPr="00A50E80">
        <w:rPr>
          <w:bCs/>
        </w:rPr>
        <w:t xml:space="preserve"> had their responses limited to 25. </w:t>
      </w:r>
      <w:r w:rsidR="00FF13CE">
        <w:rPr>
          <w:bCs/>
        </w:rPr>
        <w:t xml:space="preserve"> </w:t>
      </w:r>
      <w:r w:rsidR="003B6A26">
        <w:t xml:space="preserve">For the purposes of applying this threshold, all eight Verizon companies in the sample were treated as a single company; likewise, both Time Warner companies in the sample were treated as a single company.  </w:t>
      </w:r>
    </w:p>
  </w:footnote>
  <w:footnote w:id="6">
    <w:p w:rsidR="00FD63B8" w:rsidRDefault="00FD63B8">
      <w:pPr>
        <w:pStyle w:val="FootnoteText"/>
      </w:pPr>
      <w:r>
        <w:rPr>
          <w:rStyle w:val="FootnoteReference"/>
        </w:rPr>
        <w:footnoteRef/>
      </w:r>
      <w:r>
        <w:t xml:space="preserve"> One service provider (</w:t>
      </w:r>
      <w:r w:rsidRPr="00A62F7F">
        <w:t>Orlando Telephone Company</w:t>
      </w:r>
      <w:r>
        <w:t xml:space="preserve">) provided one rate for 10 Mbps service and </w:t>
      </w:r>
      <w:r w:rsidR="00836898">
        <w:t>the additional costs</w:t>
      </w:r>
      <w:r>
        <w:t xml:space="preserve"> for upgrades to 15 and 25 Mbps service. The upgrade rates were added to the 10 Mbps rate to obtain the appropriate monthly rates for 15 and 25 Mbps service.  </w:t>
      </w:r>
    </w:p>
  </w:footnote>
  <w:footnote w:id="7">
    <w:p w:rsidR="00FD63B8" w:rsidRDefault="00FD63B8">
      <w:pPr>
        <w:pStyle w:val="FootnoteText"/>
      </w:pPr>
      <w:r>
        <w:rPr>
          <w:rStyle w:val="FootnoteReference"/>
        </w:rPr>
        <w:footnoteRef/>
      </w:r>
      <w:r>
        <w:t xml:space="preserve"> This assignment of Provider Weights is consistent with the weights used in the 2014 URS.  The only exception is that the weight assignment is more accurate here since it uses information from the survey on the presence of service providers in the Census tract in place of relying only on Form 477 responses.</w:t>
      </w:r>
    </w:p>
  </w:footnote>
  <w:footnote w:id="8">
    <w:p w:rsidR="003F2927" w:rsidRDefault="003F2927" w:rsidP="003F2927">
      <w:pPr>
        <w:pStyle w:val="FootnoteText"/>
      </w:pPr>
      <w:r>
        <w:rPr>
          <w:rStyle w:val="FootnoteReference"/>
        </w:rPr>
        <w:footnoteRef/>
      </w:r>
      <w:r>
        <w:t xml:space="preserve"> </w:t>
      </w:r>
      <w:r w:rsidR="00FF13CE">
        <w:rPr>
          <w:bCs/>
        </w:rPr>
        <w:t>The o</w:t>
      </w:r>
      <w:r w:rsidRPr="00A50E80">
        <w:rPr>
          <w:bCs/>
        </w:rPr>
        <w:t xml:space="preserve">ne exception was Verizon Maryland. </w:t>
      </w:r>
      <w:r w:rsidR="00FF13CE">
        <w:rPr>
          <w:bCs/>
        </w:rPr>
        <w:t xml:space="preserve"> </w:t>
      </w:r>
      <w:r w:rsidRPr="00A50E80">
        <w:rPr>
          <w:bCs/>
        </w:rPr>
        <w:t xml:space="preserve">Verizon Maryland had 5 </w:t>
      </w:r>
      <w:r w:rsidR="00467DD2">
        <w:rPr>
          <w:bCs/>
        </w:rPr>
        <w:t>Census</w:t>
      </w:r>
      <w:r w:rsidRPr="00A50E80">
        <w:rPr>
          <w:bCs/>
        </w:rPr>
        <w:t xml:space="preserve"> tract requests in the full sample</w:t>
      </w:r>
      <w:r w:rsidR="00FF13CE">
        <w:rPr>
          <w:bCs/>
        </w:rPr>
        <w:t>,</w:t>
      </w:r>
      <w:r w:rsidRPr="00A50E80">
        <w:rPr>
          <w:bCs/>
        </w:rPr>
        <w:t xml:space="preserve"> but as a result of the random selection of 25 Verizon </w:t>
      </w:r>
      <w:r w:rsidR="00467DD2">
        <w:rPr>
          <w:bCs/>
        </w:rPr>
        <w:t>Census</w:t>
      </w:r>
      <w:r w:rsidR="00FF13CE">
        <w:rPr>
          <w:bCs/>
        </w:rPr>
        <w:t xml:space="preserve"> tracts to receive the survey</w:t>
      </w:r>
      <w:r w:rsidRPr="00A50E80">
        <w:rPr>
          <w:bCs/>
        </w:rPr>
        <w:t xml:space="preserve">, none </w:t>
      </w:r>
      <w:r>
        <w:rPr>
          <w:bCs/>
        </w:rPr>
        <w:t>from Verizon Maryland was</w:t>
      </w:r>
      <w:r w:rsidRPr="00A50E80">
        <w:rPr>
          <w:bCs/>
        </w:rPr>
        <w:t xml:space="preserve"> in the survey sample. </w:t>
      </w:r>
      <w:r>
        <w:rPr>
          <w:bCs/>
        </w:rPr>
        <w:t xml:space="preserve"> Therefore</w:t>
      </w:r>
      <w:r w:rsidRPr="00A50E80">
        <w:rPr>
          <w:bCs/>
        </w:rPr>
        <w:t xml:space="preserve">, there were no Verizon Maryland rates for use to populate the 5 Verizon </w:t>
      </w:r>
      <w:r>
        <w:rPr>
          <w:bCs/>
        </w:rPr>
        <w:t>Maryland</w:t>
      </w:r>
      <w:r w:rsidRPr="00A50E80">
        <w:rPr>
          <w:bCs/>
        </w:rPr>
        <w:t xml:space="preserve"> responses </w:t>
      </w:r>
      <w:r w:rsidR="00FF13CE">
        <w:rPr>
          <w:bCs/>
        </w:rPr>
        <w:t>for</w:t>
      </w:r>
      <w:r w:rsidRPr="00A50E80">
        <w:rPr>
          <w:bCs/>
        </w:rPr>
        <w:t xml:space="preserve"> the full sample. </w:t>
      </w:r>
      <w:r w:rsidR="00FF13CE">
        <w:rPr>
          <w:bCs/>
        </w:rPr>
        <w:t xml:space="preserve"> </w:t>
      </w:r>
      <w:r w:rsidRPr="00A50E80">
        <w:rPr>
          <w:bCs/>
        </w:rPr>
        <w:t xml:space="preserve">Instead, </w:t>
      </w:r>
      <w:r>
        <w:rPr>
          <w:bCs/>
        </w:rPr>
        <w:t>the Bureau</w:t>
      </w:r>
      <w:r w:rsidRPr="00A50E80">
        <w:rPr>
          <w:bCs/>
        </w:rPr>
        <w:t xml:space="preserve"> used the rates from all 25 Verizon responses for this purpose with a Request Weight of 25</w:t>
      </w:r>
      <w:r>
        <w:t>.</w:t>
      </w:r>
    </w:p>
  </w:footnote>
  <w:footnote w:id="9">
    <w:p w:rsidR="003B6A26" w:rsidRDefault="003B6A26">
      <w:pPr>
        <w:pStyle w:val="FootnoteText"/>
      </w:pPr>
      <w:r>
        <w:rPr>
          <w:rStyle w:val="FootnoteReference"/>
        </w:rPr>
        <w:footnoteRef/>
      </w:r>
      <w:r>
        <w:t xml:space="preserve"> If the service provider FRNr is a Verizon service provider then the sum also includes all units in the full sample for </w:t>
      </w:r>
      <w:r>
        <w:rPr>
          <w:rFonts w:ascii="Calibri" w:hAnsi="Calibri" w:cs="Calibri"/>
          <w:color w:val="000000"/>
        </w:rPr>
        <w:t>Verizon Maryland Inc.</w:t>
      </w:r>
    </w:p>
  </w:footnote>
  <w:footnote w:id="10">
    <w:p w:rsidR="00FD63B8" w:rsidRDefault="00FD63B8">
      <w:pPr>
        <w:pStyle w:val="FootnoteText"/>
      </w:pPr>
      <w:r>
        <w:rPr>
          <w:rStyle w:val="FootnoteReference"/>
        </w:rPr>
        <w:footnoteRef/>
      </w:r>
      <w:r>
        <w:t xml:space="preserve"> The survey responses provided 1,450 rates within this download range. However, four of these rates exceeded $155 and were considered outliers. This is consistent with the 2014 URS Broadband analysis in which the maximum rate included in the regression analysis was $151.45.</w:t>
      </w:r>
    </w:p>
  </w:footnote>
  <w:footnote w:id="11">
    <w:p w:rsidR="00FD63B8" w:rsidRDefault="00FD63B8">
      <w:pPr>
        <w:pStyle w:val="FootnoteText"/>
      </w:pPr>
      <w:r>
        <w:rPr>
          <w:rStyle w:val="FootnoteReference"/>
        </w:rPr>
        <w:footnoteRef/>
      </w:r>
      <w:r>
        <w:t xml:space="preserve"> UI = 1 if usage allowance greater than or equal to 500 GB and 0 otherwise.</w:t>
      </w:r>
    </w:p>
  </w:footnote>
  <w:footnote w:id="12">
    <w:p w:rsidR="00FD63B8" w:rsidRDefault="00FD63B8">
      <w:pPr>
        <w:pStyle w:val="FootnoteText"/>
      </w:pPr>
      <w:r>
        <w:rPr>
          <w:rStyle w:val="FootnoteReference"/>
        </w:rPr>
        <w:footnoteRef/>
      </w:r>
      <w:r>
        <w:t xml:space="preserve"> A = 0 if usage allowance is greater than or equal to 500 GB and Log</w:t>
      </w:r>
      <w:r w:rsidRPr="007E2654">
        <w:rPr>
          <w:vertAlign w:val="subscript"/>
        </w:rPr>
        <w:t>10</w:t>
      </w:r>
      <w:r>
        <w:t>[usage allowance in GB] otherwise.</w:t>
      </w:r>
    </w:p>
  </w:footnote>
  <w:footnote w:id="13">
    <w:p w:rsidR="00BF244C" w:rsidRDefault="00BF244C" w:rsidP="00694FFE">
      <w:pPr>
        <w:pStyle w:val="CommentText"/>
      </w:pPr>
      <w:r>
        <w:rPr>
          <w:rStyle w:val="FootnoteReference"/>
        </w:rPr>
        <w:footnoteRef/>
      </w:r>
      <w:r>
        <w:t xml:space="preserve"> RWMSE is the square root of the weighted average of the square of observed rates minus average rate as defined by the average monthly rate equation.</w:t>
      </w:r>
    </w:p>
  </w:footnote>
  <w:footnote w:id="14">
    <w:p w:rsidR="003B6A26" w:rsidRDefault="003B6A26">
      <w:pPr>
        <w:pStyle w:val="FootnoteText"/>
      </w:pPr>
      <w:r>
        <w:rPr>
          <w:rStyle w:val="FootnoteReference"/>
        </w:rPr>
        <w:footnoteRef/>
      </w:r>
      <w:r>
        <w:t xml:space="preserve"> The difference in benchmarks between 2014 and 2015 for the 10 Mbps and 25 Mbps downstream service offerings is not statistically significant.</w:t>
      </w:r>
    </w:p>
  </w:footnote>
  <w:footnote w:id="15">
    <w:p w:rsidR="00FD63B8" w:rsidRDefault="00FD63B8" w:rsidP="00C527BB">
      <w:pPr>
        <w:pStyle w:val="FootnoteText"/>
      </w:pPr>
      <w:r>
        <w:rPr>
          <w:rStyle w:val="FootnoteReference"/>
        </w:rPr>
        <w:footnoteRef/>
      </w:r>
      <w:r>
        <w:t xml:space="preserve"> </w:t>
      </w:r>
      <w:r w:rsidRPr="002E4811">
        <w:rPr>
          <w:i/>
        </w:rPr>
        <w:t>See</w:t>
      </w:r>
      <w:r>
        <w:t xml:space="preserve"> </w:t>
      </w:r>
      <w:hyperlink r:id="rId1" w:anchor="plan=free" w:history="1">
        <w:r>
          <w:rPr>
            <w:rStyle w:val="Hyperlink"/>
          </w:rPr>
          <w:t>https://fiber.google.com/cities/kansascity/plans/#plan=free</w:t>
        </w:r>
      </w:hyperlink>
      <w:r w:rsidRPr="00D76D77">
        <w:t>.</w:t>
      </w:r>
    </w:p>
  </w:footnote>
  <w:footnote w:id="16">
    <w:p w:rsidR="00FD63B8" w:rsidRDefault="00FD63B8" w:rsidP="00610050">
      <w:pPr>
        <w:pStyle w:val="FootnoteText"/>
      </w:pPr>
      <w:r>
        <w:rPr>
          <w:rStyle w:val="FootnoteReference"/>
        </w:rPr>
        <w:footnoteRef/>
      </w:r>
      <w:r>
        <w:t xml:space="preserve"> </w:t>
      </w:r>
      <w:r w:rsidRPr="009B77ED">
        <w:rPr>
          <w:i/>
        </w:rPr>
        <w:t>See</w:t>
      </w:r>
      <w:r>
        <w:t xml:space="preserve"> </w:t>
      </w:r>
      <w:hyperlink r:id="rId2" w:history="1">
        <w:r w:rsidRPr="00D861AF">
          <w:rPr>
            <w:rStyle w:val="Hyperlink"/>
          </w:rPr>
          <w:t>http://ranchwireless.com/business-internet-plans/</w:t>
        </w:r>
      </w:hyperlink>
      <w:r>
        <w:t xml:space="preserve"> </w:t>
      </w:r>
    </w:p>
  </w:footnote>
  <w:footnote w:id="17">
    <w:p w:rsidR="00FD63B8" w:rsidRDefault="00FD63B8" w:rsidP="00610050">
      <w:pPr>
        <w:pStyle w:val="FootnoteText"/>
      </w:pPr>
      <w:r>
        <w:rPr>
          <w:rStyle w:val="FootnoteReference"/>
        </w:rPr>
        <w:footnoteRef/>
      </w:r>
      <w:r>
        <w:t xml:space="preserve"> </w:t>
      </w:r>
      <w:r w:rsidRPr="009B77ED">
        <w:rPr>
          <w:i/>
        </w:rPr>
        <w:t>See</w:t>
      </w:r>
      <w:r>
        <w:t xml:space="preserve"> </w:t>
      </w:r>
      <w:hyperlink r:id="rId3" w:history="1">
        <w:r w:rsidRPr="00D861AF">
          <w:rPr>
            <w:rStyle w:val="Hyperlink"/>
          </w:rPr>
          <w:t>http://ranchwireless.com/residential-internet-plans/</w:t>
        </w:r>
      </w:hyperlink>
    </w:p>
  </w:footnote>
  <w:footnote w:id="18">
    <w:p w:rsidR="00FD63B8" w:rsidRDefault="00FD63B8" w:rsidP="00610050">
      <w:pPr>
        <w:pStyle w:val="FootnoteText"/>
      </w:pPr>
      <w:r>
        <w:rPr>
          <w:rStyle w:val="FootnoteReference"/>
        </w:rPr>
        <w:footnoteRef/>
      </w:r>
      <w:r>
        <w:t xml:space="preserve"> </w:t>
      </w:r>
      <w:r w:rsidRPr="009B77ED">
        <w:rPr>
          <w:i/>
        </w:rPr>
        <w:t>See</w:t>
      </w:r>
      <w:r>
        <w:t xml:space="preserve"> </w:t>
      </w:r>
      <w:hyperlink r:id="rId4" w:history="1">
        <w:r w:rsidRPr="004A0D99">
          <w:rPr>
            <w:rStyle w:val="Hyperlink"/>
          </w:rPr>
          <w:t>http://armstrongonewire.com/business/zoom.aspx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09" w:rsidRDefault="005F3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09" w:rsidRDefault="005F3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09" w:rsidRDefault="005F3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236C"/>
    <w:multiLevelType w:val="hybridMultilevel"/>
    <w:tmpl w:val="5F1C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92921"/>
    <w:multiLevelType w:val="hybridMultilevel"/>
    <w:tmpl w:val="1CBA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21E6B"/>
    <w:multiLevelType w:val="hybridMultilevel"/>
    <w:tmpl w:val="51FA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E3C88"/>
    <w:multiLevelType w:val="hybridMultilevel"/>
    <w:tmpl w:val="F770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D2444"/>
    <w:multiLevelType w:val="hybridMultilevel"/>
    <w:tmpl w:val="E66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4074B"/>
    <w:multiLevelType w:val="hybridMultilevel"/>
    <w:tmpl w:val="6E34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C4199"/>
    <w:multiLevelType w:val="hybridMultilevel"/>
    <w:tmpl w:val="893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135AE"/>
    <w:multiLevelType w:val="hybridMultilevel"/>
    <w:tmpl w:val="1A5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14"/>
    <w:rsid w:val="00016BF7"/>
    <w:rsid w:val="0002452C"/>
    <w:rsid w:val="000274C3"/>
    <w:rsid w:val="00033998"/>
    <w:rsid w:val="00037E34"/>
    <w:rsid w:val="000472F9"/>
    <w:rsid w:val="000562C7"/>
    <w:rsid w:val="000605F8"/>
    <w:rsid w:val="000770C0"/>
    <w:rsid w:val="000A10CD"/>
    <w:rsid w:val="000A6751"/>
    <w:rsid w:val="000A68A2"/>
    <w:rsid w:val="000C1052"/>
    <w:rsid w:val="000C298D"/>
    <w:rsid w:val="000C4A09"/>
    <w:rsid w:val="000E21A3"/>
    <w:rsid w:val="00106F42"/>
    <w:rsid w:val="00114D7B"/>
    <w:rsid w:val="001263F2"/>
    <w:rsid w:val="001444C5"/>
    <w:rsid w:val="00147BBC"/>
    <w:rsid w:val="00153DE8"/>
    <w:rsid w:val="00172603"/>
    <w:rsid w:val="00192065"/>
    <w:rsid w:val="00195BCD"/>
    <w:rsid w:val="001A6BCD"/>
    <w:rsid w:val="001B0AD6"/>
    <w:rsid w:val="001B5609"/>
    <w:rsid w:val="001B609C"/>
    <w:rsid w:val="001D250C"/>
    <w:rsid w:val="001D40A5"/>
    <w:rsid w:val="001E5736"/>
    <w:rsid w:val="001E6012"/>
    <w:rsid w:val="0020097C"/>
    <w:rsid w:val="00201597"/>
    <w:rsid w:val="00214307"/>
    <w:rsid w:val="0021551C"/>
    <w:rsid w:val="00222453"/>
    <w:rsid w:val="00224E0D"/>
    <w:rsid w:val="00226B47"/>
    <w:rsid w:val="0023225F"/>
    <w:rsid w:val="00235820"/>
    <w:rsid w:val="00261A73"/>
    <w:rsid w:val="0027304E"/>
    <w:rsid w:val="0028303F"/>
    <w:rsid w:val="002C4DB5"/>
    <w:rsid w:val="002D3468"/>
    <w:rsid w:val="002D4AD7"/>
    <w:rsid w:val="002E4811"/>
    <w:rsid w:val="002E4DC0"/>
    <w:rsid w:val="002F1E1E"/>
    <w:rsid w:val="002F5132"/>
    <w:rsid w:val="002F722B"/>
    <w:rsid w:val="00304F2F"/>
    <w:rsid w:val="003207BD"/>
    <w:rsid w:val="00340181"/>
    <w:rsid w:val="003430BE"/>
    <w:rsid w:val="00347D1A"/>
    <w:rsid w:val="00362BB3"/>
    <w:rsid w:val="003668B7"/>
    <w:rsid w:val="00371245"/>
    <w:rsid w:val="0037206B"/>
    <w:rsid w:val="0037580B"/>
    <w:rsid w:val="00375E82"/>
    <w:rsid w:val="003768F8"/>
    <w:rsid w:val="003822FC"/>
    <w:rsid w:val="003844DD"/>
    <w:rsid w:val="00390A87"/>
    <w:rsid w:val="003922D6"/>
    <w:rsid w:val="003A7E04"/>
    <w:rsid w:val="003B075E"/>
    <w:rsid w:val="003B172E"/>
    <w:rsid w:val="003B30DF"/>
    <w:rsid w:val="003B6A26"/>
    <w:rsid w:val="003B7E5A"/>
    <w:rsid w:val="003E21A8"/>
    <w:rsid w:val="003F2927"/>
    <w:rsid w:val="003F67F1"/>
    <w:rsid w:val="00400740"/>
    <w:rsid w:val="00400D12"/>
    <w:rsid w:val="00405253"/>
    <w:rsid w:val="004076A7"/>
    <w:rsid w:val="004125C8"/>
    <w:rsid w:val="004160A1"/>
    <w:rsid w:val="00416AAF"/>
    <w:rsid w:val="00416B03"/>
    <w:rsid w:val="00430B95"/>
    <w:rsid w:val="0043161D"/>
    <w:rsid w:val="0043679F"/>
    <w:rsid w:val="004379F2"/>
    <w:rsid w:val="0044008C"/>
    <w:rsid w:val="00444564"/>
    <w:rsid w:val="00447AA6"/>
    <w:rsid w:val="0045009B"/>
    <w:rsid w:val="00452E89"/>
    <w:rsid w:val="00463BAC"/>
    <w:rsid w:val="0046563B"/>
    <w:rsid w:val="00467DD2"/>
    <w:rsid w:val="00477954"/>
    <w:rsid w:val="004840BF"/>
    <w:rsid w:val="004856E8"/>
    <w:rsid w:val="004860AE"/>
    <w:rsid w:val="00492F53"/>
    <w:rsid w:val="00493FC2"/>
    <w:rsid w:val="00496576"/>
    <w:rsid w:val="004967AE"/>
    <w:rsid w:val="004973C8"/>
    <w:rsid w:val="004B08C6"/>
    <w:rsid w:val="004B3335"/>
    <w:rsid w:val="004C14B3"/>
    <w:rsid w:val="004E1DE6"/>
    <w:rsid w:val="00504979"/>
    <w:rsid w:val="00520192"/>
    <w:rsid w:val="00544477"/>
    <w:rsid w:val="005459D5"/>
    <w:rsid w:val="005518E5"/>
    <w:rsid w:val="0055548C"/>
    <w:rsid w:val="00573DE2"/>
    <w:rsid w:val="00574074"/>
    <w:rsid w:val="00574EA8"/>
    <w:rsid w:val="00575E83"/>
    <w:rsid w:val="0058576A"/>
    <w:rsid w:val="005873BC"/>
    <w:rsid w:val="005958A1"/>
    <w:rsid w:val="005B135A"/>
    <w:rsid w:val="005B239B"/>
    <w:rsid w:val="005B5748"/>
    <w:rsid w:val="005B5F78"/>
    <w:rsid w:val="005C2567"/>
    <w:rsid w:val="005C491A"/>
    <w:rsid w:val="005D7563"/>
    <w:rsid w:val="005E5CBE"/>
    <w:rsid w:val="005E6427"/>
    <w:rsid w:val="005F2FDA"/>
    <w:rsid w:val="005F3D09"/>
    <w:rsid w:val="00604EBA"/>
    <w:rsid w:val="0060558E"/>
    <w:rsid w:val="006065CF"/>
    <w:rsid w:val="00610050"/>
    <w:rsid w:val="00610B66"/>
    <w:rsid w:val="00612185"/>
    <w:rsid w:val="00613754"/>
    <w:rsid w:val="00623D05"/>
    <w:rsid w:val="0062510F"/>
    <w:rsid w:val="00633DE1"/>
    <w:rsid w:val="0063448D"/>
    <w:rsid w:val="006425C2"/>
    <w:rsid w:val="00657184"/>
    <w:rsid w:val="00657C1B"/>
    <w:rsid w:val="006603F4"/>
    <w:rsid w:val="00665847"/>
    <w:rsid w:val="00673DEE"/>
    <w:rsid w:val="0067686B"/>
    <w:rsid w:val="00681F52"/>
    <w:rsid w:val="00682835"/>
    <w:rsid w:val="00683E9B"/>
    <w:rsid w:val="00685091"/>
    <w:rsid w:val="00694E9F"/>
    <w:rsid w:val="00694FFE"/>
    <w:rsid w:val="006B6881"/>
    <w:rsid w:val="006B7B2F"/>
    <w:rsid w:val="006E48E4"/>
    <w:rsid w:val="006F3030"/>
    <w:rsid w:val="006F5C23"/>
    <w:rsid w:val="006F76E8"/>
    <w:rsid w:val="007120BB"/>
    <w:rsid w:val="0071365F"/>
    <w:rsid w:val="0071482A"/>
    <w:rsid w:val="00722E30"/>
    <w:rsid w:val="00724322"/>
    <w:rsid w:val="007412A9"/>
    <w:rsid w:val="0075023C"/>
    <w:rsid w:val="00752DFD"/>
    <w:rsid w:val="0075503F"/>
    <w:rsid w:val="007664FD"/>
    <w:rsid w:val="00771171"/>
    <w:rsid w:val="00774317"/>
    <w:rsid w:val="007943EE"/>
    <w:rsid w:val="0079749E"/>
    <w:rsid w:val="007A72B1"/>
    <w:rsid w:val="007B0333"/>
    <w:rsid w:val="007B0A30"/>
    <w:rsid w:val="007B0C61"/>
    <w:rsid w:val="007B0D19"/>
    <w:rsid w:val="007B3DF2"/>
    <w:rsid w:val="007B3F15"/>
    <w:rsid w:val="007B5E2D"/>
    <w:rsid w:val="007B5F0A"/>
    <w:rsid w:val="007D66B3"/>
    <w:rsid w:val="007D691D"/>
    <w:rsid w:val="007E2654"/>
    <w:rsid w:val="007E5815"/>
    <w:rsid w:val="00800B0E"/>
    <w:rsid w:val="00801898"/>
    <w:rsid w:val="00813BFA"/>
    <w:rsid w:val="00814F97"/>
    <w:rsid w:val="008164A4"/>
    <w:rsid w:val="00821E26"/>
    <w:rsid w:val="00836898"/>
    <w:rsid w:val="008372FF"/>
    <w:rsid w:val="00837F73"/>
    <w:rsid w:val="00842203"/>
    <w:rsid w:val="008438A7"/>
    <w:rsid w:val="00847396"/>
    <w:rsid w:val="008539F4"/>
    <w:rsid w:val="00853AC0"/>
    <w:rsid w:val="008560AA"/>
    <w:rsid w:val="00863060"/>
    <w:rsid w:val="008673EF"/>
    <w:rsid w:val="008679B3"/>
    <w:rsid w:val="0087311E"/>
    <w:rsid w:val="00874CC8"/>
    <w:rsid w:val="00897C63"/>
    <w:rsid w:val="008A1981"/>
    <w:rsid w:val="008A2D80"/>
    <w:rsid w:val="008A404D"/>
    <w:rsid w:val="008A42A8"/>
    <w:rsid w:val="008A54BB"/>
    <w:rsid w:val="008B506C"/>
    <w:rsid w:val="008C0AEB"/>
    <w:rsid w:val="008C0DE1"/>
    <w:rsid w:val="008D6D68"/>
    <w:rsid w:val="008E0458"/>
    <w:rsid w:val="008E051D"/>
    <w:rsid w:val="0090298C"/>
    <w:rsid w:val="0090435D"/>
    <w:rsid w:val="00904531"/>
    <w:rsid w:val="00906A48"/>
    <w:rsid w:val="009107EC"/>
    <w:rsid w:val="00920F0A"/>
    <w:rsid w:val="009227E6"/>
    <w:rsid w:val="00935454"/>
    <w:rsid w:val="009375D9"/>
    <w:rsid w:val="009418A8"/>
    <w:rsid w:val="00944BEE"/>
    <w:rsid w:val="00957CBA"/>
    <w:rsid w:val="00963CBB"/>
    <w:rsid w:val="00981D15"/>
    <w:rsid w:val="0098227B"/>
    <w:rsid w:val="00985EBE"/>
    <w:rsid w:val="009A1240"/>
    <w:rsid w:val="009A1AFE"/>
    <w:rsid w:val="009A2EFF"/>
    <w:rsid w:val="009A7F18"/>
    <w:rsid w:val="009B13AD"/>
    <w:rsid w:val="009B5293"/>
    <w:rsid w:val="009B60F0"/>
    <w:rsid w:val="009C111C"/>
    <w:rsid w:val="009D14F1"/>
    <w:rsid w:val="009D3AFB"/>
    <w:rsid w:val="009D5D6C"/>
    <w:rsid w:val="00A00A9E"/>
    <w:rsid w:val="00A014A5"/>
    <w:rsid w:val="00A13F16"/>
    <w:rsid w:val="00A1665E"/>
    <w:rsid w:val="00A17B0A"/>
    <w:rsid w:val="00A225DA"/>
    <w:rsid w:val="00A26DB6"/>
    <w:rsid w:val="00A27A2C"/>
    <w:rsid w:val="00A3370B"/>
    <w:rsid w:val="00A407DC"/>
    <w:rsid w:val="00A4154B"/>
    <w:rsid w:val="00A43B33"/>
    <w:rsid w:val="00A55C8D"/>
    <w:rsid w:val="00A56B64"/>
    <w:rsid w:val="00A60A8B"/>
    <w:rsid w:val="00A61E00"/>
    <w:rsid w:val="00A625CD"/>
    <w:rsid w:val="00A62F7F"/>
    <w:rsid w:val="00A64646"/>
    <w:rsid w:val="00A657EA"/>
    <w:rsid w:val="00A66C87"/>
    <w:rsid w:val="00A679F3"/>
    <w:rsid w:val="00A743CE"/>
    <w:rsid w:val="00A82091"/>
    <w:rsid w:val="00A90297"/>
    <w:rsid w:val="00A9134F"/>
    <w:rsid w:val="00A91587"/>
    <w:rsid w:val="00AA052A"/>
    <w:rsid w:val="00AA3138"/>
    <w:rsid w:val="00AA6B9F"/>
    <w:rsid w:val="00AB4ECD"/>
    <w:rsid w:val="00AB5D24"/>
    <w:rsid w:val="00AB704A"/>
    <w:rsid w:val="00AC2267"/>
    <w:rsid w:val="00AD389E"/>
    <w:rsid w:val="00AF2DC0"/>
    <w:rsid w:val="00AF6E7E"/>
    <w:rsid w:val="00B00267"/>
    <w:rsid w:val="00B005FE"/>
    <w:rsid w:val="00B021FC"/>
    <w:rsid w:val="00B05025"/>
    <w:rsid w:val="00B110D0"/>
    <w:rsid w:val="00B21A3A"/>
    <w:rsid w:val="00B22A14"/>
    <w:rsid w:val="00B460B4"/>
    <w:rsid w:val="00B46BF5"/>
    <w:rsid w:val="00B4779A"/>
    <w:rsid w:val="00B53BBB"/>
    <w:rsid w:val="00B54BBA"/>
    <w:rsid w:val="00B6066A"/>
    <w:rsid w:val="00B67A08"/>
    <w:rsid w:val="00B71BCA"/>
    <w:rsid w:val="00B865ED"/>
    <w:rsid w:val="00BA4544"/>
    <w:rsid w:val="00BA4D7F"/>
    <w:rsid w:val="00BA58D8"/>
    <w:rsid w:val="00BB1E99"/>
    <w:rsid w:val="00BB7513"/>
    <w:rsid w:val="00BB7DA1"/>
    <w:rsid w:val="00BC636E"/>
    <w:rsid w:val="00BF244C"/>
    <w:rsid w:val="00C0214D"/>
    <w:rsid w:val="00C05FF6"/>
    <w:rsid w:val="00C11F26"/>
    <w:rsid w:val="00C2676D"/>
    <w:rsid w:val="00C50216"/>
    <w:rsid w:val="00C527BB"/>
    <w:rsid w:val="00C61720"/>
    <w:rsid w:val="00C82668"/>
    <w:rsid w:val="00C844DF"/>
    <w:rsid w:val="00C86314"/>
    <w:rsid w:val="00C879E8"/>
    <w:rsid w:val="00C9148A"/>
    <w:rsid w:val="00C97754"/>
    <w:rsid w:val="00CA4820"/>
    <w:rsid w:val="00CB0523"/>
    <w:rsid w:val="00CB56DF"/>
    <w:rsid w:val="00CC6159"/>
    <w:rsid w:val="00CD334A"/>
    <w:rsid w:val="00CD5B83"/>
    <w:rsid w:val="00CE1680"/>
    <w:rsid w:val="00CE3A0D"/>
    <w:rsid w:val="00CF2034"/>
    <w:rsid w:val="00CF7646"/>
    <w:rsid w:val="00D10016"/>
    <w:rsid w:val="00D10C2E"/>
    <w:rsid w:val="00D167DC"/>
    <w:rsid w:val="00D24068"/>
    <w:rsid w:val="00D3003C"/>
    <w:rsid w:val="00D321C0"/>
    <w:rsid w:val="00D33C7A"/>
    <w:rsid w:val="00D35596"/>
    <w:rsid w:val="00D45195"/>
    <w:rsid w:val="00D720F6"/>
    <w:rsid w:val="00D749CD"/>
    <w:rsid w:val="00D76D77"/>
    <w:rsid w:val="00D819EF"/>
    <w:rsid w:val="00D823B3"/>
    <w:rsid w:val="00D96466"/>
    <w:rsid w:val="00DA0325"/>
    <w:rsid w:val="00DA0DF6"/>
    <w:rsid w:val="00DA6F70"/>
    <w:rsid w:val="00DB1A98"/>
    <w:rsid w:val="00DB2A26"/>
    <w:rsid w:val="00DB7EBF"/>
    <w:rsid w:val="00DC5F72"/>
    <w:rsid w:val="00DD2625"/>
    <w:rsid w:val="00DD41DB"/>
    <w:rsid w:val="00DD5215"/>
    <w:rsid w:val="00DE102F"/>
    <w:rsid w:val="00DE7B3C"/>
    <w:rsid w:val="00DF41D3"/>
    <w:rsid w:val="00DF6D2C"/>
    <w:rsid w:val="00E0007E"/>
    <w:rsid w:val="00E05236"/>
    <w:rsid w:val="00E07EA2"/>
    <w:rsid w:val="00E120B4"/>
    <w:rsid w:val="00E16530"/>
    <w:rsid w:val="00E207EE"/>
    <w:rsid w:val="00E361BF"/>
    <w:rsid w:val="00E366D1"/>
    <w:rsid w:val="00E455A5"/>
    <w:rsid w:val="00E47FF1"/>
    <w:rsid w:val="00E71A44"/>
    <w:rsid w:val="00E846B5"/>
    <w:rsid w:val="00E95D08"/>
    <w:rsid w:val="00E96170"/>
    <w:rsid w:val="00EA222B"/>
    <w:rsid w:val="00EA32EE"/>
    <w:rsid w:val="00EA6DCA"/>
    <w:rsid w:val="00EC497B"/>
    <w:rsid w:val="00EE23FA"/>
    <w:rsid w:val="00EF0405"/>
    <w:rsid w:val="00EF0E5E"/>
    <w:rsid w:val="00EF6952"/>
    <w:rsid w:val="00F24713"/>
    <w:rsid w:val="00F258F6"/>
    <w:rsid w:val="00F278AF"/>
    <w:rsid w:val="00F365ED"/>
    <w:rsid w:val="00F43C2B"/>
    <w:rsid w:val="00F43E02"/>
    <w:rsid w:val="00F459D7"/>
    <w:rsid w:val="00F4751D"/>
    <w:rsid w:val="00F4789A"/>
    <w:rsid w:val="00F50FB7"/>
    <w:rsid w:val="00F53B66"/>
    <w:rsid w:val="00F60C32"/>
    <w:rsid w:val="00F701F9"/>
    <w:rsid w:val="00F7483F"/>
    <w:rsid w:val="00F8416E"/>
    <w:rsid w:val="00F9152D"/>
    <w:rsid w:val="00F93BDA"/>
    <w:rsid w:val="00FA4AE0"/>
    <w:rsid w:val="00FA5754"/>
    <w:rsid w:val="00FB08E4"/>
    <w:rsid w:val="00FB216A"/>
    <w:rsid w:val="00FB23F9"/>
    <w:rsid w:val="00FB67F3"/>
    <w:rsid w:val="00FB6FB7"/>
    <w:rsid w:val="00FC2114"/>
    <w:rsid w:val="00FC35DA"/>
    <w:rsid w:val="00FC4EC1"/>
    <w:rsid w:val="00FC7998"/>
    <w:rsid w:val="00FD63B8"/>
    <w:rsid w:val="00FE0A29"/>
    <w:rsid w:val="00FF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30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060"/>
    <w:rPr>
      <w:sz w:val="20"/>
      <w:szCs w:val="20"/>
    </w:rPr>
  </w:style>
  <w:style w:type="character" w:styleId="EndnoteReference">
    <w:name w:val="endnote reference"/>
    <w:basedOn w:val="DefaultParagraphFont"/>
    <w:uiPriority w:val="99"/>
    <w:semiHidden/>
    <w:unhideWhenUsed/>
    <w:rsid w:val="00863060"/>
    <w:rPr>
      <w:vertAlign w:val="superscript"/>
    </w:rPr>
  </w:style>
  <w:style w:type="paragraph" w:styleId="BalloonText">
    <w:name w:val="Balloon Text"/>
    <w:basedOn w:val="Normal"/>
    <w:link w:val="BalloonTextChar"/>
    <w:uiPriority w:val="99"/>
    <w:semiHidden/>
    <w:unhideWhenUsed/>
    <w:rsid w:val="00F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EC1"/>
    <w:rPr>
      <w:rFonts w:ascii="Tahoma" w:hAnsi="Tahoma" w:cs="Tahoma"/>
      <w:sz w:val="16"/>
      <w:szCs w:val="16"/>
    </w:rPr>
  </w:style>
  <w:style w:type="paragraph" w:styleId="ListParagraph">
    <w:name w:val="List Paragraph"/>
    <w:basedOn w:val="Normal"/>
    <w:uiPriority w:val="34"/>
    <w:qFormat/>
    <w:rsid w:val="00F701F9"/>
    <w:pPr>
      <w:ind w:left="720"/>
      <w:contextualSpacing/>
    </w:pPr>
  </w:style>
  <w:style w:type="paragraph" w:styleId="Header">
    <w:name w:val="header"/>
    <w:basedOn w:val="Normal"/>
    <w:link w:val="HeaderChar"/>
    <w:uiPriority w:val="99"/>
    <w:unhideWhenUsed/>
    <w:rsid w:val="00F43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2B"/>
  </w:style>
  <w:style w:type="paragraph" w:styleId="Footer">
    <w:name w:val="footer"/>
    <w:basedOn w:val="Normal"/>
    <w:link w:val="FooterChar"/>
    <w:uiPriority w:val="99"/>
    <w:unhideWhenUsed/>
    <w:rsid w:val="00F43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2B"/>
  </w:style>
  <w:style w:type="character" w:customStyle="1" w:styleId="MathematicaFormatStandardForm">
    <w:name w:val="MathematicaFormatStandardForm"/>
    <w:uiPriority w:val="99"/>
    <w:rsid w:val="004076A7"/>
    <w:rPr>
      <w:rFonts w:ascii="Courier" w:hAnsi="Courier" w:cs="Courier"/>
    </w:rPr>
  </w:style>
  <w:style w:type="paragraph" w:styleId="FootnoteText">
    <w:name w:val="footnote text"/>
    <w:basedOn w:val="Normal"/>
    <w:link w:val="FootnoteTextChar"/>
    <w:uiPriority w:val="99"/>
    <w:semiHidden/>
    <w:unhideWhenUsed/>
    <w:rsid w:val="00755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03F"/>
    <w:rPr>
      <w:sz w:val="20"/>
      <w:szCs w:val="20"/>
    </w:rPr>
  </w:style>
  <w:style w:type="character" w:styleId="FootnoteReference">
    <w:name w:val="footnote reference"/>
    <w:basedOn w:val="DefaultParagraphFont"/>
    <w:uiPriority w:val="99"/>
    <w:semiHidden/>
    <w:unhideWhenUsed/>
    <w:rsid w:val="0075503F"/>
    <w:rPr>
      <w:vertAlign w:val="superscript"/>
    </w:rPr>
  </w:style>
  <w:style w:type="table" w:styleId="TableGrid">
    <w:name w:val="Table Grid"/>
    <w:basedOn w:val="TableNormal"/>
    <w:uiPriority w:val="59"/>
    <w:rsid w:val="0083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6D77"/>
    <w:rPr>
      <w:color w:val="0000FF"/>
      <w:u w:val="single"/>
    </w:rPr>
  </w:style>
  <w:style w:type="character" w:styleId="FollowedHyperlink">
    <w:name w:val="FollowedHyperlink"/>
    <w:basedOn w:val="DefaultParagraphFont"/>
    <w:uiPriority w:val="99"/>
    <w:semiHidden/>
    <w:unhideWhenUsed/>
    <w:rsid w:val="00D76D77"/>
    <w:rPr>
      <w:color w:val="800080" w:themeColor="followedHyperlink"/>
      <w:u w:val="single"/>
    </w:rPr>
  </w:style>
  <w:style w:type="character" w:styleId="CommentReference">
    <w:name w:val="annotation reference"/>
    <w:basedOn w:val="DefaultParagraphFont"/>
    <w:uiPriority w:val="99"/>
    <w:semiHidden/>
    <w:unhideWhenUsed/>
    <w:rsid w:val="007E5815"/>
    <w:rPr>
      <w:sz w:val="16"/>
      <w:szCs w:val="16"/>
    </w:rPr>
  </w:style>
  <w:style w:type="paragraph" w:styleId="CommentText">
    <w:name w:val="annotation text"/>
    <w:basedOn w:val="Normal"/>
    <w:link w:val="CommentTextChar"/>
    <w:uiPriority w:val="99"/>
    <w:unhideWhenUsed/>
    <w:rsid w:val="007E5815"/>
    <w:pPr>
      <w:spacing w:line="240" w:lineRule="auto"/>
    </w:pPr>
    <w:rPr>
      <w:sz w:val="20"/>
      <w:szCs w:val="20"/>
    </w:rPr>
  </w:style>
  <w:style w:type="character" w:customStyle="1" w:styleId="CommentTextChar">
    <w:name w:val="Comment Text Char"/>
    <w:basedOn w:val="DefaultParagraphFont"/>
    <w:link w:val="CommentText"/>
    <w:uiPriority w:val="99"/>
    <w:rsid w:val="007E5815"/>
    <w:rPr>
      <w:sz w:val="20"/>
      <w:szCs w:val="20"/>
    </w:rPr>
  </w:style>
  <w:style w:type="paragraph" w:styleId="CommentSubject">
    <w:name w:val="annotation subject"/>
    <w:basedOn w:val="CommentText"/>
    <w:next w:val="CommentText"/>
    <w:link w:val="CommentSubjectChar"/>
    <w:uiPriority w:val="99"/>
    <w:semiHidden/>
    <w:unhideWhenUsed/>
    <w:rsid w:val="007E5815"/>
    <w:rPr>
      <w:b/>
      <w:bCs/>
    </w:rPr>
  </w:style>
  <w:style w:type="character" w:customStyle="1" w:styleId="CommentSubjectChar">
    <w:name w:val="Comment Subject Char"/>
    <w:basedOn w:val="CommentTextChar"/>
    <w:link w:val="CommentSubject"/>
    <w:uiPriority w:val="99"/>
    <w:semiHidden/>
    <w:rsid w:val="007E58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30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060"/>
    <w:rPr>
      <w:sz w:val="20"/>
      <w:szCs w:val="20"/>
    </w:rPr>
  </w:style>
  <w:style w:type="character" w:styleId="EndnoteReference">
    <w:name w:val="endnote reference"/>
    <w:basedOn w:val="DefaultParagraphFont"/>
    <w:uiPriority w:val="99"/>
    <w:semiHidden/>
    <w:unhideWhenUsed/>
    <w:rsid w:val="00863060"/>
    <w:rPr>
      <w:vertAlign w:val="superscript"/>
    </w:rPr>
  </w:style>
  <w:style w:type="paragraph" w:styleId="BalloonText">
    <w:name w:val="Balloon Text"/>
    <w:basedOn w:val="Normal"/>
    <w:link w:val="BalloonTextChar"/>
    <w:uiPriority w:val="99"/>
    <w:semiHidden/>
    <w:unhideWhenUsed/>
    <w:rsid w:val="00F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EC1"/>
    <w:rPr>
      <w:rFonts w:ascii="Tahoma" w:hAnsi="Tahoma" w:cs="Tahoma"/>
      <w:sz w:val="16"/>
      <w:szCs w:val="16"/>
    </w:rPr>
  </w:style>
  <w:style w:type="paragraph" w:styleId="ListParagraph">
    <w:name w:val="List Paragraph"/>
    <w:basedOn w:val="Normal"/>
    <w:uiPriority w:val="34"/>
    <w:qFormat/>
    <w:rsid w:val="00F701F9"/>
    <w:pPr>
      <w:ind w:left="720"/>
      <w:contextualSpacing/>
    </w:pPr>
  </w:style>
  <w:style w:type="paragraph" w:styleId="Header">
    <w:name w:val="header"/>
    <w:basedOn w:val="Normal"/>
    <w:link w:val="HeaderChar"/>
    <w:uiPriority w:val="99"/>
    <w:unhideWhenUsed/>
    <w:rsid w:val="00F43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2B"/>
  </w:style>
  <w:style w:type="paragraph" w:styleId="Footer">
    <w:name w:val="footer"/>
    <w:basedOn w:val="Normal"/>
    <w:link w:val="FooterChar"/>
    <w:uiPriority w:val="99"/>
    <w:unhideWhenUsed/>
    <w:rsid w:val="00F43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2B"/>
  </w:style>
  <w:style w:type="character" w:customStyle="1" w:styleId="MathematicaFormatStandardForm">
    <w:name w:val="MathematicaFormatStandardForm"/>
    <w:uiPriority w:val="99"/>
    <w:rsid w:val="004076A7"/>
    <w:rPr>
      <w:rFonts w:ascii="Courier" w:hAnsi="Courier" w:cs="Courier"/>
    </w:rPr>
  </w:style>
  <w:style w:type="paragraph" w:styleId="FootnoteText">
    <w:name w:val="footnote text"/>
    <w:basedOn w:val="Normal"/>
    <w:link w:val="FootnoteTextChar"/>
    <w:uiPriority w:val="99"/>
    <w:semiHidden/>
    <w:unhideWhenUsed/>
    <w:rsid w:val="00755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03F"/>
    <w:rPr>
      <w:sz w:val="20"/>
      <w:szCs w:val="20"/>
    </w:rPr>
  </w:style>
  <w:style w:type="character" w:styleId="FootnoteReference">
    <w:name w:val="footnote reference"/>
    <w:basedOn w:val="DefaultParagraphFont"/>
    <w:uiPriority w:val="99"/>
    <w:semiHidden/>
    <w:unhideWhenUsed/>
    <w:rsid w:val="0075503F"/>
    <w:rPr>
      <w:vertAlign w:val="superscript"/>
    </w:rPr>
  </w:style>
  <w:style w:type="table" w:styleId="TableGrid">
    <w:name w:val="Table Grid"/>
    <w:basedOn w:val="TableNormal"/>
    <w:uiPriority w:val="59"/>
    <w:rsid w:val="0083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6D77"/>
    <w:rPr>
      <w:color w:val="0000FF"/>
      <w:u w:val="single"/>
    </w:rPr>
  </w:style>
  <w:style w:type="character" w:styleId="FollowedHyperlink">
    <w:name w:val="FollowedHyperlink"/>
    <w:basedOn w:val="DefaultParagraphFont"/>
    <w:uiPriority w:val="99"/>
    <w:semiHidden/>
    <w:unhideWhenUsed/>
    <w:rsid w:val="00D76D77"/>
    <w:rPr>
      <w:color w:val="800080" w:themeColor="followedHyperlink"/>
      <w:u w:val="single"/>
    </w:rPr>
  </w:style>
  <w:style w:type="character" w:styleId="CommentReference">
    <w:name w:val="annotation reference"/>
    <w:basedOn w:val="DefaultParagraphFont"/>
    <w:uiPriority w:val="99"/>
    <w:semiHidden/>
    <w:unhideWhenUsed/>
    <w:rsid w:val="007E5815"/>
    <w:rPr>
      <w:sz w:val="16"/>
      <w:szCs w:val="16"/>
    </w:rPr>
  </w:style>
  <w:style w:type="paragraph" w:styleId="CommentText">
    <w:name w:val="annotation text"/>
    <w:basedOn w:val="Normal"/>
    <w:link w:val="CommentTextChar"/>
    <w:uiPriority w:val="99"/>
    <w:unhideWhenUsed/>
    <w:rsid w:val="007E5815"/>
    <w:pPr>
      <w:spacing w:line="240" w:lineRule="auto"/>
    </w:pPr>
    <w:rPr>
      <w:sz w:val="20"/>
      <w:szCs w:val="20"/>
    </w:rPr>
  </w:style>
  <w:style w:type="character" w:customStyle="1" w:styleId="CommentTextChar">
    <w:name w:val="Comment Text Char"/>
    <w:basedOn w:val="DefaultParagraphFont"/>
    <w:link w:val="CommentText"/>
    <w:uiPriority w:val="99"/>
    <w:rsid w:val="007E5815"/>
    <w:rPr>
      <w:sz w:val="20"/>
      <w:szCs w:val="20"/>
    </w:rPr>
  </w:style>
  <w:style w:type="paragraph" w:styleId="CommentSubject">
    <w:name w:val="annotation subject"/>
    <w:basedOn w:val="CommentText"/>
    <w:next w:val="CommentText"/>
    <w:link w:val="CommentSubjectChar"/>
    <w:uiPriority w:val="99"/>
    <w:semiHidden/>
    <w:unhideWhenUsed/>
    <w:rsid w:val="007E5815"/>
    <w:rPr>
      <w:b/>
      <w:bCs/>
    </w:rPr>
  </w:style>
  <w:style w:type="character" w:customStyle="1" w:styleId="CommentSubjectChar">
    <w:name w:val="Comment Subject Char"/>
    <w:basedOn w:val="CommentTextChar"/>
    <w:link w:val="CommentSubject"/>
    <w:uiPriority w:val="99"/>
    <w:semiHidden/>
    <w:rsid w:val="007E5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anchwireless.com/residential-internet-plans/" TargetMode="External"/><Relationship Id="rId2" Type="http://schemas.openxmlformats.org/officeDocument/2006/relationships/hyperlink" Target="http://ranchwireless.com/business-internet-plans/" TargetMode="External"/><Relationship Id="rId1" Type="http://schemas.openxmlformats.org/officeDocument/2006/relationships/hyperlink" Target="https://fiber.google.com/cities/kansascity/plans/" TargetMode="External"/><Relationship Id="rId4" Type="http://schemas.openxmlformats.org/officeDocument/2006/relationships/hyperlink" Target="http://armstrongonewire.com/business/zoo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2043</Words>
  <Characters>10644</Characters>
  <Application>Microsoft Office Word</Application>
  <DocSecurity>0</DocSecurity>
  <Lines>278</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2015-04-16T19:15:00Z</dcterms:created>
  <dcterms:modified xsi:type="dcterms:W3CDTF">2015-04-16T19:15:00Z</dcterms:modified>
  <cp:category> </cp:category>
  <cp:contentStatus> </cp:contentStatus>
</cp:coreProperties>
</file>