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50B" w:rsidRPr="00224E0D" w:rsidRDefault="00A4154B" w:rsidP="006B4D00">
      <w:pPr>
        <w:jc w:val="center"/>
        <w:rPr>
          <w:b/>
        </w:rPr>
      </w:pPr>
      <w:bookmarkStart w:id="0" w:name="_GoBack"/>
      <w:bookmarkEnd w:id="0"/>
      <w:r>
        <w:rPr>
          <w:b/>
        </w:rPr>
        <w:t>201</w:t>
      </w:r>
      <w:r w:rsidR="00270541">
        <w:rPr>
          <w:b/>
        </w:rPr>
        <w:t>5</w:t>
      </w:r>
      <w:r w:rsidR="000A68A2">
        <w:rPr>
          <w:b/>
        </w:rPr>
        <w:t xml:space="preserve"> </w:t>
      </w:r>
      <w:r w:rsidR="00C86314" w:rsidRPr="00224E0D">
        <w:rPr>
          <w:b/>
        </w:rPr>
        <w:t>Urban Rate Survey –</w:t>
      </w:r>
      <w:r>
        <w:rPr>
          <w:b/>
        </w:rPr>
        <w:t>Fixed Voice Service</w:t>
      </w:r>
      <w:r w:rsidR="006B4D00">
        <w:rPr>
          <w:b/>
        </w:rPr>
        <w:t xml:space="preserve"> </w:t>
      </w:r>
      <w:r w:rsidR="00ED5A8A">
        <w:rPr>
          <w:b/>
        </w:rPr>
        <w:t>Analysis</w:t>
      </w:r>
    </w:p>
    <w:p w:rsidR="00BC4199" w:rsidRPr="00BC4199" w:rsidRDefault="00BC4199" w:rsidP="00224E0D">
      <w:pPr>
        <w:rPr>
          <w:b/>
        </w:rPr>
      </w:pPr>
      <w:r w:rsidRPr="00BC4199">
        <w:rPr>
          <w:b/>
        </w:rPr>
        <w:t>Introduction</w:t>
      </w:r>
    </w:p>
    <w:p w:rsidR="00B476F9" w:rsidRDefault="00E74A50" w:rsidP="00224E0D">
      <w:r>
        <w:t>The form and content of the Urban Rate Survey for fixed voice services was adopted in an Order released in April 2013.</w:t>
      </w:r>
      <w:r>
        <w:rPr>
          <w:rStyle w:val="FootnoteReference"/>
        </w:rPr>
        <w:footnoteReference w:id="1"/>
      </w:r>
      <w:r w:rsidR="00B476F9">
        <w:t xml:space="preserve">  That Order concluded that the urban rate survey would be conducted from a statistically valid sample of fixed terrestrial voice providers drawn from 2010 Census urban areas and urban clusters within Metropolitan Statistical Areas.  </w:t>
      </w:r>
    </w:p>
    <w:p w:rsidR="000719FB" w:rsidRDefault="00BC4199" w:rsidP="00224E0D">
      <w:r w:rsidRPr="00BC4199">
        <w:t>The 201</w:t>
      </w:r>
      <w:r w:rsidR="00270541">
        <w:t>5</w:t>
      </w:r>
      <w:r w:rsidRPr="00BC4199">
        <w:t xml:space="preserve"> Urban Rate Survey (URS) received 338 responses with monthly rates from 69 different carriers offering fixed voice service in 306 different census tracts. </w:t>
      </w:r>
      <w:r w:rsidR="000719FB">
        <w:t xml:space="preserve"> As described more fully below, we estimate an </w:t>
      </w:r>
      <w:r>
        <w:t>urban average</w:t>
      </w:r>
      <w:r w:rsidRPr="00BC4199">
        <w:t xml:space="preserve"> monthly rate of $21.22 </w:t>
      </w:r>
      <w:r w:rsidR="000719FB">
        <w:t xml:space="preserve">for the rate floor, and a </w:t>
      </w:r>
      <w:r w:rsidR="00F575E1">
        <w:t xml:space="preserve">reasonable comparability benchmark </w:t>
      </w:r>
      <w:r w:rsidR="000719FB">
        <w:t>for fixed voice services of</w:t>
      </w:r>
      <w:r w:rsidR="00F575E1">
        <w:t xml:space="preserve"> </w:t>
      </w:r>
      <w:r w:rsidR="007068BC">
        <w:t>$47.</w:t>
      </w:r>
      <w:r w:rsidR="00A553A7">
        <w:t>4</w:t>
      </w:r>
      <w:r w:rsidR="00314EA8">
        <w:t>8</w:t>
      </w:r>
      <w:r w:rsidR="000719FB">
        <w:t xml:space="preserve">. </w:t>
      </w:r>
      <w:r w:rsidR="00F31ED2">
        <w:t xml:space="preserve"> </w:t>
      </w:r>
    </w:p>
    <w:p w:rsidR="00224E0D" w:rsidRDefault="00BA7FC9" w:rsidP="00224E0D">
      <w:pPr>
        <w:rPr>
          <w:b/>
        </w:rPr>
      </w:pPr>
      <w:r>
        <w:rPr>
          <w:b/>
        </w:rPr>
        <w:t>Sample Selection</w:t>
      </w:r>
    </w:p>
    <w:p w:rsidR="00B476F9" w:rsidRDefault="00C2772E" w:rsidP="00BA7FC9">
      <w:r>
        <w:t>Similar to the process used for the first URS, this year’s URS asked for voice service rates from a sample of service providers. To determine which voice providers to sample, the Wireline Competition Bureau (Bureau) relied on data collected via FCC Form 477. The Bureau used the U.S. Census Bureau’s definition of urban to determine what areas were eligible for the survey and then defined as the sample pool any fixed terrestrial voice service provider that operated in these areas.</w:t>
      </w:r>
      <w:r w:rsidR="0037216F">
        <w:t xml:space="preserve">  </w:t>
      </w:r>
    </w:p>
    <w:p w:rsidR="00BA7FC9" w:rsidRDefault="00BA7FC9" w:rsidP="00BA7FC9">
      <w:r>
        <w:t>The sample for the survey was divided into two strata:</w:t>
      </w:r>
      <w:r w:rsidR="0037216F">
        <w:t xml:space="preserve">  </w:t>
      </w:r>
      <w:r w:rsidR="00B476F9">
        <w:t>incumbent local exchange carriers (</w:t>
      </w:r>
      <w:r w:rsidR="0037216F" w:rsidRPr="0037216F">
        <w:t>ILECs</w:t>
      </w:r>
      <w:r w:rsidR="00B476F9">
        <w:t>)</w:t>
      </w:r>
      <w:r w:rsidR="0037216F" w:rsidRPr="0037216F">
        <w:t xml:space="preserve"> and non-</w:t>
      </w:r>
      <w:r w:rsidR="00B476F9">
        <w:t>incumbent local exchange carriers (non-</w:t>
      </w:r>
      <w:r w:rsidR="0037216F" w:rsidRPr="0037216F">
        <w:t>ILECs</w:t>
      </w:r>
      <w:r w:rsidR="00B476F9">
        <w:t>)</w:t>
      </w:r>
      <w:r w:rsidR="0037216F" w:rsidRPr="0037216F">
        <w:t>.</w:t>
      </w:r>
      <w:r w:rsidR="00E32118">
        <w:rPr>
          <w:rStyle w:val="FootnoteReference"/>
        </w:rPr>
        <w:footnoteReference w:id="2"/>
      </w:r>
      <w:r w:rsidR="0037216F" w:rsidRPr="0037216F">
        <w:t xml:space="preserve">  </w:t>
      </w:r>
      <w:r>
        <w:t>Both strata used a common frame for the selection of urban census tracts which</w:t>
      </w:r>
      <w:r w:rsidRPr="002D4AD7">
        <w:t xml:space="preserve"> listed 58,332 urban census tracts </w:t>
      </w:r>
      <w:r w:rsidR="00CD2C95">
        <w:t xml:space="preserve">(including the number of households) </w:t>
      </w:r>
      <w:r>
        <w:t>encompassing the</w:t>
      </w:r>
      <w:r w:rsidRPr="002D4AD7">
        <w:t xml:space="preserve"> 50 states</w:t>
      </w:r>
      <w:r>
        <w:t>, the District of Columbia,</w:t>
      </w:r>
      <w:r w:rsidRPr="002D4AD7">
        <w:t xml:space="preserve"> and Puerto Rico.</w:t>
      </w:r>
    </w:p>
    <w:p w:rsidR="00034136" w:rsidRDefault="00BA7FC9" w:rsidP="00034136">
      <w:r>
        <w:t>For each census tract in the ILEC and non-ILEC samples, the ZIP code area which most closely correspond</w:t>
      </w:r>
      <w:r w:rsidR="00B476F9">
        <w:t>ed</w:t>
      </w:r>
      <w:r>
        <w:t xml:space="preserve"> to the census tract was found and </w:t>
      </w:r>
      <w:r w:rsidR="00CE59C0">
        <w:t>compiled into a list of</w:t>
      </w:r>
      <w:r>
        <w:t xml:space="preserve"> 397 different ZIP codes for the 404 unique census tracts in the combined census tract sample.</w:t>
      </w:r>
      <w:r w:rsidR="003B1855">
        <w:rPr>
          <w:rStyle w:val="FootnoteReference"/>
        </w:rPr>
        <w:footnoteReference w:id="3"/>
      </w:r>
      <w:r>
        <w:t xml:space="preserve"> </w:t>
      </w:r>
      <w:r w:rsidR="003B1855">
        <w:t xml:space="preserve"> </w:t>
      </w:r>
      <w:r>
        <w:t xml:space="preserve">No ZIP code was identified with more than two census tracts. </w:t>
      </w:r>
      <w:r w:rsidR="0037216F">
        <w:t xml:space="preserve">The sampling process produced a set of </w:t>
      </w:r>
      <w:r>
        <w:t>255 unique (</w:t>
      </w:r>
      <w:r w:rsidR="005D7C7D">
        <w:t>census tract</w:t>
      </w:r>
      <w:r>
        <w:t xml:space="preserve">, </w:t>
      </w:r>
      <w:r w:rsidR="005D7C7D">
        <w:t xml:space="preserve">service </w:t>
      </w:r>
      <w:r w:rsidR="005D7C7D">
        <w:lastRenderedPageBreak/>
        <w:t>provider</w:t>
      </w:r>
      <w:r>
        <w:t>) pairs f</w:t>
      </w:r>
      <w:r w:rsidR="0037216F">
        <w:t>rom 24 different ILEC companies</w:t>
      </w:r>
      <w:r w:rsidR="00034136">
        <w:t>. The total voice sample (ILEC + non-ILEC strata combined) was limited to 500 (</w:t>
      </w:r>
      <w:r w:rsidR="006A6AF1">
        <w:t>C</w:t>
      </w:r>
      <w:r w:rsidR="00034136">
        <w:t xml:space="preserve">ensus tract, service provider) pairs to limit </w:t>
      </w:r>
      <w:r w:rsidR="006A6AF1">
        <w:t xml:space="preserve">the </w:t>
      </w:r>
      <w:r w:rsidR="00034136">
        <w:t>burden on respondents. Consequently, the non-ILEC stratum sample was reduced to 245 (</w:t>
      </w:r>
      <w:r w:rsidR="006A6AF1">
        <w:t>C</w:t>
      </w:r>
      <w:r w:rsidR="00034136">
        <w:t>ensus tract, service provider) pairs via random selection using the “RandomSample” function in Mathematica without weighting or replacement. This process produced a set of 245 unique (census tract, service provider) pairs from 81 different non-ILEC companies.</w:t>
      </w:r>
    </w:p>
    <w:p w:rsidR="00BA7FC9" w:rsidRDefault="00BA7FC9" w:rsidP="00224E0D"/>
    <w:p w:rsidR="0037216F" w:rsidRPr="0037216F" w:rsidRDefault="0037216F" w:rsidP="00224E0D">
      <w:pPr>
        <w:rPr>
          <w:b/>
        </w:rPr>
      </w:pPr>
      <w:r w:rsidRPr="0037216F">
        <w:rPr>
          <w:b/>
        </w:rPr>
        <w:t>Collection of Data</w:t>
      </w:r>
    </w:p>
    <w:p w:rsidR="0037216F" w:rsidRPr="00270541" w:rsidRDefault="00270541" w:rsidP="00224E0D">
      <w:r>
        <w:t xml:space="preserve">Notifications that a provider was selected to participate in the 2015 URS were sent via email to each selected provider’s FCC Form 477 contact person and certifying official on or around </w:t>
      </w:r>
      <w:r w:rsidRPr="00270541">
        <w:t xml:space="preserve">October 28, 2014.  Completed surveys </w:t>
      </w:r>
      <w:r>
        <w:t>were</w:t>
      </w:r>
      <w:r w:rsidRPr="00270541">
        <w:t xml:space="preserve"> due on </w:t>
      </w:r>
      <w:r w:rsidR="00242E5A">
        <w:t>December 17, 2014.</w:t>
      </w:r>
      <w:r w:rsidR="00880416">
        <w:t xml:space="preserve"> </w:t>
      </w:r>
      <w:r w:rsidR="00E63FDE">
        <w:t xml:space="preserve"> The same online survey instrument was used for the 2015 URS as </w:t>
      </w:r>
      <w:r w:rsidR="00B476F9">
        <w:t xml:space="preserve">previously </w:t>
      </w:r>
      <w:r w:rsidR="00E63FDE">
        <w:t>had been used for the 2014 URS.</w:t>
      </w:r>
      <w:r w:rsidR="00B476F9">
        <w:rPr>
          <w:rStyle w:val="FootnoteReference"/>
        </w:rPr>
        <w:footnoteReference w:id="4"/>
      </w:r>
      <w:r w:rsidR="00E63FDE">
        <w:t xml:space="preserve">  </w:t>
      </w:r>
    </w:p>
    <w:p w:rsidR="00BA7FC9" w:rsidRPr="00224E0D" w:rsidRDefault="00EC60AD" w:rsidP="00224E0D">
      <w:pPr>
        <w:rPr>
          <w:b/>
        </w:rPr>
      </w:pPr>
      <w:r>
        <w:rPr>
          <w:b/>
        </w:rPr>
        <w:t>Survey Response</w:t>
      </w:r>
    </w:p>
    <w:p w:rsidR="008A1F53" w:rsidRDefault="008A1F53" w:rsidP="00A1665E">
      <w:r>
        <w:t xml:space="preserve">The table below </w:t>
      </w:r>
      <w:r w:rsidR="008B4B6A">
        <w:t xml:space="preserve">shows </w:t>
      </w:r>
      <w:r>
        <w:t>the number of responses, the number of different service providers, and the number of different census tracts within each stratum for survey responses requested, received, and received with rate</w:t>
      </w:r>
      <w:r w:rsidR="00B476F9">
        <w:t>s</w:t>
      </w:r>
      <w:r>
        <w:t xml:space="preserve"> provided.</w:t>
      </w:r>
    </w:p>
    <w:tbl>
      <w:tblPr>
        <w:tblStyle w:val="TableGrid"/>
        <w:tblW w:w="0" w:type="auto"/>
        <w:jc w:val="center"/>
        <w:tblLook w:val="04A0" w:firstRow="1" w:lastRow="0" w:firstColumn="1" w:lastColumn="0" w:noHBand="0" w:noVBand="1"/>
      </w:tblPr>
      <w:tblGrid>
        <w:gridCol w:w="1818"/>
        <w:gridCol w:w="1818"/>
        <w:gridCol w:w="1440"/>
        <w:gridCol w:w="2070"/>
        <w:gridCol w:w="1800"/>
      </w:tblGrid>
      <w:tr w:rsidR="00DD3B2F" w:rsidTr="00DD3B2F">
        <w:trPr>
          <w:jc w:val="center"/>
        </w:trPr>
        <w:tc>
          <w:tcPr>
            <w:tcW w:w="1818" w:type="dxa"/>
            <w:tcBorders>
              <w:bottom w:val="double" w:sz="4" w:space="0" w:color="auto"/>
            </w:tcBorders>
          </w:tcPr>
          <w:p w:rsidR="00DD3B2F" w:rsidRDefault="00DD3B2F" w:rsidP="001B558F">
            <w:r>
              <w:t>Stratum</w:t>
            </w:r>
          </w:p>
        </w:tc>
        <w:tc>
          <w:tcPr>
            <w:tcW w:w="1818" w:type="dxa"/>
            <w:tcBorders>
              <w:bottom w:val="double" w:sz="4" w:space="0" w:color="auto"/>
            </w:tcBorders>
          </w:tcPr>
          <w:p w:rsidR="00DD3B2F" w:rsidRDefault="00A57A01" w:rsidP="001B558F">
            <w:r>
              <w:t xml:space="preserve">Survey </w:t>
            </w:r>
            <w:r w:rsidR="00DD3B2F">
              <w:t>Status</w:t>
            </w:r>
          </w:p>
        </w:tc>
        <w:tc>
          <w:tcPr>
            <w:tcW w:w="1440" w:type="dxa"/>
            <w:tcBorders>
              <w:bottom w:val="double" w:sz="4" w:space="0" w:color="auto"/>
            </w:tcBorders>
          </w:tcPr>
          <w:p w:rsidR="00DD3B2F" w:rsidRDefault="00DD3B2F" w:rsidP="001B558F">
            <w:pPr>
              <w:jc w:val="center"/>
            </w:pPr>
            <w:r>
              <w:t>Responses</w:t>
            </w:r>
          </w:p>
        </w:tc>
        <w:tc>
          <w:tcPr>
            <w:tcW w:w="2070" w:type="dxa"/>
            <w:tcBorders>
              <w:bottom w:val="double" w:sz="4" w:space="0" w:color="auto"/>
            </w:tcBorders>
          </w:tcPr>
          <w:p w:rsidR="00DD3B2F" w:rsidRDefault="00DD3B2F" w:rsidP="001B558F">
            <w:pPr>
              <w:jc w:val="center"/>
            </w:pPr>
            <w:r>
              <w:t>Service Providers</w:t>
            </w:r>
          </w:p>
        </w:tc>
        <w:tc>
          <w:tcPr>
            <w:tcW w:w="1800" w:type="dxa"/>
            <w:tcBorders>
              <w:bottom w:val="double" w:sz="4" w:space="0" w:color="auto"/>
            </w:tcBorders>
          </w:tcPr>
          <w:p w:rsidR="00DD3B2F" w:rsidRDefault="00DD3B2F" w:rsidP="001B558F">
            <w:pPr>
              <w:jc w:val="center"/>
            </w:pPr>
            <w:r>
              <w:t>Census Tracts</w:t>
            </w:r>
          </w:p>
        </w:tc>
      </w:tr>
      <w:tr w:rsidR="00DD3B2F" w:rsidTr="00DD3B2F">
        <w:trPr>
          <w:jc w:val="center"/>
        </w:trPr>
        <w:tc>
          <w:tcPr>
            <w:tcW w:w="1818" w:type="dxa"/>
            <w:vMerge w:val="restart"/>
            <w:tcBorders>
              <w:top w:val="double" w:sz="4" w:space="0" w:color="auto"/>
            </w:tcBorders>
            <w:vAlign w:val="center"/>
          </w:tcPr>
          <w:p w:rsidR="00DD3B2F" w:rsidRDefault="00DD3B2F" w:rsidP="00DD3B2F">
            <w:r>
              <w:t>ILEC</w:t>
            </w:r>
          </w:p>
        </w:tc>
        <w:tc>
          <w:tcPr>
            <w:tcW w:w="1818" w:type="dxa"/>
            <w:tcBorders>
              <w:top w:val="double" w:sz="4" w:space="0" w:color="auto"/>
            </w:tcBorders>
          </w:tcPr>
          <w:p w:rsidR="00DD3B2F" w:rsidRDefault="00DD3B2F" w:rsidP="001B558F">
            <w:r>
              <w:t>Requested</w:t>
            </w:r>
          </w:p>
        </w:tc>
        <w:tc>
          <w:tcPr>
            <w:tcW w:w="1440" w:type="dxa"/>
            <w:tcBorders>
              <w:top w:val="double" w:sz="4" w:space="0" w:color="auto"/>
            </w:tcBorders>
          </w:tcPr>
          <w:p w:rsidR="00DD3B2F" w:rsidRDefault="00DD3B2F" w:rsidP="001B558F">
            <w:pPr>
              <w:jc w:val="center"/>
            </w:pPr>
            <w:r>
              <w:t>255</w:t>
            </w:r>
          </w:p>
        </w:tc>
        <w:tc>
          <w:tcPr>
            <w:tcW w:w="2070" w:type="dxa"/>
            <w:tcBorders>
              <w:top w:val="double" w:sz="4" w:space="0" w:color="auto"/>
            </w:tcBorders>
          </w:tcPr>
          <w:p w:rsidR="00DD3B2F" w:rsidRDefault="00DD3B2F" w:rsidP="001B558F">
            <w:pPr>
              <w:jc w:val="center"/>
            </w:pPr>
            <w:r>
              <w:t>24</w:t>
            </w:r>
          </w:p>
        </w:tc>
        <w:tc>
          <w:tcPr>
            <w:tcW w:w="1800" w:type="dxa"/>
            <w:tcBorders>
              <w:top w:val="double" w:sz="4" w:space="0" w:color="auto"/>
            </w:tcBorders>
          </w:tcPr>
          <w:p w:rsidR="00DD3B2F" w:rsidRDefault="00DD3B2F" w:rsidP="001B558F">
            <w:pPr>
              <w:jc w:val="center"/>
            </w:pPr>
            <w:r>
              <w:t>135</w:t>
            </w:r>
          </w:p>
        </w:tc>
      </w:tr>
      <w:tr w:rsidR="00DD3B2F" w:rsidTr="00A02A6F">
        <w:trPr>
          <w:jc w:val="center"/>
        </w:trPr>
        <w:tc>
          <w:tcPr>
            <w:tcW w:w="1818" w:type="dxa"/>
            <w:vMerge/>
          </w:tcPr>
          <w:p w:rsidR="00DD3B2F" w:rsidRDefault="00DD3B2F" w:rsidP="001B558F"/>
        </w:tc>
        <w:tc>
          <w:tcPr>
            <w:tcW w:w="1818" w:type="dxa"/>
          </w:tcPr>
          <w:p w:rsidR="00DD3B2F" w:rsidRDefault="00DD3B2F" w:rsidP="001B558F">
            <w:r>
              <w:t>Received</w:t>
            </w:r>
          </w:p>
        </w:tc>
        <w:tc>
          <w:tcPr>
            <w:tcW w:w="1440" w:type="dxa"/>
          </w:tcPr>
          <w:p w:rsidR="00DD3B2F" w:rsidRDefault="00DD3B2F" w:rsidP="001B558F">
            <w:pPr>
              <w:jc w:val="center"/>
            </w:pPr>
            <w:r>
              <w:t>255</w:t>
            </w:r>
          </w:p>
        </w:tc>
        <w:tc>
          <w:tcPr>
            <w:tcW w:w="2070" w:type="dxa"/>
          </w:tcPr>
          <w:p w:rsidR="00DD3B2F" w:rsidRDefault="00DD3B2F" w:rsidP="001B558F">
            <w:pPr>
              <w:jc w:val="center"/>
            </w:pPr>
            <w:r>
              <w:t>24</w:t>
            </w:r>
          </w:p>
        </w:tc>
        <w:tc>
          <w:tcPr>
            <w:tcW w:w="1800" w:type="dxa"/>
          </w:tcPr>
          <w:p w:rsidR="00DD3B2F" w:rsidRDefault="00DD3B2F" w:rsidP="001B558F">
            <w:pPr>
              <w:jc w:val="center"/>
            </w:pPr>
            <w:r>
              <w:t>135</w:t>
            </w:r>
          </w:p>
        </w:tc>
      </w:tr>
      <w:tr w:rsidR="00DD3B2F" w:rsidTr="00DD3B2F">
        <w:trPr>
          <w:jc w:val="center"/>
        </w:trPr>
        <w:tc>
          <w:tcPr>
            <w:tcW w:w="1818" w:type="dxa"/>
            <w:vMerge/>
            <w:tcBorders>
              <w:bottom w:val="double" w:sz="4" w:space="0" w:color="auto"/>
            </w:tcBorders>
          </w:tcPr>
          <w:p w:rsidR="00DD3B2F" w:rsidRDefault="00DD3B2F" w:rsidP="001B558F"/>
        </w:tc>
        <w:tc>
          <w:tcPr>
            <w:tcW w:w="1818" w:type="dxa"/>
            <w:tcBorders>
              <w:bottom w:val="double" w:sz="4" w:space="0" w:color="auto"/>
            </w:tcBorders>
          </w:tcPr>
          <w:p w:rsidR="00DD3B2F" w:rsidRDefault="00DD3B2F" w:rsidP="001B558F">
            <w:r>
              <w:t>Rates Provided</w:t>
            </w:r>
          </w:p>
        </w:tc>
        <w:tc>
          <w:tcPr>
            <w:tcW w:w="1440" w:type="dxa"/>
            <w:tcBorders>
              <w:bottom w:val="double" w:sz="4" w:space="0" w:color="auto"/>
            </w:tcBorders>
          </w:tcPr>
          <w:p w:rsidR="00DD3B2F" w:rsidRDefault="00DD3B2F" w:rsidP="001B558F">
            <w:pPr>
              <w:jc w:val="center"/>
            </w:pPr>
            <w:r>
              <w:t>165</w:t>
            </w:r>
          </w:p>
        </w:tc>
        <w:tc>
          <w:tcPr>
            <w:tcW w:w="2070" w:type="dxa"/>
            <w:tcBorders>
              <w:bottom w:val="double" w:sz="4" w:space="0" w:color="auto"/>
            </w:tcBorders>
          </w:tcPr>
          <w:p w:rsidR="00DD3B2F" w:rsidRDefault="00DD3B2F" w:rsidP="001B558F">
            <w:pPr>
              <w:jc w:val="center"/>
            </w:pPr>
            <w:r>
              <w:t>23</w:t>
            </w:r>
          </w:p>
        </w:tc>
        <w:tc>
          <w:tcPr>
            <w:tcW w:w="1800" w:type="dxa"/>
            <w:tcBorders>
              <w:bottom w:val="double" w:sz="4" w:space="0" w:color="auto"/>
            </w:tcBorders>
          </w:tcPr>
          <w:p w:rsidR="00DD3B2F" w:rsidRDefault="00DD3B2F" w:rsidP="001B558F">
            <w:pPr>
              <w:jc w:val="center"/>
            </w:pPr>
            <w:r>
              <w:t>134</w:t>
            </w:r>
            <w:r w:rsidR="00192C3A">
              <w:rPr>
                <w:rStyle w:val="FootnoteReference"/>
              </w:rPr>
              <w:footnoteReference w:id="5"/>
            </w:r>
          </w:p>
        </w:tc>
      </w:tr>
      <w:tr w:rsidR="00DD3B2F" w:rsidTr="00DD3B2F">
        <w:trPr>
          <w:jc w:val="center"/>
        </w:trPr>
        <w:tc>
          <w:tcPr>
            <w:tcW w:w="1818" w:type="dxa"/>
            <w:vMerge w:val="restart"/>
            <w:tcBorders>
              <w:top w:val="double" w:sz="4" w:space="0" w:color="auto"/>
            </w:tcBorders>
            <w:vAlign w:val="center"/>
          </w:tcPr>
          <w:p w:rsidR="00DD3B2F" w:rsidRDefault="00DD3B2F" w:rsidP="00DD3B2F">
            <w:r>
              <w:t>Non-ILEC</w:t>
            </w:r>
          </w:p>
        </w:tc>
        <w:tc>
          <w:tcPr>
            <w:tcW w:w="1818" w:type="dxa"/>
            <w:tcBorders>
              <w:top w:val="double" w:sz="4" w:space="0" w:color="auto"/>
            </w:tcBorders>
          </w:tcPr>
          <w:p w:rsidR="00DD3B2F" w:rsidRDefault="00DD3B2F" w:rsidP="001B558F">
            <w:r>
              <w:t>Requested</w:t>
            </w:r>
          </w:p>
        </w:tc>
        <w:tc>
          <w:tcPr>
            <w:tcW w:w="1440" w:type="dxa"/>
            <w:tcBorders>
              <w:top w:val="double" w:sz="4" w:space="0" w:color="auto"/>
            </w:tcBorders>
          </w:tcPr>
          <w:p w:rsidR="00DD3B2F" w:rsidRDefault="00DD3B2F" w:rsidP="001B558F">
            <w:pPr>
              <w:jc w:val="center"/>
            </w:pPr>
            <w:r>
              <w:t>245</w:t>
            </w:r>
          </w:p>
        </w:tc>
        <w:tc>
          <w:tcPr>
            <w:tcW w:w="2070" w:type="dxa"/>
            <w:tcBorders>
              <w:top w:val="double" w:sz="4" w:space="0" w:color="auto"/>
            </w:tcBorders>
          </w:tcPr>
          <w:p w:rsidR="00DD3B2F" w:rsidRDefault="00DD3B2F" w:rsidP="001B558F">
            <w:pPr>
              <w:jc w:val="center"/>
            </w:pPr>
            <w:r>
              <w:t>81</w:t>
            </w:r>
          </w:p>
        </w:tc>
        <w:tc>
          <w:tcPr>
            <w:tcW w:w="1800" w:type="dxa"/>
            <w:tcBorders>
              <w:top w:val="double" w:sz="4" w:space="0" w:color="auto"/>
            </w:tcBorders>
          </w:tcPr>
          <w:p w:rsidR="00DD3B2F" w:rsidRDefault="00DD3B2F" w:rsidP="001B558F">
            <w:pPr>
              <w:jc w:val="center"/>
            </w:pPr>
            <w:r>
              <w:t>244</w:t>
            </w:r>
          </w:p>
        </w:tc>
      </w:tr>
      <w:tr w:rsidR="00DD3B2F" w:rsidTr="00DD3B2F">
        <w:trPr>
          <w:jc w:val="center"/>
        </w:trPr>
        <w:tc>
          <w:tcPr>
            <w:tcW w:w="1818" w:type="dxa"/>
            <w:vMerge/>
            <w:vAlign w:val="center"/>
          </w:tcPr>
          <w:p w:rsidR="00DD3B2F" w:rsidRDefault="00DD3B2F" w:rsidP="00DD3B2F"/>
        </w:tc>
        <w:tc>
          <w:tcPr>
            <w:tcW w:w="1818" w:type="dxa"/>
          </w:tcPr>
          <w:p w:rsidR="00DD3B2F" w:rsidRDefault="00DD3B2F" w:rsidP="001B558F">
            <w:r>
              <w:t>Received</w:t>
            </w:r>
          </w:p>
        </w:tc>
        <w:tc>
          <w:tcPr>
            <w:tcW w:w="1440" w:type="dxa"/>
          </w:tcPr>
          <w:p w:rsidR="00DD3B2F" w:rsidRDefault="00DD3B2F" w:rsidP="001B558F">
            <w:pPr>
              <w:jc w:val="center"/>
            </w:pPr>
            <w:r>
              <w:t>242</w:t>
            </w:r>
          </w:p>
        </w:tc>
        <w:tc>
          <w:tcPr>
            <w:tcW w:w="2070" w:type="dxa"/>
          </w:tcPr>
          <w:p w:rsidR="00DD3B2F" w:rsidRDefault="00DD3B2F" w:rsidP="001B558F">
            <w:pPr>
              <w:jc w:val="center"/>
            </w:pPr>
            <w:r>
              <w:t>78</w:t>
            </w:r>
          </w:p>
        </w:tc>
        <w:tc>
          <w:tcPr>
            <w:tcW w:w="1800" w:type="dxa"/>
          </w:tcPr>
          <w:p w:rsidR="00DD3B2F" w:rsidRDefault="00DD3B2F" w:rsidP="001B558F">
            <w:pPr>
              <w:jc w:val="center"/>
            </w:pPr>
            <w:r>
              <w:t>241</w:t>
            </w:r>
          </w:p>
        </w:tc>
      </w:tr>
      <w:tr w:rsidR="00DD3B2F" w:rsidTr="00DD3B2F">
        <w:trPr>
          <w:jc w:val="center"/>
        </w:trPr>
        <w:tc>
          <w:tcPr>
            <w:tcW w:w="1818" w:type="dxa"/>
            <w:vMerge/>
            <w:tcBorders>
              <w:bottom w:val="double" w:sz="4" w:space="0" w:color="auto"/>
            </w:tcBorders>
            <w:vAlign w:val="center"/>
          </w:tcPr>
          <w:p w:rsidR="00DD3B2F" w:rsidRDefault="00DD3B2F" w:rsidP="00DD3B2F"/>
        </w:tc>
        <w:tc>
          <w:tcPr>
            <w:tcW w:w="1818" w:type="dxa"/>
            <w:tcBorders>
              <w:bottom w:val="double" w:sz="4" w:space="0" w:color="auto"/>
            </w:tcBorders>
          </w:tcPr>
          <w:p w:rsidR="00DD3B2F" w:rsidRDefault="00DD3B2F" w:rsidP="001B558F">
            <w:r>
              <w:t>Rates Provided</w:t>
            </w:r>
          </w:p>
        </w:tc>
        <w:tc>
          <w:tcPr>
            <w:tcW w:w="1440" w:type="dxa"/>
            <w:tcBorders>
              <w:bottom w:val="double" w:sz="4" w:space="0" w:color="auto"/>
            </w:tcBorders>
          </w:tcPr>
          <w:p w:rsidR="00DD3B2F" w:rsidRDefault="00DD3B2F" w:rsidP="001B558F">
            <w:pPr>
              <w:jc w:val="center"/>
            </w:pPr>
            <w:r>
              <w:t>173</w:t>
            </w:r>
          </w:p>
        </w:tc>
        <w:tc>
          <w:tcPr>
            <w:tcW w:w="2070" w:type="dxa"/>
            <w:tcBorders>
              <w:bottom w:val="double" w:sz="4" w:space="0" w:color="auto"/>
            </w:tcBorders>
          </w:tcPr>
          <w:p w:rsidR="00DD3B2F" w:rsidRDefault="00DD3B2F" w:rsidP="001B558F">
            <w:pPr>
              <w:jc w:val="center"/>
            </w:pPr>
            <w:r>
              <w:t>47</w:t>
            </w:r>
          </w:p>
        </w:tc>
        <w:tc>
          <w:tcPr>
            <w:tcW w:w="1800" w:type="dxa"/>
            <w:tcBorders>
              <w:bottom w:val="double" w:sz="4" w:space="0" w:color="auto"/>
            </w:tcBorders>
          </w:tcPr>
          <w:p w:rsidR="00DD3B2F" w:rsidRDefault="00DD3B2F" w:rsidP="001B558F">
            <w:pPr>
              <w:jc w:val="center"/>
            </w:pPr>
            <w:r>
              <w:t>172</w:t>
            </w:r>
          </w:p>
        </w:tc>
      </w:tr>
      <w:tr w:rsidR="00DD3B2F" w:rsidTr="00DD3B2F">
        <w:trPr>
          <w:jc w:val="center"/>
        </w:trPr>
        <w:tc>
          <w:tcPr>
            <w:tcW w:w="1818" w:type="dxa"/>
            <w:vMerge w:val="restart"/>
            <w:tcBorders>
              <w:top w:val="double" w:sz="4" w:space="0" w:color="auto"/>
            </w:tcBorders>
            <w:vAlign w:val="center"/>
          </w:tcPr>
          <w:p w:rsidR="00DD3B2F" w:rsidRDefault="00DD3B2F" w:rsidP="00DD3B2F">
            <w:r>
              <w:t>All</w:t>
            </w:r>
          </w:p>
        </w:tc>
        <w:tc>
          <w:tcPr>
            <w:tcW w:w="1818" w:type="dxa"/>
            <w:tcBorders>
              <w:top w:val="double" w:sz="4" w:space="0" w:color="auto"/>
            </w:tcBorders>
          </w:tcPr>
          <w:p w:rsidR="00DD3B2F" w:rsidRDefault="00DD3B2F" w:rsidP="001B558F">
            <w:r>
              <w:t>Requested</w:t>
            </w:r>
          </w:p>
        </w:tc>
        <w:tc>
          <w:tcPr>
            <w:tcW w:w="1440" w:type="dxa"/>
            <w:tcBorders>
              <w:top w:val="double" w:sz="4" w:space="0" w:color="auto"/>
            </w:tcBorders>
          </w:tcPr>
          <w:p w:rsidR="00DD3B2F" w:rsidRDefault="00DD3B2F" w:rsidP="001B558F">
            <w:pPr>
              <w:jc w:val="center"/>
            </w:pPr>
            <w:r>
              <w:t>500</w:t>
            </w:r>
          </w:p>
        </w:tc>
        <w:tc>
          <w:tcPr>
            <w:tcW w:w="2070" w:type="dxa"/>
            <w:tcBorders>
              <w:top w:val="double" w:sz="4" w:space="0" w:color="auto"/>
            </w:tcBorders>
          </w:tcPr>
          <w:p w:rsidR="00DD3B2F" w:rsidRDefault="00DD3B2F" w:rsidP="001B558F">
            <w:pPr>
              <w:jc w:val="center"/>
            </w:pPr>
            <w:r>
              <w:t>103</w:t>
            </w:r>
          </w:p>
        </w:tc>
        <w:tc>
          <w:tcPr>
            <w:tcW w:w="1800" w:type="dxa"/>
            <w:tcBorders>
              <w:top w:val="double" w:sz="4" w:space="0" w:color="auto"/>
            </w:tcBorders>
          </w:tcPr>
          <w:p w:rsidR="00DD3B2F" w:rsidRDefault="00DD3B2F" w:rsidP="001B558F">
            <w:pPr>
              <w:jc w:val="center"/>
            </w:pPr>
            <w:r>
              <w:t>379</w:t>
            </w:r>
          </w:p>
        </w:tc>
      </w:tr>
      <w:tr w:rsidR="00DD3B2F" w:rsidTr="00A02A6F">
        <w:trPr>
          <w:jc w:val="center"/>
        </w:trPr>
        <w:tc>
          <w:tcPr>
            <w:tcW w:w="1818" w:type="dxa"/>
            <w:vMerge/>
          </w:tcPr>
          <w:p w:rsidR="00DD3B2F" w:rsidRDefault="00DD3B2F" w:rsidP="001B558F"/>
        </w:tc>
        <w:tc>
          <w:tcPr>
            <w:tcW w:w="1818" w:type="dxa"/>
          </w:tcPr>
          <w:p w:rsidR="00DD3B2F" w:rsidRDefault="00DD3B2F" w:rsidP="001B558F">
            <w:r>
              <w:t>Received</w:t>
            </w:r>
          </w:p>
        </w:tc>
        <w:tc>
          <w:tcPr>
            <w:tcW w:w="1440" w:type="dxa"/>
          </w:tcPr>
          <w:p w:rsidR="00DD3B2F" w:rsidRDefault="00DD3B2F" w:rsidP="001B558F">
            <w:pPr>
              <w:jc w:val="center"/>
            </w:pPr>
            <w:r>
              <w:t>497</w:t>
            </w:r>
          </w:p>
        </w:tc>
        <w:tc>
          <w:tcPr>
            <w:tcW w:w="2070" w:type="dxa"/>
          </w:tcPr>
          <w:p w:rsidR="00DD3B2F" w:rsidRDefault="00DD3B2F" w:rsidP="001B558F">
            <w:pPr>
              <w:jc w:val="center"/>
            </w:pPr>
            <w:r>
              <w:t>100</w:t>
            </w:r>
          </w:p>
        </w:tc>
        <w:tc>
          <w:tcPr>
            <w:tcW w:w="1800" w:type="dxa"/>
          </w:tcPr>
          <w:p w:rsidR="00DD3B2F" w:rsidRDefault="00DD3B2F" w:rsidP="001B558F">
            <w:pPr>
              <w:jc w:val="center"/>
            </w:pPr>
            <w:r>
              <w:t>376</w:t>
            </w:r>
          </w:p>
        </w:tc>
      </w:tr>
      <w:tr w:rsidR="00DD3B2F" w:rsidTr="00A02A6F">
        <w:trPr>
          <w:jc w:val="center"/>
        </w:trPr>
        <w:tc>
          <w:tcPr>
            <w:tcW w:w="1818" w:type="dxa"/>
            <w:vMerge/>
          </w:tcPr>
          <w:p w:rsidR="00DD3B2F" w:rsidRDefault="00DD3B2F" w:rsidP="001B558F"/>
        </w:tc>
        <w:tc>
          <w:tcPr>
            <w:tcW w:w="1818" w:type="dxa"/>
          </w:tcPr>
          <w:p w:rsidR="00DD3B2F" w:rsidRDefault="00DD3B2F" w:rsidP="001B558F">
            <w:r>
              <w:t>Rates Provided</w:t>
            </w:r>
          </w:p>
        </w:tc>
        <w:tc>
          <w:tcPr>
            <w:tcW w:w="1440" w:type="dxa"/>
          </w:tcPr>
          <w:p w:rsidR="00DD3B2F" w:rsidRDefault="00DD3B2F" w:rsidP="001B558F">
            <w:pPr>
              <w:jc w:val="center"/>
            </w:pPr>
            <w:r>
              <w:t>338</w:t>
            </w:r>
          </w:p>
        </w:tc>
        <w:tc>
          <w:tcPr>
            <w:tcW w:w="2070" w:type="dxa"/>
          </w:tcPr>
          <w:p w:rsidR="00DD3B2F" w:rsidRDefault="00DD3B2F" w:rsidP="001B558F">
            <w:pPr>
              <w:jc w:val="center"/>
            </w:pPr>
            <w:r>
              <w:t>69</w:t>
            </w:r>
          </w:p>
        </w:tc>
        <w:tc>
          <w:tcPr>
            <w:tcW w:w="1800" w:type="dxa"/>
          </w:tcPr>
          <w:p w:rsidR="00DD3B2F" w:rsidRDefault="00DD3B2F" w:rsidP="001B558F">
            <w:pPr>
              <w:jc w:val="center"/>
            </w:pPr>
            <w:r>
              <w:t>306</w:t>
            </w:r>
          </w:p>
        </w:tc>
      </w:tr>
    </w:tbl>
    <w:p w:rsidR="00DD3B2F" w:rsidRDefault="00DD3B2F" w:rsidP="00A1665E"/>
    <w:p w:rsidR="008372FF" w:rsidRDefault="008372FF" w:rsidP="00A1665E">
      <w:r>
        <w:t>Each response with service indicated whether each of the following service types was provided:</w:t>
      </w:r>
    </w:p>
    <w:p w:rsidR="008372FF" w:rsidRDefault="008372FF" w:rsidP="008372FF">
      <w:pPr>
        <w:pStyle w:val="ListParagraph"/>
        <w:numPr>
          <w:ilvl w:val="0"/>
          <w:numId w:val="4"/>
        </w:numPr>
      </w:pPr>
      <w:r w:rsidRPr="008372FF">
        <w:t>Unlimited or Flat-Rate Local Service</w:t>
      </w:r>
    </w:p>
    <w:p w:rsidR="008372FF" w:rsidRDefault="008372FF" w:rsidP="008372FF">
      <w:pPr>
        <w:pStyle w:val="ListParagraph"/>
        <w:numPr>
          <w:ilvl w:val="0"/>
          <w:numId w:val="4"/>
        </w:numPr>
      </w:pPr>
      <w:r w:rsidRPr="008372FF">
        <w:t>Unlimited All-Distance Service</w:t>
      </w:r>
    </w:p>
    <w:p w:rsidR="008372FF" w:rsidRDefault="008372FF" w:rsidP="008372FF">
      <w:pPr>
        <w:pStyle w:val="ListParagraph"/>
        <w:numPr>
          <w:ilvl w:val="0"/>
          <w:numId w:val="4"/>
        </w:numPr>
      </w:pPr>
      <w:r>
        <w:t>Measured or Messaged Local Voice S</w:t>
      </w:r>
      <w:r w:rsidRPr="008372FF">
        <w:t>ervice</w:t>
      </w:r>
    </w:p>
    <w:p w:rsidR="00E361BF" w:rsidRDefault="00E361BF" w:rsidP="00E361BF">
      <w:r>
        <w:t>Each response also indicated whether the service type was provided by circuit and/or VoIP technologies.</w:t>
      </w:r>
      <w:r w:rsidR="0037580B">
        <w:t xml:space="preserve"> </w:t>
      </w:r>
      <w:r w:rsidR="004125C8">
        <w:t xml:space="preserve"> </w:t>
      </w:r>
      <w:r w:rsidR="0037580B">
        <w:t>For each technology used, each response provided either a single set of monthly rates or a range of monthly rates.</w:t>
      </w:r>
    </w:p>
    <w:p w:rsidR="00341B75" w:rsidRPr="00461210" w:rsidRDefault="00341B75" w:rsidP="006B7B2F">
      <w:pPr>
        <w:rPr>
          <w:b/>
        </w:rPr>
      </w:pPr>
      <w:r w:rsidRPr="00461210">
        <w:rPr>
          <w:b/>
        </w:rPr>
        <w:t xml:space="preserve">Rate Estimates for </w:t>
      </w:r>
      <w:r w:rsidR="009D66E0">
        <w:rPr>
          <w:b/>
        </w:rPr>
        <w:t>Rate Floor</w:t>
      </w:r>
    </w:p>
    <w:p w:rsidR="00366D32" w:rsidRDefault="00651149" w:rsidP="00366D32">
      <w:r>
        <w:t xml:space="preserve">The Commission specified in the </w:t>
      </w:r>
      <w:r w:rsidRPr="007F2D3E">
        <w:rPr>
          <w:i/>
        </w:rPr>
        <w:t>2011 USF/ICC Transformation Order</w:t>
      </w:r>
      <w:r>
        <w:t xml:space="preserve"> that the rate floor should be calculated as the sum of the local end-user rate and state regulated fees (specifically, state subscriber line (SLC) charges, state universal service, and mandatory extended areas service charges).</w:t>
      </w:r>
      <w:r>
        <w:rPr>
          <w:rStyle w:val="FootnoteReference"/>
        </w:rPr>
        <w:footnoteReference w:id="6"/>
      </w:r>
      <w:r>
        <w:t xml:space="preserve">  </w:t>
      </w:r>
      <w:r w:rsidR="009D66E0">
        <w:t xml:space="preserve">Consistent with the methodology </w:t>
      </w:r>
      <w:r w:rsidR="00420110">
        <w:t>adopted</w:t>
      </w:r>
      <w:r w:rsidR="009D66E0">
        <w:t xml:space="preserve"> last year, we computed the average for purposes of the </w:t>
      </w:r>
      <w:r>
        <w:t xml:space="preserve">2015 </w:t>
      </w:r>
      <w:r w:rsidR="009D66E0">
        <w:t xml:space="preserve">rate floor using the rates </w:t>
      </w:r>
      <w:r>
        <w:t xml:space="preserve">for unlimited or flat-rate local service </w:t>
      </w:r>
      <w:r w:rsidR="009D66E0">
        <w:t>from the ILEC stratum.</w:t>
      </w:r>
      <w:r w:rsidR="009D66E0">
        <w:rPr>
          <w:rStyle w:val="FootnoteReference"/>
        </w:rPr>
        <w:footnoteReference w:id="7"/>
      </w:r>
      <w:r w:rsidR="000719FB">
        <w:t xml:space="preserve">  </w:t>
      </w:r>
      <w:r w:rsidR="00366D32">
        <w:t xml:space="preserve">The estimated average rate </w:t>
      </w:r>
      <w:r w:rsidR="000C7F7A">
        <w:t xml:space="preserve">for the ILEC stratum </w:t>
      </w:r>
      <w:r w:rsidR="00366D32">
        <w:t xml:space="preserve">was the weighted average of rates </w:t>
      </w:r>
      <w:r w:rsidR="002C639F">
        <w:t xml:space="preserve">provided in the </w:t>
      </w:r>
      <w:r w:rsidR="000719FB">
        <w:t xml:space="preserve">ILEC </w:t>
      </w:r>
      <w:r w:rsidR="002C639F">
        <w:t>responses</w:t>
      </w:r>
      <w:r w:rsidR="00366D32">
        <w:t>.</w:t>
      </w:r>
      <w:r w:rsidR="00E63FDE">
        <w:t xml:space="preserve">  </w:t>
      </w:r>
      <w:r w:rsidR="002C639F">
        <w:t xml:space="preserve">The weights ensured the proper representation of each rate provided with respect to the number of technologies used and the offerings of multiple service providers in the census tract. </w:t>
      </w:r>
      <w:r w:rsidR="00366D32">
        <w:t xml:space="preserve">The estimated standard deviation of rates within </w:t>
      </w:r>
      <w:r w:rsidR="000719FB">
        <w:t xml:space="preserve">the ILEC </w:t>
      </w:r>
      <w:r w:rsidR="00366D32">
        <w:t>stratum was the square root of the weighted average of the following values within the stratum:</w:t>
      </w:r>
    </w:p>
    <w:p w:rsidR="00366D32" w:rsidRDefault="002E07C2" w:rsidP="00366D32">
      <w:r>
        <w:t xml:space="preserve">(n/(n-1)) x </w:t>
      </w:r>
      <w:r w:rsidR="00366D32">
        <w:t xml:space="preserve">(Squared difference of the rate and the estimated average rate) </w:t>
      </w:r>
      <w:r>
        <w:t>+</w:t>
      </w:r>
      <w:r w:rsidR="00366D32">
        <w:t xml:space="preserve"> </w:t>
      </w:r>
      <w:r w:rsidR="00E8774F">
        <w:t>(the Rate Spread squared divided by 12)</w:t>
      </w:r>
      <w:r w:rsidR="00E8774F">
        <w:rPr>
          <w:rStyle w:val="FootnoteReference"/>
        </w:rPr>
        <w:footnoteReference w:id="8"/>
      </w:r>
    </w:p>
    <w:p w:rsidR="002E07C2" w:rsidRDefault="002E07C2" w:rsidP="00366D32">
      <w:r>
        <w:t xml:space="preserve">where n is the </w:t>
      </w:r>
      <w:r w:rsidR="00565626">
        <w:t xml:space="preserve">stratum </w:t>
      </w:r>
      <w:r>
        <w:t>sample size (</w:t>
      </w:r>
      <w:r w:rsidR="002D7081">
        <w:t>134</w:t>
      </w:r>
      <w:r>
        <w:t xml:space="preserve"> for ILECs).</w:t>
      </w:r>
    </w:p>
    <w:p w:rsidR="00E8774F" w:rsidRDefault="005D3F4D" w:rsidP="00366D32">
      <w:r>
        <w:t xml:space="preserve">The table below presents the </w:t>
      </w:r>
      <w:r w:rsidR="00C83C62">
        <w:t xml:space="preserve">rate </w:t>
      </w:r>
      <w:r>
        <w:t xml:space="preserve">estimates for </w:t>
      </w:r>
      <w:r w:rsidR="000C7F7A">
        <w:t>the rate floor</w:t>
      </w:r>
      <w:r w:rsidR="00C83C62">
        <w:t>.</w:t>
      </w:r>
    </w:p>
    <w:tbl>
      <w:tblPr>
        <w:tblStyle w:val="TableGrid"/>
        <w:tblW w:w="0" w:type="auto"/>
        <w:jc w:val="center"/>
        <w:tblLook w:val="04A0" w:firstRow="1" w:lastRow="0" w:firstColumn="1" w:lastColumn="0" w:noHBand="0" w:noVBand="1"/>
      </w:tblPr>
      <w:tblGrid>
        <w:gridCol w:w="1915"/>
        <w:gridCol w:w="1454"/>
        <w:gridCol w:w="1980"/>
      </w:tblGrid>
      <w:tr w:rsidR="00573147" w:rsidTr="00A44F03">
        <w:trPr>
          <w:jc w:val="center"/>
        </w:trPr>
        <w:tc>
          <w:tcPr>
            <w:tcW w:w="1915" w:type="dxa"/>
            <w:vMerge w:val="restart"/>
          </w:tcPr>
          <w:p w:rsidR="00573147" w:rsidRDefault="00573147" w:rsidP="00F94CD3">
            <w:r>
              <w:t>Service</w:t>
            </w:r>
          </w:p>
        </w:tc>
        <w:tc>
          <w:tcPr>
            <w:tcW w:w="3434" w:type="dxa"/>
            <w:gridSpan w:val="2"/>
          </w:tcPr>
          <w:p w:rsidR="00573147" w:rsidRDefault="00573147" w:rsidP="00F94CD3">
            <w:pPr>
              <w:jc w:val="center"/>
            </w:pPr>
            <w:r>
              <w:t xml:space="preserve">Local Rate plus state fees </w:t>
            </w:r>
          </w:p>
        </w:tc>
      </w:tr>
      <w:tr w:rsidR="00573147" w:rsidTr="00A44F03">
        <w:trPr>
          <w:jc w:val="center"/>
        </w:trPr>
        <w:tc>
          <w:tcPr>
            <w:tcW w:w="1915" w:type="dxa"/>
            <w:vMerge/>
          </w:tcPr>
          <w:p w:rsidR="00573147" w:rsidRDefault="00573147" w:rsidP="00F94CD3"/>
        </w:tc>
        <w:tc>
          <w:tcPr>
            <w:tcW w:w="1454" w:type="dxa"/>
          </w:tcPr>
          <w:p w:rsidR="00573147" w:rsidRDefault="00573147" w:rsidP="00B70051">
            <w:pPr>
              <w:jc w:val="center"/>
            </w:pPr>
            <w:r>
              <w:t>Average</w:t>
            </w:r>
          </w:p>
        </w:tc>
        <w:tc>
          <w:tcPr>
            <w:tcW w:w="1980" w:type="dxa"/>
          </w:tcPr>
          <w:p w:rsidR="00573147" w:rsidRDefault="00573147" w:rsidP="00B70051">
            <w:pPr>
              <w:jc w:val="center"/>
            </w:pPr>
            <w:r>
              <w:t>Standard Deviation</w:t>
            </w:r>
          </w:p>
        </w:tc>
      </w:tr>
      <w:tr w:rsidR="00573147" w:rsidTr="00A44F03">
        <w:trPr>
          <w:jc w:val="center"/>
        </w:trPr>
        <w:tc>
          <w:tcPr>
            <w:tcW w:w="1915" w:type="dxa"/>
          </w:tcPr>
          <w:p w:rsidR="00573147" w:rsidRDefault="00573147" w:rsidP="00F94CD3">
            <w:r>
              <w:t>Unlimited or Flat-Rate Local Service</w:t>
            </w:r>
          </w:p>
        </w:tc>
        <w:tc>
          <w:tcPr>
            <w:tcW w:w="1454" w:type="dxa"/>
          </w:tcPr>
          <w:p w:rsidR="00573147" w:rsidRDefault="00573147" w:rsidP="00B70051">
            <w:pPr>
              <w:jc w:val="center"/>
            </w:pPr>
            <w:r>
              <w:t>$21.2201</w:t>
            </w:r>
          </w:p>
        </w:tc>
        <w:tc>
          <w:tcPr>
            <w:tcW w:w="1980" w:type="dxa"/>
          </w:tcPr>
          <w:p w:rsidR="00573147" w:rsidRDefault="00573147" w:rsidP="00B70051">
            <w:pPr>
              <w:jc w:val="center"/>
            </w:pPr>
            <w:r>
              <w:t>$3.9983</w:t>
            </w:r>
          </w:p>
        </w:tc>
      </w:tr>
    </w:tbl>
    <w:p w:rsidR="00366D32" w:rsidRDefault="00366D32" w:rsidP="006B7B2F"/>
    <w:p w:rsidR="000719FB" w:rsidRDefault="000719FB" w:rsidP="006B7B2F">
      <w:r>
        <w:t xml:space="preserve">The rate floor for 2015 therefore is </w:t>
      </w:r>
      <w:r w:rsidRPr="00BC4199">
        <w:t>$21.22</w:t>
      </w:r>
      <w:r>
        <w:t>.</w:t>
      </w:r>
      <w:r w:rsidR="00B70051">
        <w:rPr>
          <w:rStyle w:val="FootnoteReference"/>
        </w:rPr>
        <w:footnoteReference w:id="9"/>
      </w:r>
      <w:r>
        <w:t xml:space="preserve">  </w:t>
      </w:r>
      <w:r w:rsidRPr="00BC4199">
        <w:t xml:space="preserve"> </w:t>
      </w:r>
    </w:p>
    <w:p w:rsidR="00E377CF" w:rsidRDefault="009D66E0" w:rsidP="0062510F">
      <w:pPr>
        <w:rPr>
          <w:b/>
        </w:rPr>
      </w:pPr>
      <w:r>
        <w:rPr>
          <w:b/>
        </w:rPr>
        <w:t xml:space="preserve">Reasonable </w:t>
      </w:r>
      <w:r w:rsidR="0021677C">
        <w:rPr>
          <w:b/>
        </w:rPr>
        <w:t>Comparability Benchmark</w:t>
      </w:r>
    </w:p>
    <w:p w:rsidR="004F57CC" w:rsidRDefault="00651149" w:rsidP="0062510F">
      <w:r>
        <w:t xml:space="preserve">The Commission specified in the </w:t>
      </w:r>
      <w:r w:rsidRPr="0009546C">
        <w:rPr>
          <w:i/>
        </w:rPr>
        <w:t>2011 USF/ICC Transformation Order</w:t>
      </w:r>
      <w:r>
        <w:t xml:space="preserve"> that the reasonable comparability benchmark for voice services be set at two standard deviations above the </w:t>
      </w:r>
      <w:r w:rsidR="00420110">
        <w:t xml:space="preserve">national </w:t>
      </w:r>
      <w:r>
        <w:t>average</w:t>
      </w:r>
      <w:r w:rsidR="00420110">
        <w:t xml:space="preserve"> based on a survey of urban voice rates.</w:t>
      </w:r>
      <w:r w:rsidR="00420110">
        <w:rPr>
          <w:rStyle w:val="FootnoteReference"/>
        </w:rPr>
        <w:footnoteReference w:id="10"/>
      </w:r>
      <w:r w:rsidR="00420110">
        <w:t xml:space="preserve">  </w:t>
      </w:r>
      <w:r w:rsidR="004F57CC">
        <w:t xml:space="preserve">Consistent with the </w:t>
      </w:r>
      <w:r w:rsidR="009D66E0">
        <w:t xml:space="preserve">methodology </w:t>
      </w:r>
      <w:r w:rsidR="00420110">
        <w:t xml:space="preserve">adopted </w:t>
      </w:r>
      <w:r w:rsidR="009D66E0">
        <w:t>last year</w:t>
      </w:r>
      <w:r w:rsidR="004F57CC">
        <w:t>,</w:t>
      </w:r>
      <w:r w:rsidR="000C7F7A">
        <w:rPr>
          <w:rStyle w:val="FootnoteReference"/>
        </w:rPr>
        <w:footnoteReference w:id="11"/>
      </w:r>
      <w:r w:rsidR="004F57CC">
        <w:t xml:space="preserve"> the </w:t>
      </w:r>
      <w:r w:rsidR="000C7F7A">
        <w:t xml:space="preserve">reasonable </w:t>
      </w:r>
      <w:r w:rsidR="004F57CC">
        <w:t xml:space="preserve">comparability benchmark was calculated by taking two standard deviations above the average urban rate for all local flat-rate providers, with </w:t>
      </w:r>
      <w:r w:rsidR="000719FB">
        <w:t xml:space="preserve">federal </w:t>
      </w:r>
      <w:r w:rsidR="00D91036">
        <w:t xml:space="preserve">and state </w:t>
      </w:r>
      <w:r w:rsidR="004F57CC">
        <w:t>SLCs included in the rates</w:t>
      </w:r>
      <w:r w:rsidR="00D91036">
        <w:t xml:space="preserve"> used to compute the </w:t>
      </w:r>
      <w:r w:rsidR="00890339">
        <w:t xml:space="preserve">urban </w:t>
      </w:r>
      <w:r w:rsidR="00D91036">
        <w:t>average</w:t>
      </w:r>
      <w:r w:rsidR="004F57CC">
        <w:t>.</w:t>
      </w:r>
    </w:p>
    <w:tbl>
      <w:tblPr>
        <w:tblStyle w:val="TableGrid"/>
        <w:tblW w:w="0" w:type="auto"/>
        <w:jc w:val="center"/>
        <w:tblLook w:val="04A0" w:firstRow="1" w:lastRow="0" w:firstColumn="1" w:lastColumn="0" w:noHBand="0" w:noVBand="1"/>
      </w:tblPr>
      <w:tblGrid>
        <w:gridCol w:w="1368"/>
        <w:gridCol w:w="1368"/>
        <w:gridCol w:w="1152"/>
        <w:gridCol w:w="990"/>
        <w:gridCol w:w="1080"/>
        <w:gridCol w:w="1350"/>
      </w:tblGrid>
      <w:tr w:rsidR="004F57CC" w:rsidTr="00AD53B5">
        <w:trPr>
          <w:jc w:val="center"/>
        </w:trPr>
        <w:tc>
          <w:tcPr>
            <w:tcW w:w="1368" w:type="dxa"/>
            <w:tcBorders>
              <w:bottom w:val="double" w:sz="4" w:space="0" w:color="auto"/>
            </w:tcBorders>
            <w:vAlign w:val="center"/>
          </w:tcPr>
          <w:p w:rsidR="004F57CC" w:rsidRDefault="004F57CC" w:rsidP="00B70051">
            <w:pPr>
              <w:keepNext/>
              <w:keepLines/>
              <w:jc w:val="center"/>
            </w:pPr>
            <w:r>
              <w:t>Service Type</w:t>
            </w:r>
          </w:p>
        </w:tc>
        <w:tc>
          <w:tcPr>
            <w:tcW w:w="1368" w:type="dxa"/>
            <w:tcBorders>
              <w:bottom w:val="double" w:sz="4" w:space="0" w:color="auto"/>
            </w:tcBorders>
            <w:vAlign w:val="center"/>
          </w:tcPr>
          <w:p w:rsidR="004F57CC" w:rsidRDefault="004F57CC" w:rsidP="00B70051">
            <w:pPr>
              <w:keepNext/>
              <w:keepLines/>
              <w:jc w:val="center"/>
            </w:pPr>
            <w:r>
              <w:t>Responses</w:t>
            </w:r>
            <w:r w:rsidR="00F84FAD">
              <w:t xml:space="preserve"> with Rates</w:t>
            </w:r>
          </w:p>
        </w:tc>
        <w:tc>
          <w:tcPr>
            <w:tcW w:w="1152" w:type="dxa"/>
            <w:tcBorders>
              <w:bottom w:val="double" w:sz="4" w:space="0" w:color="auto"/>
            </w:tcBorders>
            <w:vAlign w:val="center"/>
          </w:tcPr>
          <w:p w:rsidR="004F57CC" w:rsidRDefault="004F57CC" w:rsidP="00B70051">
            <w:pPr>
              <w:keepNext/>
              <w:keepLines/>
              <w:jc w:val="center"/>
            </w:pPr>
            <w:r>
              <w:t>Service Providers</w:t>
            </w:r>
          </w:p>
        </w:tc>
        <w:tc>
          <w:tcPr>
            <w:tcW w:w="990" w:type="dxa"/>
            <w:tcBorders>
              <w:bottom w:val="double" w:sz="4" w:space="0" w:color="auto"/>
            </w:tcBorders>
            <w:vAlign w:val="center"/>
          </w:tcPr>
          <w:p w:rsidR="004F57CC" w:rsidRDefault="004F57CC" w:rsidP="00B70051">
            <w:pPr>
              <w:keepNext/>
              <w:keepLines/>
              <w:jc w:val="center"/>
            </w:pPr>
            <w:r>
              <w:t>Census Tracts</w:t>
            </w:r>
          </w:p>
        </w:tc>
        <w:tc>
          <w:tcPr>
            <w:tcW w:w="1080" w:type="dxa"/>
            <w:tcBorders>
              <w:bottom w:val="double" w:sz="4" w:space="0" w:color="auto"/>
            </w:tcBorders>
            <w:vAlign w:val="center"/>
          </w:tcPr>
          <w:p w:rsidR="004F57CC" w:rsidRDefault="004F57CC" w:rsidP="00B70051">
            <w:pPr>
              <w:keepNext/>
              <w:keepLines/>
              <w:jc w:val="center"/>
            </w:pPr>
            <w:r>
              <w:t>Average Rate</w:t>
            </w:r>
          </w:p>
        </w:tc>
        <w:tc>
          <w:tcPr>
            <w:tcW w:w="1350" w:type="dxa"/>
            <w:tcBorders>
              <w:bottom w:val="double" w:sz="4" w:space="0" w:color="auto"/>
            </w:tcBorders>
            <w:vAlign w:val="center"/>
          </w:tcPr>
          <w:p w:rsidR="004F57CC" w:rsidRDefault="004F57CC" w:rsidP="00B70051">
            <w:pPr>
              <w:keepNext/>
              <w:keepLines/>
              <w:jc w:val="center"/>
            </w:pPr>
            <w:r>
              <w:t>Two Std Devs above the Average Rate</w:t>
            </w:r>
          </w:p>
        </w:tc>
      </w:tr>
      <w:tr w:rsidR="004F57CC" w:rsidTr="00AD53B5">
        <w:trPr>
          <w:jc w:val="center"/>
        </w:trPr>
        <w:tc>
          <w:tcPr>
            <w:tcW w:w="1368" w:type="dxa"/>
            <w:tcBorders>
              <w:top w:val="double" w:sz="4" w:space="0" w:color="auto"/>
            </w:tcBorders>
            <w:vAlign w:val="center"/>
          </w:tcPr>
          <w:p w:rsidR="004F57CC" w:rsidRDefault="004F57CC" w:rsidP="00B70051">
            <w:pPr>
              <w:keepNext/>
              <w:keepLines/>
              <w:jc w:val="center"/>
            </w:pPr>
            <w:r w:rsidRPr="008372FF">
              <w:t>Unlimited or Flat-Rate Local Service</w:t>
            </w:r>
          </w:p>
        </w:tc>
        <w:tc>
          <w:tcPr>
            <w:tcW w:w="1368" w:type="dxa"/>
            <w:tcBorders>
              <w:top w:val="double" w:sz="4" w:space="0" w:color="auto"/>
            </w:tcBorders>
            <w:vAlign w:val="center"/>
          </w:tcPr>
          <w:p w:rsidR="004F57CC" w:rsidRDefault="00F84FAD" w:rsidP="00B70051">
            <w:pPr>
              <w:keepNext/>
              <w:keepLines/>
              <w:jc w:val="center"/>
            </w:pPr>
            <w:r>
              <w:t>317</w:t>
            </w:r>
          </w:p>
        </w:tc>
        <w:tc>
          <w:tcPr>
            <w:tcW w:w="1152" w:type="dxa"/>
            <w:tcBorders>
              <w:top w:val="double" w:sz="4" w:space="0" w:color="auto"/>
            </w:tcBorders>
            <w:vAlign w:val="center"/>
          </w:tcPr>
          <w:p w:rsidR="004F57CC" w:rsidRDefault="00F84FAD" w:rsidP="00B70051">
            <w:pPr>
              <w:keepNext/>
              <w:keepLines/>
              <w:jc w:val="center"/>
            </w:pPr>
            <w:r>
              <w:t>58</w:t>
            </w:r>
          </w:p>
        </w:tc>
        <w:tc>
          <w:tcPr>
            <w:tcW w:w="990" w:type="dxa"/>
            <w:tcBorders>
              <w:top w:val="double" w:sz="4" w:space="0" w:color="auto"/>
            </w:tcBorders>
            <w:vAlign w:val="center"/>
          </w:tcPr>
          <w:p w:rsidR="004F57CC" w:rsidRDefault="00F84FAD" w:rsidP="00B70051">
            <w:pPr>
              <w:keepNext/>
              <w:keepLines/>
              <w:jc w:val="center"/>
            </w:pPr>
            <w:r>
              <w:t>285</w:t>
            </w:r>
          </w:p>
        </w:tc>
        <w:tc>
          <w:tcPr>
            <w:tcW w:w="1080" w:type="dxa"/>
            <w:tcBorders>
              <w:top w:val="double" w:sz="4" w:space="0" w:color="auto"/>
            </w:tcBorders>
            <w:vAlign w:val="center"/>
          </w:tcPr>
          <w:p w:rsidR="004F57CC" w:rsidRDefault="001C49F6" w:rsidP="00B70051">
            <w:pPr>
              <w:keepNext/>
              <w:keepLines/>
              <w:jc w:val="center"/>
            </w:pPr>
            <w:r>
              <w:t>$29.9284</w:t>
            </w:r>
          </w:p>
        </w:tc>
        <w:tc>
          <w:tcPr>
            <w:tcW w:w="1350" w:type="dxa"/>
            <w:tcBorders>
              <w:top w:val="double" w:sz="4" w:space="0" w:color="auto"/>
            </w:tcBorders>
            <w:vAlign w:val="center"/>
          </w:tcPr>
          <w:p w:rsidR="004F57CC" w:rsidRDefault="004B3108" w:rsidP="00B70051">
            <w:pPr>
              <w:keepNext/>
              <w:keepLines/>
              <w:jc w:val="center"/>
            </w:pPr>
            <w:r>
              <w:t>$47.</w:t>
            </w:r>
            <w:r w:rsidR="008707F3">
              <w:t>47</w:t>
            </w:r>
            <w:r w:rsidR="002D7081">
              <w:t>82</w:t>
            </w:r>
          </w:p>
        </w:tc>
      </w:tr>
    </w:tbl>
    <w:p w:rsidR="004F57CC" w:rsidRDefault="004F57CC" w:rsidP="0062510F"/>
    <w:p w:rsidR="000719FB" w:rsidRDefault="000719FB" w:rsidP="0062510F">
      <w:r>
        <w:t>The reasonable comparability benchmark for fixed voice services for 2015 therefore is $47.48.</w:t>
      </w:r>
    </w:p>
    <w:p w:rsidR="0074079C" w:rsidRDefault="0074079C" w:rsidP="0074079C"/>
    <w:sectPr w:rsidR="0074079C" w:rsidSect="00F350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358" w:rsidRDefault="00F56358" w:rsidP="00863060">
      <w:pPr>
        <w:spacing w:after="0" w:line="240" w:lineRule="auto"/>
      </w:pPr>
      <w:r>
        <w:separator/>
      </w:r>
    </w:p>
  </w:endnote>
  <w:endnote w:type="continuationSeparator" w:id="0">
    <w:p w:rsidR="00F56358" w:rsidRDefault="00F56358" w:rsidP="00863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8D" w:rsidRDefault="008B37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21" w:rsidRDefault="00231F21">
    <w:pPr>
      <w:pStyle w:val="Footer"/>
    </w:pPr>
    <w:r>
      <w:tab/>
    </w:r>
    <w:r>
      <w:fldChar w:fldCharType="begin"/>
    </w:r>
    <w:r>
      <w:instrText xml:space="preserve"> PAGE   \* MERGEFORMAT </w:instrText>
    </w:r>
    <w:r>
      <w:fldChar w:fldCharType="separate"/>
    </w:r>
    <w:r w:rsidR="002F4EFB">
      <w:rPr>
        <w:noProof/>
      </w:rPr>
      <w:t>2</w:t>
    </w:r>
    <w:r>
      <w:rPr>
        <w:noProof/>
      </w:rPr>
      <w:fldChar w:fldCharType="end"/>
    </w:r>
  </w:p>
  <w:p w:rsidR="00F43C2B" w:rsidRDefault="00F43C2B" w:rsidP="00F61288">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996771"/>
      <w:docPartObj>
        <w:docPartGallery w:val="Page Numbers (Bottom of Page)"/>
        <w:docPartUnique/>
      </w:docPartObj>
    </w:sdtPr>
    <w:sdtEndPr>
      <w:rPr>
        <w:noProof/>
      </w:rPr>
    </w:sdtEndPr>
    <w:sdtContent>
      <w:p w:rsidR="00F61288" w:rsidRDefault="00F61288">
        <w:pPr>
          <w:pStyle w:val="Footer"/>
          <w:jc w:val="center"/>
        </w:pPr>
        <w:r>
          <w:fldChar w:fldCharType="begin"/>
        </w:r>
        <w:r>
          <w:instrText xml:space="preserve"> PAGE   \* MERGEFORMAT </w:instrText>
        </w:r>
        <w:r>
          <w:fldChar w:fldCharType="separate"/>
        </w:r>
        <w:r w:rsidR="0096028B">
          <w:rPr>
            <w:noProof/>
          </w:rPr>
          <w:t>1</w:t>
        </w:r>
        <w:r>
          <w:rPr>
            <w:noProof/>
          </w:rPr>
          <w:fldChar w:fldCharType="end"/>
        </w:r>
      </w:p>
    </w:sdtContent>
  </w:sdt>
  <w:p w:rsidR="00F35019" w:rsidRDefault="00F35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358" w:rsidRDefault="00F56358" w:rsidP="00863060">
      <w:pPr>
        <w:spacing w:after="0" w:line="240" w:lineRule="auto"/>
      </w:pPr>
      <w:r>
        <w:separator/>
      </w:r>
    </w:p>
  </w:footnote>
  <w:footnote w:type="continuationSeparator" w:id="0">
    <w:p w:rsidR="00F56358" w:rsidRDefault="00F56358" w:rsidP="00863060">
      <w:pPr>
        <w:spacing w:after="0" w:line="240" w:lineRule="auto"/>
      </w:pPr>
      <w:r>
        <w:continuationSeparator/>
      </w:r>
    </w:p>
  </w:footnote>
  <w:footnote w:id="1">
    <w:p w:rsidR="00E74A50" w:rsidRDefault="00E74A50">
      <w:pPr>
        <w:pStyle w:val="FootnoteText"/>
      </w:pPr>
      <w:r>
        <w:rPr>
          <w:rStyle w:val="FootnoteReference"/>
        </w:rPr>
        <w:footnoteRef/>
      </w:r>
      <w:r>
        <w:t xml:space="preserve"> </w:t>
      </w:r>
      <w:r w:rsidR="00B476F9" w:rsidRPr="007F2D3E">
        <w:rPr>
          <w:i/>
        </w:rPr>
        <w:t>Connect America Fund</w:t>
      </w:r>
      <w:r w:rsidR="00B476F9">
        <w:t>, WC Docket No. 10-90, Order, 28 FCC Rcd 4242 (Wireline Comp. Bur. and Wireless Telecom. Bur. 2013)</w:t>
      </w:r>
      <w:r w:rsidR="000719FB">
        <w:t>.</w:t>
      </w:r>
    </w:p>
  </w:footnote>
  <w:footnote w:id="2">
    <w:p w:rsidR="00E32118" w:rsidRDefault="00E32118">
      <w:pPr>
        <w:pStyle w:val="FootnoteText"/>
      </w:pPr>
      <w:r>
        <w:rPr>
          <w:rStyle w:val="FootnoteReference"/>
        </w:rPr>
        <w:footnoteRef/>
      </w:r>
      <w:r>
        <w:t xml:space="preserve"> Last year, the Bureau determined that the rate floor should be calculated solely based on unlimited or flat rate ILEC rates excluding federal subscriber line charges (SLCs).  </w:t>
      </w:r>
      <w:r w:rsidRPr="006D1A84">
        <w:rPr>
          <w:i/>
        </w:rPr>
        <w:t>Wireline Competition Bureau Announces Results of Urban Rate Survey for Voice Services; Seeks Comment on Petition for Extension of Time to Comply with New Rate Floor</w:t>
      </w:r>
      <w:r>
        <w:t>, WC Docket No. 10-90, Public Notice, 29 FCC Rcd 2967, 2968 (Wireline Comp. Bur. 2014)</w:t>
      </w:r>
      <w:r w:rsidRPr="009D66E0">
        <w:t xml:space="preserve"> </w:t>
      </w:r>
      <w:r>
        <w:t>(</w:t>
      </w:r>
      <w:r w:rsidRPr="006D1A84">
        <w:rPr>
          <w:i/>
        </w:rPr>
        <w:t>2014 Urban Rate Survey for Voice Services PN</w:t>
      </w:r>
      <w:r>
        <w:t>).  To facilitate this calculation, the 2015 URS was designed with a separate stratum for ILEC service providers which requested responses from all ILEC service providers in each census tract, unlike the 2014 URS which did not stratify the sample.  In this way, a more accurate weighting of rates was obtained for purposes of calculating the rate floor.</w:t>
      </w:r>
    </w:p>
  </w:footnote>
  <w:footnote w:id="3">
    <w:p w:rsidR="003B1855" w:rsidRDefault="003B1855" w:rsidP="003B1855">
      <w:pPr>
        <w:pStyle w:val="FootnoteText"/>
      </w:pPr>
      <w:r>
        <w:rPr>
          <w:rStyle w:val="FootnoteReference"/>
        </w:rPr>
        <w:footnoteRef/>
      </w:r>
      <w:r>
        <w:t xml:space="preserve"> </w:t>
      </w:r>
      <w:r w:rsidRPr="00D07B7B">
        <w:t>Form 477 December 2013 filings provide information on companies offering voice service by ZIP code area. In order to list companies offering service by census tract, a ZIP code area associated with each census tract in the sample had to be identified</w:t>
      </w:r>
      <w:r>
        <w:t>. Future Form 477 filings are expected to collect information on voice service providers by census tract, eliminating the need for this step in future Urban Rate Surveys.</w:t>
      </w:r>
    </w:p>
    <w:p w:rsidR="003B1855" w:rsidRDefault="003B1855" w:rsidP="003B1855">
      <w:pPr>
        <w:pStyle w:val="FootnoteText"/>
      </w:pPr>
    </w:p>
  </w:footnote>
  <w:footnote w:id="4">
    <w:p w:rsidR="00B476F9" w:rsidRDefault="00B476F9">
      <w:pPr>
        <w:pStyle w:val="FootnoteText"/>
      </w:pPr>
      <w:r>
        <w:rPr>
          <w:rStyle w:val="FootnoteReference"/>
        </w:rPr>
        <w:footnoteRef/>
      </w:r>
      <w:r>
        <w:t xml:space="preserve"> The only changes were that the Bureau removed all questions regarding non-recurring charges on both the voice and broadband surveys and a question about taxes, surcharges, and TRS charges on the voice survey, although this information may be included in future surveys.</w:t>
      </w:r>
    </w:p>
  </w:footnote>
  <w:footnote w:id="5">
    <w:p w:rsidR="00192C3A" w:rsidRDefault="00192C3A">
      <w:pPr>
        <w:pStyle w:val="FootnoteText"/>
      </w:pPr>
      <w:r>
        <w:rPr>
          <w:rStyle w:val="FootnoteReference"/>
        </w:rPr>
        <w:footnoteRef/>
      </w:r>
      <w:r>
        <w:t xml:space="preserve"> For census tract 0</w:t>
      </w:r>
      <w:r w:rsidRPr="00192C3A">
        <w:t>6111005303</w:t>
      </w:r>
      <w:r>
        <w:t>, neither service provider identified as an ILEC indicated it provided voice service there.</w:t>
      </w:r>
    </w:p>
  </w:footnote>
  <w:footnote w:id="6">
    <w:p w:rsidR="00651149" w:rsidRDefault="00651149">
      <w:pPr>
        <w:pStyle w:val="FootnoteText"/>
      </w:pPr>
      <w:r>
        <w:rPr>
          <w:rStyle w:val="FootnoteReference"/>
        </w:rPr>
        <w:footnoteRef/>
      </w:r>
      <w:r>
        <w:t xml:space="preserve"> </w:t>
      </w:r>
      <w:r w:rsidR="007F2D3E">
        <w:rPr>
          <w:i/>
        </w:rPr>
        <w:t xml:space="preserve">See </w:t>
      </w:r>
      <w:r w:rsidR="007F2D3E" w:rsidRPr="00832F63">
        <w:rPr>
          <w:i/>
        </w:rPr>
        <w:t xml:space="preserve">Connect America Fund et al.; </w:t>
      </w:r>
      <w:r w:rsidR="007F2D3E" w:rsidRPr="00832F63">
        <w:t>WC Docket Nos. 10-90 et al., Report and Order and Further Notice of Proposed Rulemaking, 26 FCC Rcd 17663</w:t>
      </w:r>
      <w:r w:rsidR="007F2D3E">
        <w:t xml:space="preserve">, 17751, para. 238 </w:t>
      </w:r>
      <w:r w:rsidR="007F2D3E" w:rsidRPr="00832F63">
        <w:t>(2011) (</w:t>
      </w:r>
      <w:r w:rsidR="007F2D3E" w:rsidRPr="00832F63">
        <w:rPr>
          <w:i/>
        </w:rPr>
        <w:t>USF/ICC Transformation Order</w:t>
      </w:r>
      <w:r w:rsidR="007F2D3E" w:rsidRPr="00832F63">
        <w:t xml:space="preserve">) </w:t>
      </w:r>
      <w:r w:rsidR="007F2D3E" w:rsidRPr="00832F63">
        <w:rPr>
          <w:i/>
          <w:iCs/>
        </w:rPr>
        <w:t>aff’d sub nom., In re: FCC 11-161</w:t>
      </w:r>
      <w:r w:rsidR="007F2D3E" w:rsidRPr="00832F63">
        <w:t>, 753 F.3d 1015 (10th Cir. 2014).</w:t>
      </w:r>
      <w:r w:rsidR="00420110">
        <w:t xml:space="preserve">  </w:t>
      </w:r>
    </w:p>
  </w:footnote>
  <w:footnote w:id="7">
    <w:p w:rsidR="009D66E0" w:rsidRDefault="009D66E0">
      <w:pPr>
        <w:pStyle w:val="FootnoteText"/>
      </w:pPr>
      <w:r>
        <w:rPr>
          <w:rStyle w:val="FootnoteReference"/>
        </w:rPr>
        <w:footnoteRef/>
      </w:r>
      <w:r>
        <w:t xml:space="preserve"> </w:t>
      </w:r>
      <w:r w:rsidRPr="006D1A84">
        <w:rPr>
          <w:i/>
        </w:rPr>
        <w:t>2014 Urban Rate Survey for Voice Services PN</w:t>
      </w:r>
      <w:r w:rsidR="003B1855">
        <w:rPr>
          <w:i/>
        </w:rPr>
        <w:t xml:space="preserve"> </w:t>
      </w:r>
      <w:r w:rsidR="003B1855">
        <w:t>at 2968.</w:t>
      </w:r>
      <w:r>
        <w:t xml:space="preserve">   </w:t>
      </w:r>
    </w:p>
  </w:footnote>
  <w:footnote w:id="8">
    <w:p w:rsidR="00E8774F" w:rsidRDefault="00E8774F">
      <w:pPr>
        <w:pStyle w:val="FootnoteText"/>
      </w:pPr>
      <w:r>
        <w:rPr>
          <w:rStyle w:val="FootnoteReference"/>
        </w:rPr>
        <w:footnoteRef/>
      </w:r>
      <w:r>
        <w:t xml:space="preserve"> It was assumed that rates with a minimum and maximum followed a uniform distribution between those values.  The variance of this uniform distribution is the Rate Spread squared divided by 12.</w:t>
      </w:r>
    </w:p>
  </w:footnote>
  <w:footnote w:id="9">
    <w:p w:rsidR="00B70051" w:rsidRDefault="00B70051">
      <w:pPr>
        <w:pStyle w:val="FootnoteText"/>
      </w:pPr>
      <w:r>
        <w:rPr>
          <w:rStyle w:val="FootnoteReference"/>
        </w:rPr>
        <w:footnoteRef/>
      </w:r>
      <w:r>
        <w:t xml:space="preserve"> The difference between the 2014 rate floor ($20.46) and the 2015 rate floor is not statistically significant.</w:t>
      </w:r>
    </w:p>
  </w:footnote>
  <w:footnote w:id="10">
    <w:p w:rsidR="00420110" w:rsidRDefault="00420110">
      <w:pPr>
        <w:pStyle w:val="FootnoteText"/>
      </w:pPr>
      <w:r>
        <w:rPr>
          <w:rStyle w:val="FootnoteReference"/>
        </w:rPr>
        <w:footnoteRef/>
      </w:r>
      <w:r>
        <w:t xml:space="preserve"> </w:t>
      </w:r>
      <w:r w:rsidRPr="006D1A84">
        <w:rPr>
          <w:i/>
        </w:rPr>
        <w:t>USF/ICC Transformation Order</w:t>
      </w:r>
      <w:r w:rsidR="007F2D3E">
        <w:rPr>
          <w:i/>
        </w:rPr>
        <w:t xml:space="preserve"> </w:t>
      </w:r>
      <w:r w:rsidR="007F2D3E">
        <w:t>at 17694</w:t>
      </w:r>
      <w:r>
        <w:t>, paras. 84-85</w:t>
      </w:r>
      <w:r w:rsidR="007F2D3E">
        <w:t>.</w:t>
      </w:r>
    </w:p>
  </w:footnote>
  <w:footnote w:id="11">
    <w:p w:rsidR="000C7F7A" w:rsidRDefault="000C7F7A">
      <w:pPr>
        <w:pStyle w:val="FootnoteText"/>
      </w:pPr>
      <w:r>
        <w:rPr>
          <w:rStyle w:val="FootnoteReference"/>
        </w:rPr>
        <w:footnoteRef/>
      </w:r>
      <w:r>
        <w:t xml:space="preserve"> </w:t>
      </w:r>
      <w:r w:rsidR="009D66E0" w:rsidRPr="006D1A84">
        <w:rPr>
          <w:i/>
        </w:rPr>
        <w:t>2014 Urban Rate Survey for Voice Services PN</w:t>
      </w:r>
      <w:r w:rsidR="009D66E0">
        <w:t xml:space="preserve">, 29 FCC Rcd at </w:t>
      </w:r>
      <w:r w:rsidR="006D1A84">
        <w:t>2968.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8D" w:rsidRDefault="008B37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8D" w:rsidRDefault="008B37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8D" w:rsidRDefault="008B37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38B8"/>
    <w:multiLevelType w:val="hybridMultilevel"/>
    <w:tmpl w:val="530ED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92921"/>
    <w:multiLevelType w:val="hybridMultilevel"/>
    <w:tmpl w:val="1CBA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5038E"/>
    <w:multiLevelType w:val="hybridMultilevel"/>
    <w:tmpl w:val="13FA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521E6B"/>
    <w:multiLevelType w:val="hybridMultilevel"/>
    <w:tmpl w:val="51FA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E3C88"/>
    <w:multiLevelType w:val="hybridMultilevel"/>
    <w:tmpl w:val="F770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CD2444"/>
    <w:multiLevelType w:val="hybridMultilevel"/>
    <w:tmpl w:val="E66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74074B"/>
    <w:multiLevelType w:val="hybridMultilevel"/>
    <w:tmpl w:val="6E345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386E4B"/>
    <w:multiLevelType w:val="hybridMultilevel"/>
    <w:tmpl w:val="E990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4377F5"/>
    <w:multiLevelType w:val="hybridMultilevel"/>
    <w:tmpl w:val="AD96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093D62"/>
    <w:multiLevelType w:val="hybridMultilevel"/>
    <w:tmpl w:val="3D98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4135AE"/>
    <w:multiLevelType w:val="hybridMultilevel"/>
    <w:tmpl w:val="1A50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9B5398"/>
    <w:multiLevelType w:val="hybridMultilevel"/>
    <w:tmpl w:val="8CDC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10"/>
  </w:num>
  <w:num w:numId="5">
    <w:abstractNumId w:val="7"/>
  </w:num>
  <w:num w:numId="6">
    <w:abstractNumId w:val="0"/>
  </w:num>
  <w:num w:numId="7">
    <w:abstractNumId w:val="2"/>
  </w:num>
  <w:num w:numId="8">
    <w:abstractNumId w:val="9"/>
  </w:num>
  <w:num w:numId="9">
    <w:abstractNumId w:val="3"/>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14"/>
    <w:rsid w:val="00000BE0"/>
    <w:rsid w:val="0000771A"/>
    <w:rsid w:val="00016BF7"/>
    <w:rsid w:val="000274C3"/>
    <w:rsid w:val="00033998"/>
    <w:rsid w:val="00033F2A"/>
    <w:rsid w:val="00034136"/>
    <w:rsid w:val="0004631E"/>
    <w:rsid w:val="000562C7"/>
    <w:rsid w:val="000605F8"/>
    <w:rsid w:val="0006798A"/>
    <w:rsid w:val="000719FB"/>
    <w:rsid w:val="00071FC7"/>
    <w:rsid w:val="000770C0"/>
    <w:rsid w:val="000A10CD"/>
    <w:rsid w:val="000A6751"/>
    <w:rsid w:val="000A68A2"/>
    <w:rsid w:val="000C298D"/>
    <w:rsid w:val="000C7F7A"/>
    <w:rsid w:val="000D1ADD"/>
    <w:rsid w:val="000E21A3"/>
    <w:rsid w:val="000F5379"/>
    <w:rsid w:val="00106F42"/>
    <w:rsid w:val="00121C93"/>
    <w:rsid w:val="0014000E"/>
    <w:rsid w:val="00142351"/>
    <w:rsid w:val="00147BBC"/>
    <w:rsid w:val="00151217"/>
    <w:rsid w:val="001538DD"/>
    <w:rsid w:val="00153DE8"/>
    <w:rsid w:val="00163F49"/>
    <w:rsid w:val="0016665A"/>
    <w:rsid w:val="00185C41"/>
    <w:rsid w:val="00191FDC"/>
    <w:rsid w:val="00192C3A"/>
    <w:rsid w:val="00195BCD"/>
    <w:rsid w:val="001A7718"/>
    <w:rsid w:val="001B5609"/>
    <w:rsid w:val="001C49F6"/>
    <w:rsid w:val="001E06AC"/>
    <w:rsid w:val="001E6012"/>
    <w:rsid w:val="0021551C"/>
    <w:rsid w:val="0021677C"/>
    <w:rsid w:val="00222453"/>
    <w:rsid w:val="00223455"/>
    <w:rsid w:val="00224E0D"/>
    <w:rsid w:val="00231F21"/>
    <w:rsid w:val="00235820"/>
    <w:rsid w:val="00242E5A"/>
    <w:rsid w:val="00270541"/>
    <w:rsid w:val="0028303F"/>
    <w:rsid w:val="002925B8"/>
    <w:rsid w:val="002C4DB5"/>
    <w:rsid w:val="002C639F"/>
    <w:rsid w:val="002D4AD7"/>
    <w:rsid w:val="002D7081"/>
    <w:rsid w:val="002E07C2"/>
    <w:rsid w:val="002E6B00"/>
    <w:rsid w:val="002F4EFB"/>
    <w:rsid w:val="002F722B"/>
    <w:rsid w:val="00304F2F"/>
    <w:rsid w:val="00310FB5"/>
    <w:rsid w:val="00314EA8"/>
    <w:rsid w:val="003239D9"/>
    <w:rsid w:val="00327A00"/>
    <w:rsid w:val="00340181"/>
    <w:rsid w:val="00341B75"/>
    <w:rsid w:val="00360926"/>
    <w:rsid w:val="00366D32"/>
    <w:rsid w:val="0037216F"/>
    <w:rsid w:val="0037580B"/>
    <w:rsid w:val="003878F7"/>
    <w:rsid w:val="003A7E04"/>
    <w:rsid w:val="003B172E"/>
    <w:rsid w:val="003B1855"/>
    <w:rsid w:val="003B3BF8"/>
    <w:rsid w:val="003B4375"/>
    <w:rsid w:val="003B60B3"/>
    <w:rsid w:val="003B75BB"/>
    <w:rsid w:val="003B7E5A"/>
    <w:rsid w:val="003E21A8"/>
    <w:rsid w:val="003E3EDF"/>
    <w:rsid w:val="003F3504"/>
    <w:rsid w:val="003F67F1"/>
    <w:rsid w:val="00400D12"/>
    <w:rsid w:val="004076A7"/>
    <w:rsid w:val="004125C8"/>
    <w:rsid w:val="00420110"/>
    <w:rsid w:val="0042032A"/>
    <w:rsid w:val="00425ACB"/>
    <w:rsid w:val="004278FA"/>
    <w:rsid w:val="004379F2"/>
    <w:rsid w:val="00447AA6"/>
    <w:rsid w:val="0045009B"/>
    <w:rsid w:val="0045101A"/>
    <w:rsid w:val="00461210"/>
    <w:rsid w:val="0046563B"/>
    <w:rsid w:val="00477954"/>
    <w:rsid w:val="004856E8"/>
    <w:rsid w:val="004973C8"/>
    <w:rsid w:val="004A5669"/>
    <w:rsid w:val="004B08C6"/>
    <w:rsid w:val="004B3108"/>
    <w:rsid w:val="004B3335"/>
    <w:rsid w:val="004B3FA1"/>
    <w:rsid w:val="004B4293"/>
    <w:rsid w:val="004B66AD"/>
    <w:rsid w:val="004C49D9"/>
    <w:rsid w:val="004E1DE6"/>
    <w:rsid w:val="004F54E1"/>
    <w:rsid w:val="004F57CC"/>
    <w:rsid w:val="0051381D"/>
    <w:rsid w:val="00520192"/>
    <w:rsid w:val="00530BE9"/>
    <w:rsid w:val="00531FCE"/>
    <w:rsid w:val="00544248"/>
    <w:rsid w:val="005459D5"/>
    <w:rsid w:val="005518E5"/>
    <w:rsid w:val="0055548C"/>
    <w:rsid w:val="00565626"/>
    <w:rsid w:val="00573147"/>
    <w:rsid w:val="00573DE2"/>
    <w:rsid w:val="00575E83"/>
    <w:rsid w:val="0058659A"/>
    <w:rsid w:val="005A5431"/>
    <w:rsid w:val="005B2D1E"/>
    <w:rsid w:val="005B62BC"/>
    <w:rsid w:val="005D3121"/>
    <w:rsid w:val="005D3F4D"/>
    <w:rsid w:val="005D7563"/>
    <w:rsid w:val="005D7C7D"/>
    <w:rsid w:val="005E103E"/>
    <w:rsid w:val="0060380C"/>
    <w:rsid w:val="0060558E"/>
    <w:rsid w:val="006065CF"/>
    <w:rsid w:val="00610B66"/>
    <w:rsid w:val="00612185"/>
    <w:rsid w:val="00623D05"/>
    <w:rsid w:val="0062510F"/>
    <w:rsid w:val="00633A07"/>
    <w:rsid w:val="006425C2"/>
    <w:rsid w:val="00642994"/>
    <w:rsid w:val="00650619"/>
    <w:rsid w:val="00651149"/>
    <w:rsid w:val="0065265E"/>
    <w:rsid w:val="00657184"/>
    <w:rsid w:val="00657C1B"/>
    <w:rsid w:val="006603F4"/>
    <w:rsid w:val="00665847"/>
    <w:rsid w:val="00665BAA"/>
    <w:rsid w:val="0067686B"/>
    <w:rsid w:val="00677EA4"/>
    <w:rsid w:val="00683E9B"/>
    <w:rsid w:val="006A3F4E"/>
    <w:rsid w:val="006A6AF1"/>
    <w:rsid w:val="006B4D00"/>
    <w:rsid w:val="006B7B2F"/>
    <w:rsid w:val="006D1A84"/>
    <w:rsid w:val="006D1D9C"/>
    <w:rsid w:val="006D5856"/>
    <w:rsid w:val="006D7794"/>
    <w:rsid w:val="006F5C23"/>
    <w:rsid w:val="007068BC"/>
    <w:rsid w:val="0071365F"/>
    <w:rsid w:val="007206CE"/>
    <w:rsid w:val="00722E30"/>
    <w:rsid w:val="0072680D"/>
    <w:rsid w:val="0074079C"/>
    <w:rsid w:val="00752DFD"/>
    <w:rsid w:val="0075503F"/>
    <w:rsid w:val="00767585"/>
    <w:rsid w:val="00793354"/>
    <w:rsid w:val="007A5772"/>
    <w:rsid w:val="007B0A30"/>
    <w:rsid w:val="007B0D19"/>
    <w:rsid w:val="007B3DF2"/>
    <w:rsid w:val="007B3F15"/>
    <w:rsid w:val="007B430B"/>
    <w:rsid w:val="007B5F0A"/>
    <w:rsid w:val="007F2D3E"/>
    <w:rsid w:val="00812938"/>
    <w:rsid w:val="00813BFA"/>
    <w:rsid w:val="00814F97"/>
    <w:rsid w:val="008164A4"/>
    <w:rsid w:val="008372FF"/>
    <w:rsid w:val="00837F73"/>
    <w:rsid w:val="00842DE6"/>
    <w:rsid w:val="00847396"/>
    <w:rsid w:val="00863060"/>
    <w:rsid w:val="008707F3"/>
    <w:rsid w:val="008721BD"/>
    <w:rsid w:val="00874CC8"/>
    <w:rsid w:val="00880416"/>
    <w:rsid w:val="00890339"/>
    <w:rsid w:val="008A10BD"/>
    <w:rsid w:val="008A1F53"/>
    <w:rsid w:val="008A2D80"/>
    <w:rsid w:val="008B378D"/>
    <w:rsid w:val="008B4B6A"/>
    <w:rsid w:val="008C0AEB"/>
    <w:rsid w:val="008C0DE1"/>
    <w:rsid w:val="008C1384"/>
    <w:rsid w:val="008C27B1"/>
    <w:rsid w:val="008E5D5E"/>
    <w:rsid w:val="00900AD1"/>
    <w:rsid w:val="0090298C"/>
    <w:rsid w:val="00904531"/>
    <w:rsid w:val="009107EC"/>
    <w:rsid w:val="00920F0A"/>
    <w:rsid w:val="009227E6"/>
    <w:rsid w:val="00936E46"/>
    <w:rsid w:val="00957CBA"/>
    <w:rsid w:val="0096028B"/>
    <w:rsid w:val="00981AF3"/>
    <w:rsid w:val="0098227B"/>
    <w:rsid w:val="00985D0F"/>
    <w:rsid w:val="00997CF0"/>
    <w:rsid w:val="009B60F0"/>
    <w:rsid w:val="009D14F1"/>
    <w:rsid w:val="009D3AFB"/>
    <w:rsid w:val="009D66E0"/>
    <w:rsid w:val="00A00A9E"/>
    <w:rsid w:val="00A14923"/>
    <w:rsid w:val="00A1665E"/>
    <w:rsid w:val="00A229A8"/>
    <w:rsid w:val="00A3370B"/>
    <w:rsid w:val="00A407DC"/>
    <w:rsid w:val="00A4154B"/>
    <w:rsid w:val="00A44F03"/>
    <w:rsid w:val="00A528AE"/>
    <w:rsid w:val="00A553A7"/>
    <w:rsid w:val="00A56B64"/>
    <w:rsid w:val="00A57A01"/>
    <w:rsid w:val="00A60A8B"/>
    <w:rsid w:val="00A625CD"/>
    <w:rsid w:val="00A64646"/>
    <w:rsid w:val="00A657EA"/>
    <w:rsid w:val="00A66C87"/>
    <w:rsid w:val="00A743CE"/>
    <w:rsid w:val="00A82091"/>
    <w:rsid w:val="00A97377"/>
    <w:rsid w:val="00AA6B9F"/>
    <w:rsid w:val="00AB4ECD"/>
    <w:rsid w:val="00AB704A"/>
    <w:rsid w:val="00AC2267"/>
    <w:rsid w:val="00AD381F"/>
    <w:rsid w:val="00B00267"/>
    <w:rsid w:val="00B021FC"/>
    <w:rsid w:val="00B06637"/>
    <w:rsid w:val="00B25188"/>
    <w:rsid w:val="00B30D23"/>
    <w:rsid w:val="00B46BF5"/>
    <w:rsid w:val="00B476F9"/>
    <w:rsid w:val="00B6066A"/>
    <w:rsid w:val="00B70051"/>
    <w:rsid w:val="00B71BCA"/>
    <w:rsid w:val="00BA4544"/>
    <w:rsid w:val="00BA7FC9"/>
    <w:rsid w:val="00BB1E99"/>
    <w:rsid w:val="00BB7DA1"/>
    <w:rsid w:val="00BC4199"/>
    <w:rsid w:val="00C0214D"/>
    <w:rsid w:val="00C13CFE"/>
    <w:rsid w:val="00C15E31"/>
    <w:rsid w:val="00C2772E"/>
    <w:rsid w:val="00C61720"/>
    <w:rsid w:val="00C72CE8"/>
    <w:rsid w:val="00C80B1D"/>
    <w:rsid w:val="00C82668"/>
    <w:rsid w:val="00C83C62"/>
    <w:rsid w:val="00C86314"/>
    <w:rsid w:val="00C879E8"/>
    <w:rsid w:val="00C97754"/>
    <w:rsid w:val="00C97E26"/>
    <w:rsid w:val="00CA085B"/>
    <w:rsid w:val="00CB0736"/>
    <w:rsid w:val="00CB0FCF"/>
    <w:rsid w:val="00CB3E91"/>
    <w:rsid w:val="00CB56DF"/>
    <w:rsid w:val="00CD2C95"/>
    <w:rsid w:val="00CD334A"/>
    <w:rsid w:val="00CD4D3D"/>
    <w:rsid w:val="00CD5B83"/>
    <w:rsid w:val="00CE1680"/>
    <w:rsid w:val="00CE3A0D"/>
    <w:rsid w:val="00CE59C0"/>
    <w:rsid w:val="00CF2034"/>
    <w:rsid w:val="00CF7646"/>
    <w:rsid w:val="00D10C2E"/>
    <w:rsid w:val="00D167DC"/>
    <w:rsid w:val="00D23471"/>
    <w:rsid w:val="00D321C0"/>
    <w:rsid w:val="00D33C7A"/>
    <w:rsid w:val="00D35596"/>
    <w:rsid w:val="00D45195"/>
    <w:rsid w:val="00D54EE8"/>
    <w:rsid w:val="00D64D3D"/>
    <w:rsid w:val="00D755BC"/>
    <w:rsid w:val="00D91036"/>
    <w:rsid w:val="00D91E65"/>
    <w:rsid w:val="00D96466"/>
    <w:rsid w:val="00DA0325"/>
    <w:rsid w:val="00DB7EBF"/>
    <w:rsid w:val="00DC4D75"/>
    <w:rsid w:val="00DD2625"/>
    <w:rsid w:val="00DD3B2F"/>
    <w:rsid w:val="00DD5215"/>
    <w:rsid w:val="00E019FA"/>
    <w:rsid w:val="00E27349"/>
    <w:rsid w:val="00E3128C"/>
    <w:rsid w:val="00E32118"/>
    <w:rsid w:val="00E361BF"/>
    <w:rsid w:val="00E377CF"/>
    <w:rsid w:val="00E51482"/>
    <w:rsid w:val="00E52A3E"/>
    <w:rsid w:val="00E55500"/>
    <w:rsid w:val="00E5761F"/>
    <w:rsid w:val="00E57D51"/>
    <w:rsid w:val="00E63FDE"/>
    <w:rsid w:val="00E71A44"/>
    <w:rsid w:val="00E74A50"/>
    <w:rsid w:val="00E846B5"/>
    <w:rsid w:val="00E8774F"/>
    <w:rsid w:val="00EA32EE"/>
    <w:rsid w:val="00EA6DCA"/>
    <w:rsid w:val="00EC497B"/>
    <w:rsid w:val="00EC4BDD"/>
    <w:rsid w:val="00EC60AD"/>
    <w:rsid w:val="00ED5A8A"/>
    <w:rsid w:val="00EF6952"/>
    <w:rsid w:val="00F11F50"/>
    <w:rsid w:val="00F22F1C"/>
    <w:rsid w:val="00F24713"/>
    <w:rsid w:val="00F258F6"/>
    <w:rsid w:val="00F31ED2"/>
    <w:rsid w:val="00F35019"/>
    <w:rsid w:val="00F43C2B"/>
    <w:rsid w:val="00F43E02"/>
    <w:rsid w:val="00F459D7"/>
    <w:rsid w:val="00F50FB7"/>
    <w:rsid w:val="00F53B66"/>
    <w:rsid w:val="00F561EC"/>
    <w:rsid w:val="00F56358"/>
    <w:rsid w:val="00F575E1"/>
    <w:rsid w:val="00F575F6"/>
    <w:rsid w:val="00F60C32"/>
    <w:rsid w:val="00F61288"/>
    <w:rsid w:val="00F701F9"/>
    <w:rsid w:val="00F84FAD"/>
    <w:rsid w:val="00F93BDA"/>
    <w:rsid w:val="00FB216A"/>
    <w:rsid w:val="00FB23F9"/>
    <w:rsid w:val="00FB6FB7"/>
    <w:rsid w:val="00FC2114"/>
    <w:rsid w:val="00FC4EC1"/>
    <w:rsid w:val="00FC7998"/>
    <w:rsid w:val="00FE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630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3060"/>
    <w:rPr>
      <w:sz w:val="20"/>
      <w:szCs w:val="20"/>
    </w:rPr>
  </w:style>
  <w:style w:type="character" w:styleId="EndnoteReference">
    <w:name w:val="endnote reference"/>
    <w:basedOn w:val="DefaultParagraphFont"/>
    <w:uiPriority w:val="99"/>
    <w:semiHidden/>
    <w:unhideWhenUsed/>
    <w:rsid w:val="00863060"/>
    <w:rPr>
      <w:vertAlign w:val="superscript"/>
    </w:rPr>
  </w:style>
  <w:style w:type="paragraph" w:styleId="BalloonText">
    <w:name w:val="Balloon Text"/>
    <w:basedOn w:val="Normal"/>
    <w:link w:val="BalloonTextChar"/>
    <w:uiPriority w:val="99"/>
    <w:semiHidden/>
    <w:unhideWhenUsed/>
    <w:rsid w:val="00FC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EC1"/>
    <w:rPr>
      <w:rFonts w:ascii="Tahoma" w:hAnsi="Tahoma" w:cs="Tahoma"/>
      <w:sz w:val="16"/>
      <w:szCs w:val="16"/>
    </w:rPr>
  </w:style>
  <w:style w:type="paragraph" w:styleId="ListParagraph">
    <w:name w:val="List Paragraph"/>
    <w:basedOn w:val="Normal"/>
    <w:uiPriority w:val="34"/>
    <w:qFormat/>
    <w:rsid w:val="00F701F9"/>
    <w:pPr>
      <w:ind w:left="720"/>
      <w:contextualSpacing/>
    </w:pPr>
  </w:style>
  <w:style w:type="paragraph" w:styleId="Header">
    <w:name w:val="header"/>
    <w:basedOn w:val="Normal"/>
    <w:link w:val="HeaderChar"/>
    <w:uiPriority w:val="99"/>
    <w:unhideWhenUsed/>
    <w:rsid w:val="00F43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C2B"/>
  </w:style>
  <w:style w:type="paragraph" w:styleId="Footer">
    <w:name w:val="footer"/>
    <w:basedOn w:val="Normal"/>
    <w:link w:val="FooterChar"/>
    <w:uiPriority w:val="99"/>
    <w:unhideWhenUsed/>
    <w:rsid w:val="00F43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C2B"/>
  </w:style>
  <w:style w:type="character" w:customStyle="1" w:styleId="MathematicaFormatStandardForm">
    <w:name w:val="MathematicaFormatStandardForm"/>
    <w:uiPriority w:val="99"/>
    <w:rsid w:val="004076A7"/>
    <w:rPr>
      <w:rFonts w:ascii="Courier" w:hAnsi="Courier" w:cs="Courier"/>
    </w:rPr>
  </w:style>
  <w:style w:type="paragraph" w:styleId="FootnoteText">
    <w:name w:val="footnote text"/>
    <w:basedOn w:val="Normal"/>
    <w:link w:val="FootnoteTextChar"/>
    <w:uiPriority w:val="99"/>
    <w:unhideWhenUsed/>
    <w:rsid w:val="0075503F"/>
    <w:pPr>
      <w:spacing w:after="0" w:line="240" w:lineRule="auto"/>
    </w:pPr>
    <w:rPr>
      <w:sz w:val="20"/>
      <w:szCs w:val="20"/>
    </w:rPr>
  </w:style>
  <w:style w:type="character" w:customStyle="1" w:styleId="FootnoteTextChar">
    <w:name w:val="Footnote Text Char"/>
    <w:basedOn w:val="DefaultParagraphFont"/>
    <w:link w:val="FootnoteText"/>
    <w:uiPriority w:val="99"/>
    <w:rsid w:val="0075503F"/>
    <w:rPr>
      <w:sz w:val="20"/>
      <w:szCs w:val="20"/>
    </w:rPr>
  </w:style>
  <w:style w:type="character" w:styleId="FootnoteReference">
    <w:name w:val="footnote reference"/>
    <w:basedOn w:val="DefaultParagraphFont"/>
    <w:uiPriority w:val="99"/>
    <w:semiHidden/>
    <w:unhideWhenUsed/>
    <w:rsid w:val="0075503F"/>
    <w:rPr>
      <w:vertAlign w:val="superscript"/>
    </w:rPr>
  </w:style>
  <w:style w:type="table" w:styleId="TableGrid">
    <w:name w:val="Table Grid"/>
    <w:basedOn w:val="TableNormal"/>
    <w:uiPriority w:val="59"/>
    <w:rsid w:val="00837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B4B6A"/>
    <w:rPr>
      <w:sz w:val="16"/>
      <w:szCs w:val="16"/>
    </w:rPr>
  </w:style>
  <w:style w:type="paragraph" w:styleId="CommentText">
    <w:name w:val="annotation text"/>
    <w:basedOn w:val="Normal"/>
    <w:link w:val="CommentTextChar"/>
    <w:uiPriority w:val="99"/>
    <w:semiHidden/>
    <w:unhideWhenUsed/>
    <w:rsid w:val="008B4B6A"/>
    <w:pPr>
      <w:spacing w:line="240" w:lineRule="auto"/>
    </w:pPr>
    <w:rPr>
      <w:sz w:val="20"/>
      <w:szCs w:val="20"/>
    </w:rPr>
  </w:style>
  <w:style w:type="character" w:customStyle="1" w:styleId="CommentTextChar">
    <w:name w:val="Comment Text Char"/>
    <w:basedOn w:val="DefaultParagraphFont"/>
    <w:link w:val="CommentText"/>
    <w:uiPriority w:val="99"/>
    <w:semiHidden/>
    <w:rsid w:val="008B4B6A"/>
    <w:rPr>
      <w:sz w:val="20"/>
      <w:szCs w:val="20"/>
    </w:rPr>
  </w:style>
  <w:style w:type="paragraph" w:styleId="CommentSubject">
    <w:name w:val="annotation subject"/>
    <w:basedOn w:val="CommentText"/>
    <w:next w:val="CommentText"/>
    <w:link w:val="CommentSubjectChar"/>
    <w:uiPriority w:val="99"/>
    <w:semiHidden/>
    <w:unhideWhenUsed/>
    <w:rsid w:val="008B4B6A"/>
    <w:rPr>
      <w:b/>
      <w:bCs/>
    </w:rPr>
  </w:style>
  <w:style w:type="character" w:customStyle="1" w:styleId="CommentSubjectChar">
    <w:name w:val="Comment Subject Char"/>
    <w:basedOn w:val="CommentTextChar"/>
    <w:link w:val="CommentSubject"/>
    <w:uiPriority w:val="99"/>
    <w:semiHidden/>
    <w:rsid w:val="008B4B6A"/>
    <w:rPr>
      <w:b/>
      <w:bCs/>
      <w:sz w:val="20"/>
      <w:szCs w:val="20"/>
    </w:rPr>
  </w:style>
  <w:style w:type="paragraph" w:styleId="Revision">
    <w:name w:val="Revision"/>
    <w:hidden/>
    <w:uiPriority w:val="99"/>
    <w:semiHidden/>
    <w:rsid w:val="000719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630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3060"/>
    <w:rPr>
      <w:sz w:val="20"/>
      <w:szCs w:val="20"/>
    </w:rPr>
  </w:style>
  <w:style w:type="character" w:styleId="EndnoteReference">
    <w:name w:val="endnote reference"/>
    <w:basedOn w:val="DefaultParagraphFont"/>
    <w:uiPriority w:val="99"/>
    <w:semiHidden/>
    <w:unhideWhenUsed/>
    <w:rsid w:val="00863060"/>
    <w:rPr>
      <w:vertAlign w:val="superscript"/>
    </w:rPr>
  </w:style>
  <w:style w:type="paragraph" w:styleId="BalloonText">
    <w:name w:val="Balloon Text"/>
    <w:basedOn w:val="Normal"/>
    <w:link w:val="BalloonTextChar"/>
    <w:uiPriority w:val="99"/>
    <w:semiHidden/>
    <w:unhideWhenUsed/>
    <w:rsid w:val="00FC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EC1"/>
    <w:rPr>
      <w:rFonts w:ascii="Tahoma" w:hAnsi="Tahoma" w:cs="Tahoma"/>
      <w:sz w:val="16"/>
      <w:szCs w:val="16"/>
    </w:rPr>
  </w:style>
  <w:style w:type="paragraph" w:styleId="ListParagraph">
    <w:name w:val="List Paragraph"/>
    <w:basedOn w:val="Normal"/>
    <w:uiPriority w:val="34"/>
    <w:qFormat/>
    <w:rsid w:val="00F701F9"/>
    <w:pPr>
      <w:ind w:left="720"/>
      <w:contextualSpacing/>
    </w:pPr>
  </w:style>
  <w:style w:type="paragraph" w:styleId="Header">
    <w:name w:val="header"/>
    <w:basedOn w:val="Normal"/>
    <w:link w:val="HeaderChar"/>
    <w:uiPriority w:val="99"/>
    <w:unhideWhenUsed/>
    <w:rsid w:val="00F43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C2B"/>
  </w:style>
  <w:style w:type="paragraph" w:styleId="Footer">
    <w:name w:val="footer"/>
    <w:basedOn w:val="Normal"/>
    <w:link w:val="FooterChar"/>
    <w:uiPriority w:val="99"/>
    <w:unhideWhenUsed/>
    <w:rsid w:val="00F43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C2B"/>
  </w:style>
  <w:style w:type="character" w:customStyle="1" w:styleId="MathematicaFormatStandardForm">
    <w:name w:val="MathematicaFormatStandardForm"/>
    <w:uiPriority w:val="99"/>
    <w:rsid w:val="004076A7"/>
    <w:rPr>
      <w:rFonts w:ascii="Courier" w:hAnsi="Courier" w:cs="Courier"/>
    </w:rPr>
  </w:style>
  <w:style w:type="paragraph" w:styleId="FootnoteText">
    <w:name w:val="footnote text"/>
    <w:basedOn w:val="Normal"/>
    <w:link w:val="FootnoteTextChar"/>
    <w:uiPriority w:val="99"/>
    <w:unhideWhenUsed/>
    <w:rsid w:val="0075503F"/>
    <w:pPr>
      <w:spacing w:after="0" w:line="240" w:lineRule="auto"/>
    </w:pPr>
    <w:rPr>
      <w:sz w:val="20"/>
      <w:szCs w:val="20"/>
    </w:rPr>
  </w:style>
  <w:style w:type="character" w:customStyle="1" w:styleId="FootnoteTextChar">
    <w:name w:val="Footnote Text Char"/>
    <w:basedOn w:val="DefaultParagraphFont"/>
    <w:link w:val="FootnoteText"/>
    <w:uiPriority w:val="99"/>
    <w:rsid w:val="0075503F"/>
    <w:rPr>
      <w:sz w:val="20"/>
      <w:szCs w:val="20"/>
    </w:rPr>
  </w:style>
  <w:style w:type="character" w:styleId="FootnoteReference">
    <w:name w:val="footnote reference"/>
    <w:basedOn w:val="DefaultParagraphFont"/>
    <w:uiPriority w:val="99"/>
    <w:semiHidden/>
    <w:unhideWhenUsed/>
    <w:rsid w:val="0075503F"/>
    <w:rPr>
      <w:vertAlign w:val="superscript"/>
    </w:rPr>
  </w:style>
  <w:style w:type="table" w:styleId="TableGrid">
    <w:name w:val="Table Grid"/>
    <w:basedOn w:val="TableNormal"/>
    <w:uiPriority w:val="59"/>
    <w:rsid w:val="00837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B4B6A"/>
    <w:rPr>
      <w:sz w:val="16"/>
      <w:szCs w:val="16"/>
    </w:rPr>
  </w:style>
  <w:style w:type="paragraph" w:styleId="CommentText">
    <w:name w:val="annotation text"/>
    <w:basedOn w:val="Normal"/>
    <w:link w:val="CommentTextChar"/>
    <w:uiPriority w:val="99"/>
    <w:semiHidden/>
    <w:unhideWhenUsed/>
    <w:rsid w:val="008B4B6A"/>
    <w:pPr>
      <w:spacing w:line="240" w:lineRule="auto"/>
    </w:pPr>
    <w:rPr>
      <w:sz w:val="20"/>
      <w:szCs w:val="20"/>
    </w:rPr>
  </w:style>
  <w:style w:type="character" w:customStyle="1" w:styleId="CommentTextChar">
    <w:name w:val="Comment Text Char"/>
    <w:basedOn w:val="DefaultParagraphFont"/>
    <w:link w:val="CommentText"/>
    <w:uiPriority w:val="99"/>
    <w:semiHidden/>
    <w:rsid w:val="008B4B6A"/>
    <w:rPr>
      <w:sz w:val="20"/>
      <w:szCs w:val="20"/>
    </w:rPr>
  </w:style>
  <w:style w:type="paragraph" w:styleId="CommentSubject">
    <w:name w:val="annotation subject"/>
    <w:basedOn w:val="CommentText"/>
    <w:next w:val="CommentText"/>
    <w:link w:val="CommentSubjectChar"/>
    <w:uiPriority w:val="99"/>
    <w:semiHidden/>
    <w:unhideWhenUsed/>
    <w:rsid w:val="008B4B6A"/>
    <w:rPr>
      <w:b/>
      <w:bCs/>
    </w:rPr>
  </w:style>
  <w:style w:type="character" w:customStyle="1" w:styleId="CommentSubjectChar">
    <w:name w:val="Comment Subject Char"/>
    <w:basedOn w:val="CommentTextChar"/>
    <w:link w:val="CommentSubject"/>
    <w:uiPriority w:val="99"/>
    <w:semiHidden/>
    <w:rsid w:val="008B4B6A"/>
    <w:rPr>
      <w:b/>
      <w:bCs/>
      <w:sz w:val="20"/>
      <w:szCs w:val="20"/>
    </w:rPr>
  </w:style>
  <w:style w:type="paragraph" w:styleId="Revision">
    <w:name w:val="Revision"/>
    <w:hidden/>
    <w:uiPriority w:val="99"/>
    <w:semiHidden/>
    <w:rsid w:val="000719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5130</Characters>
  <Application>Microsoft Office Word</Application>
  <DocSecurity>0</DocSecurity>
  <Lines>154</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2015-04-16T19:15:00Z</dcterms:created>
  <dcterms:modified xsi:type="dcterms:W3CDTF">2015-04-16T19:15:00Z</dcterms:modified>
  <cp:category> </cp:category>
  <cp:contentStatus> </cp:contentStatus>
</cp:coreProperties>
</file>