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F6" w:rsidRDefault="00CF33F6" w:rsidP="00CF33F6">
      <w:pPr>
        <w:spacing w:after="0" w:line="240" w:lineRule="auto"/>
        <w:jc w:val="center"/>
        <w:rPr>
          <w:b/>
        </w:rPr>
      </w:pPr>
      <w:bookmarkStart w:id="0" w:name="_GoBack"/>
      <w:bookmarkEnd w:id="0"/>
      <w:r>
        <w:rPr>
          <w:b/>
        </w:rPr>
        <w:t xml:space="preserve">Remarks of </w:t>
      </w:r>
    </w:p>
    <w:p w:rsidR="00CF33F6" w:rsidRDefault="00CF33F6" w:rsidP="00CF33F6">
      <w:pPr>
        <w:spacing w:after="0" w:line="240" w:lineRule="auto"/>
        <w:jc w:val="center"/>
        <w:rPr>
          <w:b/>
        </w:rPr>
      </w:pPr>
      <w:r>
        <w:rPr>
          <w:b/>
        </w:rPr>
        <w:t>Commissioner Michael O’Rielly, Federal Communications Commission</w:t>
      </w:r>
    </w:p>
    <w:p w:rsidR="00CF33F6" w:rsidRDefault="00CF33F6" w:rsidP="00CF33F6">
      <w:pPr>
        <w:spacing w:after="0" w:line="240" w:lineRule="auto"/>
        <w:jc w:val="center"/>
        <w:rPr>
          <w:rFonts w:cstheme="minorHAnsi"/>
          <w:b/>
        </w:rPr>
      </w:pPr>
      <w:r>
        <w:rPr>
          <w:rFonts w:cstheme="minorHAnsi"/>
          <w:b/>
        </w:rPr>
        <w:t>Before PCIA – The Wireless Infrastructure Association</w:t>
      </w:r>
    </w:p>
    <w:p w:rsidR="00CF33F6" w:rsidRDefault="00CF33F6" w:rsidP="00CF33F6">
      <w:pPr>
        <w:spacing w:after="0" w:line="240" w:lineRule="auto"/>
        <w:jc w:val="center"/>
        <w:rPr>
          <w:rFonts w:cstheme="minorHAnsi"/>
          <w:b/>
        </w:rPr>
      </w:pPr>
      <w:r>
        <w:rPr>
          <w:rFonts w:cstheme="minorHAnsi"/>
          <w:b/>
        </w:rPr>
        <w:t>2015 Wireless Infrastructure Show</w:t>
      </w:r>
    </w:p>
    <w:p w:rsidR="00CF33F6" w:rsidRDefault="00CF33F6" w:rsidP="00CF33F6">
      <w:pPr>
        <w:spacing w:after="0" w:line="240" w:lineRule="auto"/>
        <w:jc w:val="center"/>
        <w:rPr>
          <w:b/>
        </w:rPr>
      </w:pPr>
      <w:r>
        <w:rPr>
          <w:b/>
        </w:rPr>
        <w:t>April 28, 2015</w:t>
      </w:r>
    </w:p>
    <w:p w:rsidR="00183E56" w:rsidRDefault="00CF33F6" w:rsidP="00CF33F6">
      <w:pPr>
        <w:jc w:val="center"/>
        <w:rPr>
          <w:b/>
        </w:rPr>
      </w:pPr>
      <w:r>
        <w:rPr>
          <w:b/>
        </w:rPr>
        <w:t>(as delivered)</w:t>
      </w:r>
    </w:p>
    <w:p w:rsidR="00CF33F6" w:rsidRDefault="00CF33F6" w:rsidP="00B475E7">
      <w:pPr>
        <w:spacing w:line="240" w:lineRule="auto"/>
        <w:ind w:firstLine="720"/>
      </w:pPr>
      <w:r w:rsidRPr="004F1600">
        <w:t>It is a pleasure to be here with you this morning at the 2015 Wireless Infrastructure Show.  Considering the location of this event, I was concerned that conference goers would opt for the beach, instead of listening to an FCC Commissioner.</w:t>
      </w:r>
      <w:r w:rsidR="00F479E4" w:rsidRPr="004F1600">
        <w:t xml:space="preserve"> </w:t>
      </w:r>
      <w:r w:rsidRPr="004F1600">
        <w:t xml:space="preserve"> </w:t>
      </w:r>
      <w:r w:rsidR="00713AF3" w:rsidRPr="004F1600">
        <w:t>Frankly, not all Commissioners can be as entertaining as Jonat</w:t>
      </w:r>
      <w:r w:rsidR="00F479E4" w:rsidRPr="004F1600">
        <w:t xml:space="preserve">han Adelstein.  </w:t>
      </w:r>
      <w:r w:rsidR="002B4671" w:rsidRPr="004F1600">
        <w:t>N</w:t>
      </w:r>
      <w:r w:rsidR="00713AF3" w:rsidRPr="004F1600">
        <w:t>o one will label me as</w:t>
      </w:r>
      <w:r w:rsidR="00F479E4" w:rsidRPr="004F1600">
        <w:t xml:space="preserve"> the greatest harmonica playing Commissioner </w:t>
      </w:r>
      <w:r w:rsidR="00713AF3" w:rsidRPr="004F1600">
        <w:t xml:space="preserve">ever.  Joking aside, </w:t>
      </w:r>
      <w:r w:rsidR="00D63EA1" w:rsidRPr="004F1600">
        <w:t>Jonathan</w:t>
      </w:r>
      <w:r w:rsidR="00F479E4" w:rsidRPr="004F1600">
        <w:t xml:space="preserve"> was one of the first people to reach out when I became a Commissioner a year and a half ago.  </w:t>
      </w:r>
      <w:r w:rsidR="00D57605">
        <w:t>H</w:t>
      </w:r>
      <w:r w:rsidR="00F479E4" w:rsidRPr="004F1600">
        <w:t xml:space="preserve">e congratulated me, told me I would do a great job, and then, of course, </w:t>
      </w:r>
      <w:r w:rsidR="00AB77E2">
        <w:t xml:space="preserve">made the obligatory request that I </w:t>
      </w:r>
      <w:r w:rsidR="00F479E4" w:rsidRPr="004F1600">
        <w:t>speak</w:t>
      </w:r>
      <w:r w:rsidR="00AB77E2">
        <w:t xml:space="preserve"> to the</w:t>
      </w:r>
      <w:r w:rsidR="00F479E4" w:rsidRPr="004F1600">
        <w:t xml:space="preserve"> PCIA</w:t>
      </w:r>
      <w:r w:rsidR="00AB77E2">
        <w:t xml:space="preserve"> members</w:t>
      </w:r>
      <w:r w:rsidR="00F479E4" w:rsidRPr="004F1600">
        <w:t xml:space="preserve">.  </w:t>
      </w:r>
      <w:r w:rsidR="00AC47AE">
        <w:t>After some delay</w:t>
      </w:r>
      <w:r w:rsidR="00F479E4" w:rsidRPr="004F1600">
        <w:t xml:space="preserve">, due to scheduling conflicts, </w:t>
      </w:r>
      <w:r w:rsidR="00AC47AE">
        <w:t>here I am</w:t>
      </w:r>
      <w:r w:rsidR="00F479E4" w:rsidRPr="004F1600">
        <w:t>.</w:t>
      </w:r>
    </w:p>
    <w:p w:rsidR="00BE7130" w:rsidRPr="00BE7130" w:rsidRDefault="00BE7130" w:rsidP="00B475E7">
      <w:pPr>
        <w:spacing w:line="240" w:lineRule="auto"/>
        <w:rPr>
          <w:i/>
        </w:rPr>
      </w:pPr>
      <w:r w:rsidRPr="00BE7130">
        <w:rPr>
          <w:i/>
        </w:rPr>
        <w:t>Wireless Sector Growth</w:t>
      </w:r>
    </w:p>
    <w:p w:rsidR="00F23070" w:rsidRPr="004F1600" w:rsidRDefault="00AB77E2" w:rsidP="00B475E7">
      <w:pPr>
        <w:spacing w:line="240" w:lineRule="auto"/>
        <w:ind w:firstLine="720"/>
      </w:pPr>
      <w:r>
        <w:t>As you know, t</w:t>
      </w:r>
      <w:r w:rsidR="00D42833" w:rsidRPr="004F1600">
        <w:t xml:space="preserve">he </w:t>
      </w:r>
      <w:r w:rsidR="00E43BB7" w:rsidRPr="004F1600">
        <w:t xml:space="preserve">wireless </w:t>
      </w:r>
      <w:r w:rsidR="00D42833" w:rsidRPr="004F1600">
        <w:t xml:space="preserve">industry </w:t>
      </w:r>
      <w:r w:rsidR="00A64909" w:rsidRPr="004F1600">
        <w:t>is experiencing an era of</w:t>
      </w:r>
      <w:r w:rsidR="00D42833" w:rsidRPr="004F1600">
        <w:t xml:space="preserve"> tremendous growth.</w:t>
      </w:r>
      <w:r w:rsidR="00F23070" w:rsidRPr="004F1600">
        <w:t xml:space="preserve">  Last year alone, U.S. mobile data traffic grew by 63 percent and a total of 401 million</w:t>
      </w:r>
      <w:r w:rsidR="0009349C">
        <w:t xml:space="preserve"> devices accessed the Internet.</w:t>
      </w:r>
      <w:r w:rsidR="003E4060">
        <w:rPr>
          <w:rStyle w:val="FootnoteReference"/>
        </w:rPr>
        <w:footnoteReference w:id="1"/>
      </w:r>
      <w:r w:rsidR="00F23070" w:rsidRPr="004F1600">
        <w:t xml:space="preserve">  </w:t>
      </w:r>
      <w:r w:rsidR="0043528E" w:rsidRPr="004F1600">
        <w:t>It is projected that over these next five</w:t>
      </w:r>
      <w:r w:rsidR="00F23070" w:rsidRPr="004F1600">
        <w:t xml:space="preserve"> years mobile data traffic will multiply by a factor of seven and there will be </w:t>
      </w:r>
      <w:r w:rsidR="00D57605">
        <w:t>over a</w:t>
      </w:r>
      <w:r w:rsidR="00F23070" w:rsidRPr="004F1600">
        <w:t xml:space="preserve"> </w:t>
      </w:r>
      <w:r w:rsidR="00AC47AE">
        <w:t>b</w:t>
      </w:r>
      <w:r w:rsidR="00F23070" w:rsidRPr="004F1600">
        <w:t>illion mobile connected devices in this country alone.</w:t>
      </w:r>
      <w:r w:rsidR="003E4060">
        <w:rPr>
          <w:rStyle w:val="FootnoteReference"/>
        </w:rPr>
        <w:footnoteReference w:id="2"/>
      </w:r>
      <w:r w:rsidR="00F23070" w:rsidRPr="004F1600">
        <w:t xml:space="preserve">  </w:t>
      </w:r>
      <w:r w:rsidR="0043528E" w:rsidRPr="004F1600">
        <w:t xml:space="preserve">Your </w:t>
      </w:r>
      <w:r>
        <w:t xml:space="preserve">infrastructure will </w:t>
      </w:r>
      <w:r w:rsidR="0043528E" w:rsidRPr="004F1600">
        <w:t>s</w:t>
      </w:r>
      <w:r>
        <w:t>upport</w:t>
      </w:r>
      <w:r w:rsidR="0043528E" w:rsidRPr="004F1600">
        <w:t xml:space="preserve"> </w:t>
      </w:r>
      <w:r>
        <w:t xml:space="preserve">networks that </w:t>
      </w:r>
      <w:r w:rsidR="0043528E" w:rsidRPr="004F1600">
        <w:t>will</w:t>
      </w:r>
      <w:r>
        <w:t xml:space="preserve"> have</w:t>
      </w:r>
      <w:r w:rsidR="0043528E" w:rsidRPr="004F1600">
        <w:t xml:space="preserve"> to </w:t>
      </w:r>
      <w:r w:rsidR="00D86822" w:rsidRPr="004F1600">
        <w:t>accommodate</w:t>
      </w:r>
      <w:r w:rsidR="0043528E" w:rsidRPr="004F1600">
        <w:t xml:space="preserve"> the </w:t>
      </w:r>
      <w:r>
        <w:t>increasing consumption of</w:t>
      </w:r>
      <w:r w:rsidR="0043528E" w:rsidRPr="004F1600">
        <w:t xml:space="preserve"> video, which </w:t>
      </w:r>
      <w:r w:rsidR="00F23070" w:rsidRPr="004F1600">
        <w:t>is expected to increase 8.6 times between now and 2019 and will comprise 75 p</w:t>
      </w:r>
      <w:r w:rsidR="0009349C">
        <w:t>ercent of mobile transmissions.</w:t>
      </w:r>
      <w:r w:rsidR="003E4060">
        <w:rPr>
          <w:rStyle w:val="FootnoteReference"/>
        </w:rPr>
        <w:footnoteReference w:id="3"/>
      </w:r>
      <w:r w:rsidR="00F23070" w:rsidRPr="004F1600">
        <w:t xml:space="preserve">  </w:t>
      </w:r>
      <w:r w:rsidR="0043528E" w:rsidRPr="004F1600">
        <w:t xml:space="preserve">Not to mention, </w:t>
      </w:r>
      <w:r w:rsidR="00D86822" w:rsidRPr="004F1600">
        <w:t xml:space="preserve">in the same timeframe, </w:t>
      </w:r>
      <w:r w:rsidR="0043528E" w:rsidRPr="004F1600">
        <w:t xml:space="preserve">the traffic </w:t>
      </w:r>
      <w:r w:rsidR="00D86822" w:rsidRPr="004F1600">
        <w:t xml:space="preserve">from </w:t>
      </w:r>
      <w:r w:rsidR="0043528E" w:rsidRPr="004F1600">
        <w:t>w</w:t>
      </w:r>
      <w:r w:rsidR="00F23070" w:rsidRPr="004F1600">
        <w:t xml:space="preserve">earable devices </w:t>
      </w:r>
      <w:r w:rsidR="00D86822" w:rsidRPr="004F1600">
        <w:t xml:space="preserve">and M2M modules </w:t>
      </w:r>
      <w:r w:rsidR="00F23070" w:rsidRPr="004F1600">
        <w:t xml:space="preserve">are expected to increase 19 </w:t>
      </w:r>
      <w:r w:rsidR="00D86822" w:rsidRPr="004F1600">
        <w:t xml:space="preserve">and 49 </w:t>
      </w:r>
      <w:r w:rsidR="00F23070" w:rsidRPr="004F1600">
        <w:t>fold</w:t>
      </w:r>
      <w:r w:rsidR="00D86822" w:rsidRPr="004F1600">
        <w:t>, respectively</w:t>
      </w:r>
      <w:r w:rsidR="00F23070" w:rsidRPr="004F1600">
        <w:t>.</w:t>
      </w:r>
      <w:r w:rsidR="003E4060">
        <w:rPr>
          <w:rStyle w:val="FootnoteReference"/>
        </w:rPr>
        <w:footnoteReference w:id="4"/>
      </w:r>
      <w:r w:rsidR="00F23070" w:rsidRPr="004F1600">
        <w:t xml:space="preserve">   </w:t>
      </w:r>
    </w:p>
    <w:p w:rsidR="003854BE" w:rsidRPr="004F1600" w:rsidRDefault="00D86822" w:rsidP="00B475E7">
      <w:pPr>
        <w:spacing w:line="240" w:lineRule="auto"/>
        <w:ind w:firstLine="720"/>
      </w:pPr>
      <w:r w:rsidRPr="004F1600">
        <w:t>Plans must be in place to ensure that we can</w:t>
      </w:r>
      <w:r w:rsidR="00A64909" w:rsidRPr="004F1600">
        <w:t xml:space="preserve"> keep pace with </w:t>
      </w:r>
      <w:r w:rsidRPr="004F1600">
        <w:t>America’s</w:t>
      </w:r>
      <w:r w:rsidR="00A64909" w:rsidRPr="004F1600">
        <w:t xml:space="preserve"> insatiable demand for mobile </w:t>
      </w:r>
      <w:r w:rsidRPr="004F1600">
        <w:t>communications</w:t>
      </w:r>
      <w:r w:rsidR="003854BE" w:rsidRPr="004F1600">
        <w:t xml:space="preserve">.  </w:t>
      </w:r>
      <w:r w:rsidRPr="004F1600">
        <w:t>To</w:t>
      </w:r>
      <w:r w:rsidR="003854BE" w:rsidRPr="004F1600">
        <w:t xml:space="preserve"> relieve network congestion</w:t>
      </w:r>
      <w:r w:rsidRPr="004F1600">
        <w:t xml:space="preserve"> and provide capacity for next generation products, we either need</w:t>
      </w:r>
      <w:r w:rsidR="003854BE" w:rsidRPr="004F1600">
        <w:t xml:space="preserve"> more infrastructure </w:t>
      </w:r>
      <w:r w:rsidRPr="004F1600">
        <w:t>or</w:t>
      </w:r>
      <w:r w:rsidR="003854BE" w:rsidRPr="004F1600">
        <w:t xml:space="preserve"> more spectrum</w:t>
      </w:r>
      <w:r w:rsidRPr="004F1600">
        <w:t>, or ideally a combination of both</w:t>
      </w:r>
      <w:r w:rsidR="003854BE" w:rsidRPr="004F1600">
        <w:t xml:space="preserve">.  </w:t>
      </w:r>
      <w:r w:rsidR="006E5D62" w:rsidRPr="004F1600">
        <w:t xml:space="preserve">I saw an interesting statistic recently.  If </w:t>
      </w:r>
      <w:r w:rsidR="00AB77E2">
        <w:t xml:space="preserve">the </w:t>
      </w:r>
      <w:r w:rsidR="00E821D9">
        <w:t xml:space="preserve">increasing </w:t>
      </w:r>
      <w:r w:rsidR="00AB77E2">
        <w:t>mobile traffic</w:t>
      </w:r>
      <w:r w:rsidR="006E5D62" w:rsidRPr="004F1600">
        <w:t xml:space="preserve"> had to be relieved by infrastructure </w:t>
      </w:r>
      <w:r w:rsidR="006E5D62" w:rsidRPr="004F1600">
        <w:lastRenderedPageBreak/>
        <w:t>alone, meaning no additional spectrum or improvements to spectral efficiency, it was suggested that we would have to “go from 300,000 cell sites in the U.S. to having a need for 4.3 million.”</w:t>
      </w:r>
      <w:r w:rsidR="003E4060">
        <w:rPr>
          <w:rStyle w:val="FootnoteReference"/>
        </w:rPr>
        <w:footnoteReference w:id="5"/>
      </w:r>
      <w:r w:rsidR="006E5D62" w:rsidRPr="004F1600">
        <w:t xml:space="preserve">  Luckily, we are not in this dire situation</w:t>
      </w:r>
      <w:r w:rsidR="000B121E">
        <w:t xml:space="preserve"> due to the Commission’s efforts on the spectrum front</w:t>
      </w:r>
      <w:r w:rsidR="006E5D62" w:rsidRPr="004F1600">
        <w:t xml:space="preserve">.  </w:t>
      </w:r>
    </w:p>
    <w:p w:rsidR="007B6709" w:rsidRDefault="009D4C07" w:rsidP="00B475E7">
      <w:pPr>
        <w:spacing w:line="240" w:lineRule="auto"/>
        <w:ind w:firstLine="720"/>
      </w:pPr>
      <w:r w:rsidRPr="004F1600">
        <w:t>The Commission is in the process of releasing more spectrum into the marketplace.  W</w:t>
      </w:r>
      <w:r w:rsidR="007B6709" w:rsidRPr="004F1600">
        <w:t xml:space="preserve">e recently completed the AWS-3 auction, raising </w:t>
      </w:r>
      <w:r w:rsidRPr="004F1600">
        <w:t>almost</w:t>
      </w:r>
      <w:r w:rsidR="007B6709" w:rsidRPr="004F1600">
        <w:t xml:space="preserve"> $4</w:t>
      </w:r>
      <w:r w:rsidRPr="004F1600">
        <w:t>5 billion</w:t>
      </w:r>
      <w:r w:rsidR="007B6709" w:rsidRPr="004F1600">
        <w:t xml:space="preserve"> in </w:t>
      </w:r>
      <w:r w:rsidR="0004335E">
        <w:t xml:space="preserve">gross </w:t>
      </w:r>
      <w:r w:rsidR="007B6709" w:rsidRPr="004F1600">
        <w:t>revenues, demonstrating the great demand for exclusive use licenses.</w:t>
      </w:r>
      <w:r w:rsidR="003E4060">
        <w:rPr>
          <w:rStyle w:val="FootnoteReference"/>
        </w:rPr>
        <w:footnoteReference w:id="6"/>
      </w:r>
      <w:r w:rsidR="007B6709" w:rsidRPr="004F1600">
        <w:t xml:space="preserve">  Similarly, we will have the broadcast incentive auction, currently scheduled for early 2016, which will reallocate broadcast spectrum to wireless use.  </w:t>
      </w:r>
      <w:r w:rsidR="00CF43D0" w:rsidRPr="004F1600">
        <w:t xml:space="preserve">This effort will not only provide 600 MHz spectrum for auction, but also </w:t>
      </w:r>
      <w:r w:rsidR="0004335E">
        <w:t xml:space="preserve">some </w:t>
      </w:r>
      <w:r w:rsidR="00CF43D0" w:rsidRPr="004F1600">
        <w:t>bandwidth for unlicensed use.</w:t>
      </w:r>
      <w:r w:rsidR="00FD047A">
        <w:rPr>
          <w:rStyle w:val="FootnoteReference"/>
        </w:rPr>
        <w:footnoteReference w:id="7"/>
      </w:r>
      <w:r w:rsidR="00CF43D0" w:rsidRPr="004F1600">
        <w:t xml:space="preserve">  </w:t>
      </w:r>
      <w:r w:rsidR="00E821D9">
        <w:t>Further</w:t>
      </w:r>
      <w:r w:rsidR="00CF43D0" w:rsidRPr="004F1600">
        <w:t xml:space="preserve">, the Commission has freed </w:t>
      </w:r>
      <w:r w:rsidR="00CF43D0" w:rsidRPr="00B475E7">
        <w:t xml:space="preserve">up </w:t>
      </w:r>
      <w:r w:rsidR="00742FCC" w:rsidRPr="00B475E7">
        <w:t>1</w:t>
      </w:r>
      <w:r w:rsidR="0009349C" w:rsidRPr="00B475E7">
        <w:t>0</w:t>
      </w:r>
      <w:r w:rsidR="00742FCC" w:rsidRPr="00B475E7">
        <w:t>0</w:t>
      </w:r>
      <w:r w:rsidR="00742FCC">
        <w:t xml:space="preserve"> </w:t>
      </w:r>
      <w:r w:rsidR="0009349C">
        <w:t>megahertz</w:t>
      </w:r>
      <w:r w:rsidR="0004335E">
        <w:t xml:space="preserve"> </w:t>
      </w:r>
      <w:r w:rsidR="0009349C">
        <w:t xml:space="preserve">of </w:t>
      </w:r>
      <w:r w:rsidR="00E821D9">
        <w:t xml:space="preserve">unlicensed </w:t>
      </w:r>
      <w:r w:rsidR="0009349C">
        <w:t>spectrum in the</w:t>
      </w:r>
      <w:r w:rsidR="0004335E">
        <w:t xml:space="preserve"> </w:t>
      </w:r>
      <w:r w:rsidR="00CF43D0" w:rsidRPr="004F1600">
        <w:t>5 GHz</w:t>
      </w:r>
      <w:r w:rsidR="0009349C">
        <w:t xml:space="preserve"> band</w:t>
      </w:r>
      <w:r w:rsidR="007C7114">
        <w:t>, with hopefully more to come,</w:t>
      </w:r>
      <w:r w:rsidR="003E4060">
        <w:rPr>
          <w:rStyle w:val="FootnoteReference"/>
        </w:rPr>
        <w:footnoteReference w:id="8"/>
      </w:r>
      <w:r w:rsidR="00CF43D0" w:rsidRPr="004F1600">
        <w:t xml:space="preserve"> </w:t>
      </w:r>
      <w:r w:rsidR="0004335E">
        <w:t xml:space="preserve">150 </w:t>
      </w:r>
      <w:r w:rsidR="0009349C">
        <w:t>megahertz</w:t>
      </w:r>
      <w:r w:rsidR="0004335E">
        <w:t xml:space="preserve"> at </w:t>
      </w:r>
      <w:r w:rsidR="00CF43D0" w:rsidRPr="004F1600">
        <w:t>3.5 GHz</w:t>
      </w:r>
      <w:r w:rsidR="007C7114">
        <w:t>,</w:t>
      </w:r>
      <w:r w:rsidR="003E4060">
        <w:rPr>
          <w:rStyle w:val="FootnoteReference"/>
        </w:rPr>
        <w:footnoteReference w:id="9"/>
      </w:r>
      <w:r w:rsidR="00CF43D0" w:rsidRPr="004F1600">
        <w:t xml:space="preserve"> </w:t>
      </w:r>
      <w:r w:rsidR="009C6B41" w:rsidRPr="004F1600">
        <w:t xml:space="preserve">and is </w:t>
      </w:r>
      <w:r w:rsidR="00E821D9">
        <w:t>analyzing</w:t>
      </w:r>
      <w:r w:rsidR="009C6B41" w:rsidRPr="004F1600">
        <w:t xml:space="preserve"> future</w:t>
      </w:r>
      <w:r w:rsidR="006E5D62" w:rsidRPr="004F1600">
        <w:t xml:space="preserve"> uses of millimeter waves above 24 GHz</w:t>
      </w:r>
      <w:r w:rsidR="009C6B41" w:rsidRPr="004F1600">
        <w:t>.</w:t>
      </w:r>
      <w:r w:rsidR="003E4060">
        <w:rPr>
          <w:rStyle w:val="FootnoteReference"/>
        </w:rPr>
        <w:footnoteReference w:id="10"/>
      </w:r>
      <w:r w:rsidR="00B91068" w:rsidRPr="004F1600">
        <w:t xml:space="preserve">  In the near term, we will be allocating sufficient bandwidth for both licensed and unlicensed wireless services, but we must not rest on our laurels.  We must start now to look for the spectrum bands of the future.</w:t>
      </w:r>
    </w:p>
    <w:p w:rsidR="00533084" w:rsidRPr="00533084" w:rsidRDefault="00533084" w:rsidP="00CF33F6">
      <w:pPr>
        <w:rPr>
          <w:i/>
        </w:rPr>
      </w:pPr>
      <w:r w:rsidRPr="00533084">
        <w:rPr>
          <w:i/>
        </w:rPr>
        <w:t>Demand for Wireless Infrastructure</w:t>
      </w:r>
    </w:p>
    <w:p w:rsidR="00B91068" w:rsidRPr="004F1600" w:rsidRDefault="00B91068" w:rsidP="00B475E7">
      <w:pPr>
        <w:spacing w:line="240" w:lineRule="auto"/>
        <w:ind w:firstLine="720"/>
      </w:pPr>
      <w:r w:rsidRPr="004F1600">
        <w:t xml:space="preserve">Of course, </w:t>
      </w:r>
      <w:r w:rsidR="00B71EAE" w:rsidRPr="004F1600">
        <w:t>you know</w:t>
      </w:r>
      <w:r w:rsidRPr="004F1600">
        <w:t xml:space="preserve"> better than anyone that the Commission </w:t>
      </w:r>
      <w:r w:rsidR="0010287E" w:rsidRPr="004F1600">
        <w:t xml:space="preserve">can </w:t>
      </w:r>
      <w:r w:rsidRPr="004F1600">
        <w:t xml:space="preserve">put these airwaves into the marketplace, but </w:t>
      </w:r>
      <w:r w:rsidR="00E821D9">
        <w:t>spectrum alone</w:t>
      </w:r>
      <w:r w:rsidR="00E821D9" w:rsidRPr="004F1600">
        <w:t xml:space="preserve"> </w:t>
      </w:r>
      <w:r w:rsidR="00AB77E2">
        <w:t>will not benefit this nation’s</w:t>
      </w:r>
      <w:r w:rsidRPr="004F1600">
        <w:t xml:space="preserve"> wireless consumers</w:t>
      </w:r>
      <w:r w:rsidR="006E5D62" w:rsidRPr="004F1600">
        <w:t xml:space="preserve"> without networks and infrastructure</w:t>
      </w:r>
      <w:r w:rsidRPr="004F1600">
        <w:t xml:space="preserve">.  Without infrastructure, the latest innovations and offerings </w:t>
      </w:r>
      <w:r w:rsidR="00E821D9">
        <w:t>will not be available</w:t>
      </w:r>
      <w:r w:rsidR="0010287E" w:rsidRPr="004F1600">
        <w:t xml:space="preserve"> to</w:t>
      </w:r>
      <w:r w:rsidRPr="004F1600">
        <w:t xml:space="preserve"> meet the demands of </w:t>
      </w:r>
      <w:r w:rsidR="006E5D62" w:rsidRPr="004F1600">
        <w:t>American consumers</w:t>
      </w:r>
      <w:r w:rsidRPr="004F1600">
        <w:t xml:space="preserve">.  Without infrastructure, the U.S. </w:t>
      </w:r>
      <w:r w:rsidR="0010287E" w:rsidRPr="004F1600">
        <w:t>does not maintain its position as the leader in wireless and Internet technologies.</w:t>
      </w:r>
      <w:r w:rsidR="006E5D62" w:rsidRPr="004F1600">
        <w:t xml:space="preserve">  Without infrastructure, the economic growth of the wireless sector and its corresponding benefits to the U.S. economy comes to a halt.  </w:t>
      </w:r>
    </w:p>
    <w:p w:rsidR="009D4C07" w:rsidRDefault="00B71EAE" w:rsidP="00B475E7">
      <w:pPr>
        <w:spacing w:line="240" w:lineRule="auto"/>
        <w:ind w:firstLine="720"/>
      </w:pPr>
      <w:r w:rsidRPr="004F1600">
        <w:t xml:space="preserve">This demand for infrastructure is completely </w:t>
      </w:r>
      <w:r w:rsidR="00CE42C3">
        <w:t>understood</w:t>
      </w:r>
      <w:r w:rsidRPr="004F1600">
        <w:t xml:space="preserve">, yet presents some real challenges.  </w:t>
      </w:r>
      <w:r w:rsidR="007B43DA" w:rsidRPr="004F1600">
        <w:t xml:space="preserve">Not only do we have the continued expansion of LTE by wireless providers, but facilities will have to be </w:t>
      </w:r>
      <w:r w:rsidRPr="004F1600">
        <w:t>installed</w:t>
      </w:r>
      <w:r w:rsidR="007B43DA" w:rsidRPr="004F1600">
        <w:t xml:space="preserve"> </w:t>
      </w:r>
      <w:r w:rsidRPr="004F1600">
        <w:t xml:space="preserve">to operate </w:t>
      </w:r>
      <w:r w:rsidR="007B43DA" w:rsidRPr="004F1600">
        <w:t xml:space="preserve">AWS-3 and 600 MHz </w:t>
      </w:r>
      <w:r w:rsidR="00FD68ED">
        <w:t>spectrum</w:t>
      </w:r>
      <w:r w:rsidR="007B43DA" w:rsidRPr="004F1600">
        <w:t xml:space="preserve">.  </w:t>
      </w:r>
      <w:r w:rsidRPr="004F1600">
        <w:t>It appears that w</w:t>
      </w:r>
      <w:r w:rsidR="009D4C07" w:rsidRPr="004F1600">
        <w:t>e are entering a period when those who work on large towers, in particular, w</w:t>
      </w:r>
      <w:r w:rsidR="007B43DA" w:rsidRPr="004F1600">
        <w:t xml:space="preserve">ill be in </w:t>
      </w:r>
      <w:r w:rsidR="00CE42C3">
        <w:t>great</w:t>
      </w:r>
      <w:r w:rsidR="00CE42C3" w:rsidRPr="004F1600">
        <w:t xml:space="preserve"> </w:t>
      </w:r>
      <w:r w:rsidR="007B43DA" w:rsidRPr="004F1600">
        <w:t xml:space="preserve">demand. </w:t>
      </w:r>
      <w:r w:rsidRPr="004F1600">
        <w:t xml:space="preserve"> </w:t>
      </w:r>
      <w:r w:rsidR="007B43DA" w:rsidRPr="004F1600">
        <w:t xml:space="preserve">And </w:t>
      </w:r>
      <w:r w:rsidRPr="004F1600">
        <w:t xml:space="preserve">I have been told </w:t>
      </w:r>
      <w:r w:rsidR="00FD68ED">
        <w:t xml:space="preserve">on a few occasions </w:t>
      </w:r>
      <w:r w:rsidRPr="004F1600">
        <w:t>that</w:t>
      </w:r>
      <w:r w:rsidR="009D4C07" w:rsidRPr="004F1600">
        <w:t xml:space="preserve"> the number of cre</w:t>
      </w:r>
      <w:r w:rsidR="007B43DA" w:rsidRPr="004F1600">
        <w:t xml:space="preserve">ws </w:t>
      </w:r>
      <w:r w:rsidR="00FD68ED">
        <w:t>that</w:t>
      </w:r>
      <w:r w:rsidR="007B43DA" w:rsidRPr="004F1600">
        <w:t xml:space="preserve"> work on </w:t>
      </w:r>
      <w:r w:rsidR="001856E4" w:rsidRPr="004F1600">
        <w:t xml:space="preserve">tall </w:t>
      </w:r>
      <w:r w:rsidR="00FD68ED">
        <w:t>tower</w:t>
      </w:r>
      <w:r w:rsidR="007B43DA" w:rsidRPr="004F1600">
        <w:t>s may</w:t>
      </w:r>
      <w:r w:rsidR="00FD68ED">
        <w:t xml:space="preserve"> be</w:t>
      </w:r>
      <w:r w:rsidR="009D4C07" w:rsidRPr="004F1600">
        <w:t xml:space="preserve"> limited. </w:t>
      </w:r>
      <w:r w:rsidRPr="004F1600">
        <w:t xml:space="preserve"> </w:t>
      </w:r>
      <w:r w:rsidR="009D4C07" w:rsidRPr="004F1600">
        <w:t>This</w:t>
      </w:r>
      <w:r w:rsidRPr="004F1600">
        <w:t xml:space="preserve"> workforce shortage could be exacerbated </w:t>
      </w:r>
      <w:r w:rsidR="007B43DA" w:rsidRPr="004F1600">
        <w:t xml:space="preserve">if these crews also happen to </w:t>
      </w:r>
      <w:r w:rsidRPr="004F1600">
        <w:t xml:space="preserve">work on broadcast </w:t>
      </w:r>
      <w:r w:rsidR="001856E4" w:rsidRPr="004F1600">
        <w:t>tower</w:t>
      </w:r>
      <w:r w:rsidRPr="004F1600">
        <w:t>s</w:t>
      </w:r>
      <w:r w:rsidR="001856E4" w:rsidRPr="004F1600">
        <w:t xml:space="preserve">, because the </w:t>
      </w:r>
      <w:r w:rsidR="00093582" w:rsidRPr="004F1600">
        <w:t>incentive auction</w:t>
      </w:r>
      <w:r w:rsidR="009D4C07" w:rsidRPr="004F1600">
        <w:t xml:space="preserve"> repacking</w:t>
      </w:r>
      <w:r w:rsidR="00093582" w:rsidRPr="004F1600">
        <w:t xml:space="preserve"> process</w:t>
      </w:r>
      <w:r w:rsidR="001856E4" w:rsidRPr="004F1600">
        <w:t xml:space="preserve"> will be occurring simultaneously</w:t>
      </w:r>
      <w:r w:rsidR="00FD68ED">
        <w:t xml:space="preserve"> with AWS-3 and 600 MHz buildout</w:t>
      </w:r>
      <w:r w:rsidR="009D4C07" w:rsidRPr="004F1600">
        <w:t xml:space="preserve">. </w:t>
      </w:r>
      <w:r w:rsidR="0004335E">
        <w:t xml:space="preserve"> </w:t>
      </w:r>
      <w:r w:rsidR="00FD68ED">
        <w:t>If this</w:t>
      </w:r>
      <w:r w:rsidR="009D4C07" w:rsidRPr="004F1600">
        <w:t xml:space="preserve"> skilled workforce </w:t>
      </w:r>
      <w:r w:rsidR="00093582" w:rsidRPr="004F1600">
        <w:t>is insufficient for the number of</w:t>
      </w:r>
      <w:r w:rsidR="00FD68ED">
        <w:t xml:space="preserve"> required</w:t>
      </w:r>
      <w:r w:rsidR="00093582" w:rsidRPr="004F1600">
        <w:t xml:space="preserve"> jobs, work orders may get backed up.  This may </w:t>
      </w:r>
      <w:r w:rsidR="00E821D9">
        <w:t>conflict</w:t>
      </w:r>
      <w:r w:rsidR="00093582" w:rsidRPr="004F1600">
        <w:t xml:space="preserve"> with meeting the 39-mon</w:t>
      </w:r>
      <w:r w:rsidR="009D4C07" w:rsidRPr="004F1600">
        <w:t xml:space="preserve">th repacking deadline </w:t>
      </w:r>
      <w:r w:rsidR="00093582" w:rsidRPr="004F1600">
        <w:t>and create a domino effect for wireless facility construction.</w:t>
      </w:r>
      <w:r w:rsidR="0004335E">
        <w:t xml:space="preserve">  </w:t>
      </w:r>
      <w:r w:rsidR="00742FCC">
        <w:t>I recognize</w:t>
      </w:r>
      <w:r w:rsidR="00AC47AE">
        <w:t>, however,</w:t>
      </w:r>
      <w:r w:rsidR="00742FCC">
        <w:t xml:space="preserve"> that there are </w:t>
      </w:r>
      <w:r w:rsidR="00AC47AE">
        <w:t>multiple</w:t>
      </w:r>
      <w:r w:rsidR="00742FCC">
        <w:t xml:space="preserve"> companies involved in the broadcast tower construction business, so perhaps it is not a problem.  </w:t>
      </w:r>
      <w:r w:rsidR="0004335E">
        <w:t>Accordingly, it would be helpful if you communicated with the Commission regarding the current and estimated future demands for tower construction teams</w:t>
      </w:r>
      <w:r w:rsidR="00742FCC">
        <w:t xml:space="preserve"> for both broadcast towers and others</w:t>
      </w:r>
      <w:r w:rsidR="0004335E">
        <w:t>.</w:t>
      </w:r>
      <w:r w:rsidR="00742FCC">
        <w:t xml:space="preserve">  We will need to take this into account as we consider the best timing for </w:t>
      </w:r>
      <w:r w:rsidR="0009349C">
        <w:t xml:space="preserve">the </w:t>
      </w:r>
      <w:r w:rsidR="00742FCC">
        <w:t xml:space="preserve">start of the broadcast incentive auction.      </w:t>
      </w:r>
    </w:p>
    <w:p w:rsidR="00533084" w:rsidRPr="00533084" w:rsidRDefault="00533084" w:rsidP="00B475E7">
      <w:pPr>
        <w:spacing w:line="240" w:lineRule="auto"/>
        <w:rPr>
          <w:i/>
        </w:rPr>
      </w:pPr>
      <w:r w:rsidRPr="00533084">
        <w:rPr>
          <w:i/>
        </w:rPr>
        <w:t>Facilitation of Wireless Infrastructure Deployment</w:t>
      </w:r>
    </w:p>
    <w:p w:rsidR="009D4C07" w:rsidRPr="004F1600" w:rsidRDefault="00FD68ED" w:rsidP="00B475E7">
      <w:pPr>
        <w:spacing w:line="240" w:lineRule="auto"/>
        <w:ind w:firstLine="720"/>
      </w:pPr>
      <w:r>
        <w:t>W</w:t>
      </w:r>
      <w:r w:rsidR="00093582" w:rsidRPr="004F1600">
        <w:t xml:space="preserve">hat can be done to facilitate </w:t>
      </w:r>
      <w:r w:rsidR="001856E4" w:rsidRPr="004F1600">
        <w:t xml:space="preserve">and accelerate </w:t>
      </w:r>
      <w:r w:rsidR="00093582" w:rsidRPr="004F1600">
        <w:t>network deployment</w:t>
      </w:r>
      <w:r w:rsidR="00475EBA" w:rsidRPr="004F1600">
        <w:t>?</w:t>
      </w:r>
      <w:r w:rsidR="00093582" w:rsidRPr="004F1600">
        <w:t xml:space="preserve">  </w:t>
      </w:r>
      <w:r>
        <w:t xml:space="preserve">First, </w:t>
      </w:r>
      <w:r w:rsidR="009D4C07" w:rsidRPr="004F1600">
        <w:t>I applaud PCIA for taking a leadership role in train</w:t>
      </w:r>
      <w:r w:rsidR="00093582" w:rsidRPr="004F1600">
        <w:t>ing</w:t>
      </w:r>
      <w:r w:rsidR="009D4C07" w:rsidRPr="004F1600">
        <w:t xml:space="preserve"> the wir</w:t>
      </w:r>
      <w:r w:rsidR="00093582" w:rsidRPr="004F1600">
        <w:t>e</w:t>
      </w:r>
      <w:r w:rsidR="009D4C07" w:rsidRPr="004F1600">
        <w:t xml:space="preserve">less </w:t>
      </w:r>
      <w:r>
        <w:t xml:space="preserve">infrastructure </w:t>
      </w:r>
      <w:r w:rsidR="009D4C07" w:rsidRPr="004F1600">
        <w:t xml:space="preserve">workforce of </w:t>
      </w:r>
      <w:r w:rsidR="00093582" w:rsidRPr="004F1600">
        <w:t>t</w:t>
      </w:r>
      <w:r w:rsidR="009D4C07" w:rsidRPr="004F1600">
        <w:t xml:space="preserve">he future. </w:t>
      </w:r>
      <w:r w:rsidR="00AA7D7A">
        <w:t xml:space="preserve"> </w:t>
      </w:r>
      <w:r w:rsidR="00093582" w:rsidRPr="004F1600">
        <w:t>PCIA’s program</w:t>
      </w:r>
      <w:r w:rsidR="009D4C07" w:rsidRPr="004F1600">
        <w:t xml:space="preserve"> to educate veterans, </w:t>
      </w:r>
      <w:r w:rsidR="00093582" w:rsidRPr="004F1600">
        <w:t>d</w:t>
      </w:r>
      <w:r w:rsidR="009D4C07" w:rsidRPr="004F1600">
        <w:t>isplaced workers and other</w:t>
      </w:r>
      <w:r w:rsidR="001856E4" w:rsidRPr="004F1600">
        <w:t>s</w:t>
      </w:r>
      <w:r w:rsidR="009D4C07" w:rsidRPr="004F1600">
        <w:t xml:space="preserve"> </w:t>
      </w:r>
      <w:r w:rsidR="00E821D9">
        <w:t xml:space="preserve">on </w:t>
      </w:r>
      <w:r w:rsidR="009D4C07" w:rsidRPr="004F1600">
        <w:t>how to build and maintain wireless infrastructure</w:t>
      </w:r>
      <w:r w:rsidR="00093582" w:rsidRPr="004F1600">
        <w:t xml:space="preserve">, along </w:t>
      </w:r>
      <w:r w:rsidR="009D4C07" w:rsidRPr="004F1600">
        <w:t xml:space="preserve">with </w:t>
      </w:r>
      <w:r w:rsidR="00093582" w:rsidRPr="004F1600">
        <w:t>its</w:t>
      </w:r>
      <w:r w:rsidR="009D4C07" w:rsidRPr="004F1600">
        <w:t xml:space="preserve"> efforts to create an apprenticeship program promoting </w:t>
      </w:r>
      <w:r w:rsidR="001856E4" w:rsidRPr="004F1600">
        <w:t xml:space="preserve">workplace </w:t>
      </w:r>
      <w:r w:rsidR="009D4C07" w:rsidRPr="004F1600">
        <w:t>safety</w:t>
      </w:r>
      <w:r w:rsidR="001856E4" w:rsidRPr="004F1600">
        <w:t xml:space="preserve"> and</w:t>
      </w:r>
      <w:r w:rsidR="009D4C07" w:rsidRPr="004F1600">
        <w:t xml:space="preserve"> training, should help relieve workforce shortages in the future.</w:t>
      </w:r>
      <w:r w:rsidR="003E4060">
        <w:rPr>
          <w:rStyle w:val="FootnoteReference"/>
        </w:rPr>
        <w:footnoteReference w:id="11"/>
      </w:r>
      <w:r w:rsidR="0004335E">
        <w:t xml:space="preserve">  </w:t>
      </w:r>
    </w:p>
    <w:p w:rsidR="00AC47AE" w:rsidRDefault="00E43BB7" w:rsidP="00B475E7">
      <w:pPr>
        <w:spacing w:line="240" w:lineRule="auto"/>
        <w:ind w:firstLine="720"/>
      </w:pPr>
      <w:r w:rsidRPr="004F1600">
        <w:t>The Commission</w:t>
      </w:r>
      <w:r w:rsidR="0010287E" w:rsidRPr="004F1600">
        <w:t>’s role</w:t>
      </w:r>
      <w:r w:rsidR="00093582" w:rsidRPr="004F1600">
        <w:t>, on the other hand,</w:t>
      </w:r>
      <w:r w:rsidR="0010287E" w:rsidRPr="004F1600">
        <w:t xml:space="preserve"> is to ensure that the </w:t>
      </w:r>
      <w:r w:rsidR="001856E4" w:rsidRPr="004F1600">
        <w:t xml:space="preserve">correct </w:t>
      </w:r>
      <w:r w:rsidR="0010287E" w:rsidRPr="004F1600">
        <w:t>environment exists to</w:t>
      </w:r>
      <w:r w:rsidRPr="004F1600">
        <w:t xml:space="preserve"> promote infrastructure</w:t>
      </w:r>
      <w:r w:rsidR="00093582" w:rsidRPr="004F1600">
        <w:t xml:space="preserve"> investment </w:t>
      </w:r>
      <w:r w:rsidR="001856E4" w:rsidRPr="004F1600">
        <w:t xml:space="preserve">and </w:t>
      </w:r>
      <w:r w:rsidR="00093582" w:rsidRPr="004F1600">
        <w:t>deployment</w:t>
      </w:r>
      <w:r w:rsidR="001076E3" w:rsidRPr="004F1600">
        <w:t xml:space="preserve"> by reducing regulatory burdens and increasing market certainty.  </w:t>
      </w:r>
      <w:r w:rsidR="00475EBA" w:rsidRPr="004F1600">
        <w:t xml:space="preserve">Lately, the Commission’s scorecard has not been bad </w:t>
      </w:r>
      <w:r w:rsidR="00A85B0B" w:rsidRPr="004F1600">
        <w:t xml:space="preserve">when it comes to </w:t>
      </w:r>
      <w:r w:rsidR="001856E4" w:rsidRPr="004F1600">
        <w:t xml:space="preserve">matters involving </w:t>
      </w:r>
      <w:r w:rsidR="00A85B0B" w:rsidRPr="004F1600">
        <w:t>infrastructure</w:t>
      </w:r>
      <w:r w:rsidR="00AF54DD">
        <w:t>, although I wish I could say the same thing as it pertains to the burdens being placed on wireless carriers through items like Net Neutrality,</w:t>
      </w:r>
      <w:r w:rsidR="003E4060">
        <w:rPr>
          <w:rStyle w:val="FootnoteReference"/>
        </w:rPr>
        <w:footnoteReference w:id="12"/>
      </w:r>
      <w:r w:rsidR="00AF54DD">
        <w:t xml:space="preserve"> which will have a</w:t>
      </w:r>
      <w:r w:rsidR="0009349C">
        <w:t>n</w:t>
      </w:r>
      <w:r w:rsidR="00AF54DD">
        <w:t xml:space="preserve"> effect on your industry</w:t>
      </w:r>
      <w:r w:rsidR="00A85B0B" w:rsidRPr="004F1600">
        <w:t>.</w:t>
      </w:r>
      <w:r w:rsidR="00042A5E">
        <w:t xml:space="preserve">  Let me suggest to you that it is in your best interest to be involved in the policy issues </w:t>
      </w:r>
      <w:r w:rsidR="00E821D9">
        <w:t>under consideration</w:t>
      </w:r>
      <w:r w:rsidR="00042A5E">
        <w:t xml:space="preserve"> at the Commission – even those that may not </w:t>
      </w:r>
      <w:r w:rsidR="00447173">
        <w:t>appear</w:t>
      </w:r>
      <w:r w:rsidR="00042A5E">
        <w:t xml:space="preserve"> </w:t>
      </w:r>
      <w:r w:rsidR="0009349C">
        <w:t xml:space="preserve">to </w:t>
      </w:r>
      <w:r w:rsidR="00042A5E">
        <w:t xml:space="preserve">directly </w:t>
      </w:r>
      <w:r w:rsidR="0009349C">
        <w:t>affect your company</w:t>
      </w:r>
      <w:r w:rsidR="00042A5E">
        <w:t xml:space="preserve">.  Don’t just sit on the sidelines and say it’s not my problem, because every burden placed on your partner or potential partner means less investment in infrastructure.  </w:t>
      </w:r>
      <w:r w:rsidR="00AF54DD">
        <w:t xml:space="preserve">    </w:t>
      </w:r>
      <w:r w:rsidR="00A85B0B" w:rsidRPr="004F1600">
        <w:t xml:space="preserve"> </w:t>
      </w:r>
    </w:p>
    <w:p w:rsidR="0066019B" w:rsidRPr="004F1600" w:rsidRDefault="00AF54DD" w:rsidP="00B475E7">
      <w:pPr>
        <w:spacing w:line="240" w:lineRule="auto"/>
        <w:ind w:firstLine="720"/>
      </w:pPr>
      <w:r>
        <w:t>In the good news category</w:t>
      </w:r>
      <w:r w:rsidR="0066019B" w:rsidRPr="004F1600">
        <w:t xml:space="preserve">, </w:t>
      </w:r>
      <w:r w:rsidR="00E821D9">
        <w:t>last</w:t>
      </w:r>
      <w:r w:rsidR="00E821D9" w:rsidRPr="004F1600">
        <w:t xml:space="preserve"> </w:t>
      </w:r>
      <w:r w:rsidR="0066019B" w:rsidRPr="004F1600">
        <w:t xml:space="preserve">August, the Commission adopted an order that modified </w:t>
      </w:r>
      <w:r w:rsidR="00D57605">
        <w:t>our</w:t>
      </w:r>
      <w:r w:rsidR="0066019B" w:rsidRPr="004F1600">
        <w:t xml:space="preserve"> tower lighting and marking rules.</w:t>
      </w:r>
      <w:r w:rsidR="003E4060">
        <w:rPr>
          <w:rStyle w:val="FootnoteReference"/>
        </w:rPr>
        <w:footnoteReference w:id="13"/>
      </w:r>
      <w:r w:rsidR="00475EBA" w:rsidRPr="004F1600">
        <w:t xml:space="preserve"> </w:t>
      </w:r>
      <w:r w:rsidR="003E4060">
        <w:t xml:space="preserve"> </w:t>
      </w:r>
      <w:r w:rsidR="00475EBA" w:rsidRPr="004F1600">
        <w:t>I</w:t>
      </w:r>
      <w:r w:rsidR="0066019B" w:rsidRPr="004F1600">
        <w:t xml:space="preserve"> was pleased to support an item that reduced unnecessary burdens on industry while ensuring the safety of aircraft.</w:t>
      </w:r>
      <w:r w:rsidR="001856E4" w:rsidRPr="004F1600">
        <w:t xml:space="preserve"> </w:t>
      </w:r>
    </w:p>
    <w:p w:rsidR="0066019B" w:rsidRPr="004F1600" w:rsidRDefault="0066019B" w:rsidP="00B475E7">
      <w:pPr>
        <w:spacing w:line="240" w:lineRule="auto"/>
        <w:ind w:firstLine="720"/>
      </w:pPr>
      <w:r w:rsidRPr="004F1600">
        <w:t>Receiving grea</w:t>
      </w:r>
      <w:r w:rsidR="002B4671" w:rsidRPr="004F1600">
        <w:t>ter attention is the Commission’</w:t>
      </w:r>
      <w:r w:rsidRPr="004F1600">
        <w:t xml:space="preserve">s </w:t>
      </w:r>
      <w:r w:rsidR="00475EBA" w:rsidRPr="004F1600">
        <w:t xml:space="preserve">October </w:t>
      </w:r>
      <w:r w:rsidR="0063356B" w:rsidRPr="00FD68ED">
        <w:rPr>
          <w:i/>
        </w:rPr>
        <w:t>Infrastructure Order</w:t>
      </w:r>
      <w:r w:rsidRPr="004F1600">
        <w:t xml:space="preserve"> facilitat</w:t>
      </w:r>
      <w:r w:rsidR="00475EBA" w:rsidRPr="004F1600">
        <w:t>ing</w:t>
      </w:r>
      <w:r w:rsidRPr="004F1600">
        <w:t xml:space="preserve"> and reduc</w:t>
      </w:r>
      <w:r w:rsidR="00475EBA" w:rsidRPr="004F1600">
        <w:t>ing</w:t>
      </w:r>
      <w:r w:rsidRPr="004F1600">
        <w:t xml:space="preserve"> obstacles to infrastructure siting</w:t>
      </w:r>
      <w:r w:rsidR="001079FF" w:rsidRPr="004F1600">
        <w:t xml:space="preserve">, including small cell </w:t>
      </w:r>
      <w:r w:rsidR="00FD68ED">
        <w:t>and D</w:t>
      </w:r>
      <w:r w:rsidR="004F1600">
        <w:t xml:space="preserve">istributed Antenna System (DAS) </w:t>
      </w:r>
      <w:r w:rsidR="001079FF" w:rsidRPr="004F1600">
        <w:t>deployments</w:t>
      </w:r>
      <w:r w:rsidR="00475EBA" w:rsidRPr="004F1600">
        <w:t>.</w:t>
      </w:r>
      <w:r w:rsidR="003E4060">
        <w:rPr>
          <w:rStyle w:val="FootnoteReference"/>
        </w:rPr>
        <w:footnoteReference w:id="14"/>
      </w:r>
      <w:r w:rsidR="00475EBA" w:rsidRPr="004F1600">
        <w:t xml:space="preserve">  </w:t>
      </w:r>
      <w:r w:rsidR="001079FF" w:rsidRPr="004F1600">
        <w:t xml:space="preserve">Although the </w:t>
      </w:r>
      <w:r w:rsidR="00E821D9">
        <w:t>Commission</w:t>
      </w:r>
      <w:r w:rsidR="00E821D9" w:rsidRPr="004F1600">
        <w:t xml:space="preserve"> </w:t>
      </w:r>
      <w:r w:rsidR="001079FF" w:rsidRPr="004F1600">
        <w:t xml:space="preserve">implemented many positive </w:t>
      </w:r>
      <w:r w:rsidR="00FD68ED">
        <w:t xml:space="preserve">and important </w:t>
      </w:r>
      <w:r w:rsidR="001079FF" w:rsidRPr="004F1600">
        <w:t xml:space="preserve">changes, </w:t>
      </w:r>
      <w:r w:rsidR="00AC47AE">
        <w:t>let me</w:t>
      </w:r>
      <w:r w:rsidR="004F1600">
        <w:t xml:space="preserve"> focus on one aspect.  T</w:t>
      </w:r>
      <w:r w:rsidR="002C031A" w:rsidRPr="004F1600">
        <w:t>he Commission</w:t>
      </w:r>
      <w:r w:rsidR="001079FF" w:rsidRPr="004F1600">
        <w:t xml:space="preserve">, in response to the clear congressional directive in the </w:t>
      </w:r>
      <w:r w:rsidR="00AC47AE">
        <w:t xml:space="preserve">2012 </w:t>
      </w:r>
      <w:r w:rsidR="001079FF" w:rsidRPr="004F1600">
        <w:t>Spectrum Act,</w:t>
      </w:r>
      <w:r w:rsidR="003E4060">
        <w:rPr>
          <w:rStyle w:val="FootnoteReference"/>
        </w:rPr>
        <w:footnoteReference w:id="15"/>
      </w:r>
      <w:r w:rsidR="001079FF" w:rsidRPr="004F1600">
        <w:t xml:space="preserve"> </w:t>
      </w:r>
      <w:r w:rsidR="002C031A" w:rsidRPr="004F1600">
        <w:t xml:space="preserve">finally put an end to </w:t>
      </w:r>
      <w:r w:rsidR="00D57605">
        <w:t>some</w:t>
      </w:r>
      <w:r w:rsidR="00D57605" w:rsidRPr="004F1600">
        <w:t xml:space="preserve"> </w:t>
      </w:r>
      <w:r w:rsidR="002C031A" w:rsidRPr="004F1600">
        <w:t xml:space="preserve">disruptive practices </w:t>
      </w:r>
      <w:r w:rsidR="001856E4" w:rsidRPr="004F1600">
        <w:t xml:space="preserve">of </w:t>
      </w:r>
      <w:r w:rsidR="002C031A" w:rsidRPr="004F1600">
        <w:t>states and localities imped</w:t>
      </w:r>
      <w:r w:rsidR="00D57605">
        <w:t>ing</w:t>
      </w:r>
      <w:r w:rsidR="002C031A" w:rsidRPr="004F1600">
        <w:t xml:space="preserve"> the placement of wireless towers. </w:t>
      </w:r>
      <w:r w:rsidR="00BE7130">
        <w:t xml:space="preserve"> </w:t>
      </w:r>
      <w:r w:rsidR="001079FF" w:rsidRPr="004F1600">
        <w:t>Although we thought that</w:t>
      </w:r>
      <w:r w:rsidR="004C53BD" w:rsidRPr="004F1600">
        <w:t xml:space="preserve"> </w:t>
      </w:r>
      <w:r w:rsidR="00AC47AE">
        <w:t>pre-existing law already</w:t>
      </w:r>
      <w:r w:rsidR="004C53BD" w:rsidRPr="004F1600">
        <w:t xml:space="preserve"> </w:t>
      </w:r>
      <w:r w:rsidR="001079FF" w:rsidRPr="004F1600">
        <w:t>provided a reasonable process for tower siting,</w:t>
      </w:r>
      <w:r w:rsidR="003E4060">
        <w:rPr>
          <w:rStyle w:val="FootnoteReference"/>
        </w:rPr>
        <w:footnoteReference w:id="16"/>
      </w:r>
      <w:r w:rsidR="001079FF" w:rsidRPr="004F1600">
        <w:t xml:space="preserve"> </w:t>
      </w:r>
      <w:r w:rsidR="00FD68ED">
        <w:t xml:space="preserve">industry still faced </w:t>
      </w:r>
      <w:r w:rsidR="00475EBA" w:rsidRPr="004F1600">
        <w:t>moratoria</w:t>
      </w:r>
      <w:r w:rsidR="002C031A" w:rsidRPr="004F1600">
        <w:t>, delays in the decision</w:t>
      </w:r>
      <w:r w:rsidR="00475EBA" w:rsidRPr="004F1600">
        <w:t>-</w:t>
      </w:r>
      <w:r w:rsidR="002C031A" w:rsidRPr="004F1600">
        <w:t xml:space="preserve">making process, unreasonable documentation requests and </w:t>
      </w:r>
      <w:r w:rsidR="00FD68ED">
        <w:t>other</w:t>
      </w:r>
      <w:r w:rsidR="004C53BD" w:rsidRPr="004F1600">
        <w:t xml:space="preserve"> tactic</w:t>
      </w:r>
      <w:r w:rsidR="00FD68ED">
        <w:t>s that</w:t>
      </w:r>
      <w:r w:rsidR="002C031A" w:rsidRPr="004F1600">
        <w:t xml:space="preserve"> maintain</w:t>
      </w:r>
      <w:r w:rsidR="00FD68ED">
        <w:t>ed</w:t>
      </w:r>
      <w:r w:rsidR="002C031A" w:rsidRPr="004F1600">
        <w:t xml:space="preserve"> barriers to siting. </w:t>
      </w:r>
      <w:r w:rsidR="0004335E">
        <w:t xml:space="preserve"> </w:t>
      </w:r>
      <w:r w:rsidRPr="004F1600">
        <w:t xml:space="preserve">Unfortunately, some localities </w:t>
      </w:r>
      <w:r w:rsidR="001079FF" w:rsidRPr="004F1600">
        <w:t>have challenged the Commission’</w:t>
      </w:r>
      <w:r w:rsidRPr="004F1600">
        <w:t xml:space="preserve">s </w:t>
      </w:r>
      <w:r w:rsidR="00AC47AE">
        <w:t xml:space="preserve">recent </w:t>
      </w:r>
      <w:r w:rsidRPr="004F1600">
        <w:t xml:space="preserve">order in </w:t>
      </w:r>
      <w:r w:rsidR="00E821D9">
        <w:t>c</w:t>
      </w:r>
      <w:r w:rsidR="00E821D9" w:rsidRPr="004F1600">
        <w:t>ourt</w:t>
      </w:r>
      <w:r w:rsidRPr="004F1600">
        <w:t xml:space="preserve">.  </w:t>
      </w:r>
      <w:r w:rsidR="002B4671" w:rsidRPr="004F1600">
        <w:t>Hopefully, this litigation will conclude expeditiously and will not delay the deployment of wireless broadband infrastructure.</w:t>
      </w:r>
      <w:r w:rsidR="00A810BD">
        <w:t xml:space="preserve"> </w:t>
      </w:r>
      <w:r w:rsidR="002B4671" w:rsidRPr="004F1600">
        <w:t xml:space="preserve"> </w:t>
      </w:r>
    </w:p>
    <w:p w:rsidR="00C67D4A" w:rsidRPr="004F1600" w:rsidRDefault="0066019B" w:rsidP="00B475E7">
      <w:pPr>
        <w:spacing w:line="240" w:lineRule="auto"/>
        <w:ind w:firstLine="720"/>
      </w:pPr>
      <w:r w:rsidRPr="004F1600">
        <w:t xml:space="preserve">Although </w:t>
      </w:r>
      <w:r w:rsidR="00AC47AE">
        <w:t xml:space="preserve">much has been done, there is </w:t>
      </w:r>
      <w:r w:rsidR="003A7092">
        <w:t xml:space="preserve">still </w:t>
      </w:r>
      <w:r w:rsidR="00AC47AE">
        <w:t>much to do</w:t>
      </w:r>
      <w:r w:rsidRPr="004F1600">
        <w:t>.</w:t>
      </w:r>
      <w:r w:rsidR="00B475E7">
        <w:t xml:space="preserve">  </w:t>
      </w:r>
      <w:r w:rsidRPr="004F1600">
        <w:t xml:space="preserve">First, </w:t>
      </w:r>
      <w:r w:rsidR="00FB536C" w:rsidRPr="004F1600">
        <w:t xml:space="preserve">as recognized in the </w:t>
      </w:r>
      <w:r w:rsidR="0063356B" w:rsidRPr="00FD68ED">
        <w:rPr>
          <w:i/>
        </w:rPr>
        <w:t>Infrastructure O</w:t>
      </w:r>
      <w:r w:rsidR="00FB536C" w:rsidRPr="00FD68ED">
        <w:rPr>
          <w:i/>
        </w:rPr>
        <w:t>rder</w:t>
      </w:r>
      <w:r w:rsidR="00FB536C" w:rsidRPr="004F1600">
        <w:t xml:space="preserve">, </w:t>
      </w:r>
      <w:r w:rsidRPr="004F1600">
        <w:t xml:space="preserve">further steps </w:t>
      </w:r>
      <w:r w:rsidR="00FB536C" w:rsidRPr="004F1600">
        <w:t>must</w:t>
      </w:r>
      <w:r w:rsidRPr="004F1600">
        <w:t xml:space="preserve"> be taken to facilitate the deployment of small cell and DAS networks.  </w:t>
      </w:r>
      <w:r w:rsidR="00731189" w:rsidRPr="004F1600">
        <w:t>The Commission committed to work with stakeholders</w:t>
      </w:r>
      <w:r w:rsidR="00FB536C" w:rsidRPr="004F1600">
        <w:t xml:space="preserve"> to develop a </w:t>
      </w:r>
      <w:r w:rsidR="00E56DC7">
        <w:t>“</w:t>
      </w:r>
      <w:r w:rsidR="00FB536C" w:rsidRPr="004F1600">
        <w:t>program alternative</w:t>
      </w:r>
      <w:r w:rsidR="00E56DC7">
        <w:t>”</w:t>
      </w:r>
      <w:r w:rsidR="00CD7684">
        <w:rPr>
          <w:rStyle w:val="FootnoteReference"/>
        </w:rPr>
        <w:footnoteReference w:id="17"/>
      </w:r>
      <w:r w:rsidR="00FB536C" w:rsidRPr="004F1600">
        <w:t xml:space="preserve"> within 18 to 24 months</w:t>
      </w:r>
      <w:r w:rsidR="00731189" w:rsidRPr="004F1600">
        <w:t xml:space="preserve"> to </w:t>
      </w:r>
      <w:r w:rsidR="00FB536C" w:rsidRPr="004F1600">
        <w:t>ex</w:t>
      </w:r>
      <w:r w:rsidR="0063356B">
        <w:t>pa</w:t>
      </w:r>
      <w:r w:rsidR="00FB536C" w:rsidRPr="004F1600">
        <w:t>nd</w:t>
      </w:r>
      <w:r w:rsidR="0063356B">
        <w:t xml:space="preserve"> upon</w:t>
      </w:r>
      <w:r w:rsidR="00FB536C" w:rsidRPr="004F1600">
        <w:t xml:space="preserve"> the relief provided to small cell </w:t>
      </w:r>
      <w:r w:rsidR="00FD68ED">
        <w:t xml:space="preserve">and DAS </w:t>
      </w:r>
      <w:r w:rsidR="00FB536C" w:rsidRPr="004F1600">
        <w:t>installations</w:t>
      </w:r>
      <w:r w:rsidR="0063356B">
        <w:t xml:space="preserve"> in October</w:t>
      </w:r>
      <w:r w:rsidR="00FD68ED">
        <w:t>.</w:t>
      </w:r>
      <w:r w:rsidR="003E4060">
        <w:rPr>
          <w:rStyle w:val="FootnoteReference"/>
        </w:rPr>
        <w:footnoteReference w:id="18"/>
      </w:r>
      <w:r w:rsidR="0063356B">
        <w:t xml:space="preserve"> </w:t>
      </w:r>
      <w:r w:rsidR="001365CE">
        <w:t xml:space="preserve"> </w:t>
      </w:r>
      <w:r w:rsidR="00E80256">
        <w:t>Excluding certain</w:t>
      </w:r>
      <w:r w:rsidR="00FB536C" w:rsidRPr="004F1600">
        <w:t xml:space="preserve"> </w:t>
      </w:r>
      <w:r w:rsidR="00494CE8">
        <w:t>collocations on</w:t>
      </w:r>
      <w:r w:rsidR="00FB536C" w:rsidRPr="004F1600">
        <w:t xml:space="preserve"> </w:t>
      </w:r>
      <w:r w:rsidR="00494CE8">
        <w:t>buildings and non-tower structures that already host antenna and</w:t>
      </w:r>
      <w:r w:rsidR="00494CE8" w:rsidRPr="00494CE8">
        <w:t xml:space="preserve"> </w:t>
      </w:r>
      <w:r w:rsidR="00494CE8" w:rsidRPr="004F1600">
        <w:t xml:space="preserve">utility </w:t>
      </w:r>
      <w:r w:rsidR="00494CE8">
        <w:t>structure</w:t>
      </w:r>
      <w:r w:rsidR="00494CE8" w:rsidRPr="004F1600">
        <w:t>s</w:t>
      </w:r>
      <w:r w:rsidR="00494CE8">
        <w:t xml:space="preserve"> </w:t>
      </w:r>
      <w:r w:rsidR="00F04507">
        <w:t>(</w:t>
      </w:r>
      <w:r w:rsidR="00F04507" w:rsidRPr="00A810BD">
        <w:rPr>
          <w:i/>
        </w:rPr>
        <w:t>e.g.,</w:t>
      </w:r>
      <w:r w:rsidR="00F04507">
        <w:t xml:space="preserve"> utility poles and electric towers) </w:t>
      </w:r>
      <w:r w:rsidR="00E80256">
        <w:t>from environmental and historic preservation reviews is a good start</w:t>
      </w:r>
      <w:r w:rsidR="00FB536C" w:rsidRPr="004F1600">
        <w:t xml:space="preserve">.  </w:t>
      </w:r>
      <w:r w:rsidR="00E80256">
        <w:t>Now, we must expand this exclusion to</w:t>
      </w:r>
      <w:r w:rsidR="00F04507">
        <w:t xml:space="preserve"> </w:t>
      </w:r>
      <w:r w:rsidR="004B38ED">
        <w:t>includ</w:t>
      </w:r>
      <w:r w:rsidR="00E80256">
        <w:t>e</w:t>
      </w:r>
      <w:r w:rsidR="004B38ED">
        <w:t xml:space="preserve"> </w:t>
      </w:r>
      <w:r w:rsidR="00E80256" w:rsidRPr="004F1600">
        <w:t xml:space="preserve">small cell </w:t>
      </w:r>
      <w:r w:rsidR="00E80256">
        <w:t xml:space="preserve">and DAS </w:t>
      </w:r>
      <w:r w:rsidR="004B38ED">
        <w:t xml:space="preserve">equipment </w:t>
      </w:r>
      <w:r w:rsidR="00E80256">
        <w:t xml:space="preserve">that </w:t>
      </w:r>
      <w:r w:rsidR="004B38ED">
        <w:t>is being installed on a</w:t>
      </w:r>
      <w:r w:rsidR="00E80256">
        <w:t>ny</w:t>
      </w:r>
      <w:r w:rsidR="004B38ED">
        <w:t xml:space="preserve"> structure</w:t>
      </w:r>
      <w:r w:rsidR="00E80256">
        <w:t>, including those</w:t>
      </w:r>
      <w:r w:rsidR="004B38ED">
        <w:t xml:space="preserve"> with</w:t>
      </w:r>
      <w:r w:rsidR="00F04507">
        <w:t xml:space="preserve"> no pre-existing antenna</w:t>
      </w:r>
      <w:r w:rsidR="004B38ED">
        <w:t>s</w:t>
      </w:r>
      <w:r w:rsidRPr="004F1600">
        <w:t xml:space="preserve">.  </w:t>
      </w:r>
      <w:r w:rsidR="00E80256">
        <w:t>Additionally, if facilities in historic districts cannot be fully incorporated into such an expansion</w:t>
      </w:r>
      <w:r w:rsidR="00F04507">
        <w:t>, installation</w:t>
      </w:r>
      <w:r w:rsidR="00E821D9">
        <w:t>s</w:t>
      </w:r>
      <w:r w:rsidR="00F04507">
        <w:t xml:space="preserve"> </w:t>
      </w:r>
      <w:r w:rsidR="00E80256">
        <w:t xml:space="preserve">that </w:t>
      </w:r>
      <w:r w:rsidR="00E821D9">
        <w:t>are not visible from public places</w:t>
      </w:r>
      <w:r w:rsidR="00E80256">
        <w:t xml:space="preserve"> should fall under the exclusion</w:t>
      </w:r>
      <w:r w:rsidR="00F04507">
        <w:t>.</w:t>
      </w:r>
    </w:p>
    <w:p w:rsidR="0066019B" w:rsidRPr="004F1600" w:rsidRDefault="0066019B" w:rsidP="00B475E7">
      <w:pPr>
        <w:spacing w:line="240" w:lineRule="auto"/>
        <w:ind w:firstLine="720"/>
      </w:pPr>
      <w:r w:rsidRPr="004F1600">
        <w:t xml:space="preserve">Second, the Commission should finally </w:t>
      </w:r>
      <w:r w:rsidR="00533084">
        <w:t>address the problem</w:t>
      </w:r>
      <w:r w:rsidR="004727BE" w:rsidRPr="004F1600">
        <w:t xml:space="preserve"> of </w:t>
      </w:r>
      <w:r w:rsidR="00533084">
        <w:t>“</w:t>
      </w:r>
      <w:r w:rsidRPr="004F1600">
        <w:t>twilight towers</w:t>
      </w:r>
      <w:r w:rsidR="00533084">
        <w:t>.”</w:t>
      </w:r>
      <w:r w:rsidRPr="004F1600">
        <w:t xml:space="preserve">  </w:t>
      </w:r>
      <w:r w:rsidR="00E50A02" w:rsidRPr="004F1600">
        <w:t xml:space="preserve">These towers </w:t>
      </w:r>
      <w:r w:rsidR="001079FF" w:rsidRPr="004F1600">
        <w:t>–</w:t>
      </w:r>
      <w:r w:rsidR="00E50A02" w:rsidRPr="004F1600">
        <w:t xml:space="preserve"> constructed between March 2001 and March 2005 </w:t>
      </w:r>
      <w:r w:rsidR="004727BE" w:rsidRPr="004F1600">
        <w:t>–</w:t>
      </w:r>
      <w:r w:rsidR="00E50A02" w:rsidRPr="004F1600">
        <w:t xml:space="preserve"> </w:t>
      </w:r>
      <w:r w:rsidR="004727BE" w:rsidRPr="004F1600">
        <w:t xml:space="preserve">were not </w:t>
      </w:r>
      <w:r w:rsidR="00533084">
        <w:t>specifically required</w:t>
      </w:r>
      <w:r w:rsidR="00C67D4A" w:rsidRPr="004F1600">
        <w:t xml:space="preserve"> to</w:t>
      </w:r>
      <w:r w:rsidR="001365CE">
        <w:t xml:space="preserve"> go through</w:t>
      </w:r>
      <w:r w:rsidR="00C67D4A" w:rsidRPr="004F1600">
        <w:t xml:space="preserve"> historic preservation review </w:t>
      </w:r>
      <w:r w:rsidR="001365CE">
        <w:t>process</w:t>
      </w:r>
      <w:r w:rsidR="004727BE" w:rsidRPr="004F1600">
        <w:t>.</w:t>
      </w:r>
      <w:r w:rsidR="00F56850">
        <w:rPr>
          <w:rStyle w:val="FootnoteReference"/>
        </w:rPr>
        <w:footnoteReference w:id="19"/>
      </w:r>
      <w:r w:rsidR="00A810BD">
        <w:t xml:space="preserve"> </w:t>
      </w:r>
      <w:r w:rsidR="004727BE" w:rsidRPr="004F1600">
        <w:t xml:space="preserve"> </w:t>
      </w:r>
      <w:r w:rsidR="00C67D4A" w:rsidRPr="004F1600">
        <w:t>I know that Commission staff</w:t>
      </w:r>
      <w:r w:rsidR="001365CE">
        <w:t>,</w:t>
      </w:r>
      <w:r w:rsidR="00C67D4A" w:rsidRPr="004F1600">
        <w:t xml:space="preserve"> industry </w:t>
      </w:r>
      <w:r w:rsidR="001365CE">
        <w:t xml:space="preserve">and other stakeholders </w:t>
      </w:r>
      <w:r w:rsidR="00C67D4A" w:rsidRPr="004F1600">
        <w:t xml:space="preserve">have been working together to resolve this issue that affects somewhere between 4000-7000 tower structures. </w:t>
      </w:r>
      <w:r w:rsidR="00A810BD">
        <w:t xml:space="preserve"> </w:t>
      </w:r>
      <w:r w:rsidR="004727BE" w:rsidRPr="004F1600">
        <w:t xml:space="preserve">Until this </w:t>
      </w:r>
      <w:r w:rsidR="00C67D4A" w:rsidRPr="004F1600">
        <w:t>review</w:t>
      </w:r>
      <w:r w:rsidR="004727BE" w:rsidRPr="004F1600">
        <w:t xml:space="preserve"> is concluded, </w:t>
      </w:r>
      <w:r w:rsidR="00C67D4A" w:rsidRPr="004F1600">
        <w:t xml:space="preserve">these towers remain in regulatory </w:t>
      </w:r>
      <w:r w:rsidR="00886726">
        <w:t>purgatory</w:t>
      </w:r>
      <w:r w:rsidR="00C67D4A" w:rsidRPr="004F1600">
        <w:t xml:space="preserve">; </w:t>
      </w:r>
      <w:r w:rsidR="004727BE" w:rsidRPr="004F1600">
        <w:t xml:space="preserve">no </w:t>
      </w:r>
      <w:r w:rsidR="00E80256">
        <w:t>antennas</w:t>
      </w:r>
      <w:r w:rsidR="004727BE" w:rsidRPr="004F1600">
        <w:t xml:space="preserve"> can legally collocate on these </w:t>
      </w:r>
      <w:r w:rsidR="004F1600" w:rsidRPr="004F1600">
        <w:t>structure</w:t>
      </w:r>
      <w:r w:rsidR="004727BE" w:rsidRPr="004F1600">
        <w:t>s.</w:t>
      </w:r>
      <w:r w:rsidR="009E732E" w:rsidRPr="004F1600">
        <w:t xml:space="preserve">  </w:t>
      </w:r>
      <w:r w:rsidR="00C67D4A" w:rsidRPr="004F1600">
        <w:t>We need networks to be deployed</w:t>
      </w:r>
      <w:r w:rsidR="004F1600" w:rsidRPr="004F1600">
        <w:t>;</w:t>
      </w:r>
      <w:r w:rsidR="00C67D4A" w:rsidRPr="004F1600">
        <w:t xml:space="preserve"> we cannot afford to have towers that are not filled to capacity. </w:t>
      </w:r>
      <w:r w:rsidR="00A810BD">
        <w:t xml:space="preserve"> </w:t>
      </w:r>
      <w:r w:rsidRPr="004F1600">
        <w:t xml:space="preserve">Is it </w:t>
      </w:r>
      <w:r w:rsidR="00886726">
        <w:t xml:space="preserve">really </w:t>
      </w:r>
      <w:r w:rsidRPr="004F1600">
        <w:t xml:space="preserve">preferable to have </w:t>
      </w:r>
      <w:r w:rsidR="00886726">
        <w:t xml:space="preserve">antennas not installed or </w:t>
      </w:r>
      <w:r w:rsidRPr="004F1600">
        <w:t xml:space="preserve">duplicative towers built while we sort out </w:t>
      </w:r>
      <w:r w:rsidR="00E80256">
        <w:t xml:space="preserve">this </w:t>
      </w:r>
      <w:r w:rsidRPr="004F1600">
        <w:t>quandary</w:t>
      </w:r>
      <w:r w:rsidR="00C67D4A" w:rsidRPr="004F1600">
        <w:t>?</w:t>
      </w:r>
      <w:r w:rsidRPr="004F1600">
        <w:t xml:space="preserve">  </w:t>
      </w:r>
      <w:r w:rsidR="00C67D4A" w:rsidRPr="004F1600">
        <w:t xml:space="preserve">And one final note, </w:t>
      </w:r>
      <w:r w:rsidR="00AF54DD">
        <w:t xml:space="preserve">it would seem to make sense that </w:t>
      </w:r>
      <w:r w:rsidRPr="004F1600">
        <w:t xml:space="preserve">this process be </w:t>
      </w:r>
      <w:r w:rsidR="00AF54DD">
        <w:t xml:space="preserve">done </w:t>
      </w:r>
      <w:r w:rsidR="00B475E7">
        <w:t>collaboratively</w:t>
      </w:r>
      <w:r w:rsidR="00AF54DD">
        <w:t xml:space="preserve">, </w:t>
      </w:r>
      <w:r w:rsidRPr="004F1600">
        <w:t xml:space="preserve">without </w:t>
      </w:r>
      <w:r w:rsidR="00AF54DD">
        <w:t xml:space="preserve">the need for </w:t>
      </w:r>
      <w:r w:rsidRPr="004F1600">
        <w:t>enforcement action against these tower owners</w:t>
      </w:r>
      <w:r w:rsidR="00AF54DD">
        <w:t>, who are trying to resolve the issue in a productive way</w:t>
      </w:r>
      <w:r w:rsidRPr="004F1600">
        <w:t xml:space="preserve">. </w:t>
      </w:r>
    </w:p>
    <w:p w:rsidR="00C949BF" w:rsidRDefault="0066019B" w:rsidP="00B475E7">
      <w:pPr>
        <w:spacing w:line="240" w:lineRule="auto"/>
        <w:ind w:firstLine="720"/>
      </w:pPr>
      <w:r w:rsidRPr="004F1600">
        <w:t>Third, the Commission should</w:t>
      </w:r>
      <w:r w:rsidR="00284D8C">
        <w:t xml:space="preserve"> also work with industry and Native N</w:t>
      </w:r>
      <w:r w:rsidR="004B38ED">
        <w:t xml:space="preserve">ations to </w:t>
      </w:r>
      <w:r w:rsidR="002E61F4">
        <w:t xml:space="preserve">increase the efficiency of </w:t>
      </w:r>
      <w:r w:rsidR="004B38ED">
        <w:t xml:space="preserve">the </w:t>
      </w:r>
      <w:r w:rsidR="00621234">
        <w:t xml:space="preserve">historic preservation </w:t>
      </w:r>
      <w:r w:rsidR="004B38ED">
        <w:t xml:space="preserve">application and review </w:t>
      </w:r>
      <w:r w:rsidR="00C45487">
        <w:t>procedures</w:t>
      </w:r>
      <w:r w:rsidR="004B38ED">
        <w:t xml:space="preserve">.  </w:t>
      </w:r>
      <w:r w:rsidR="002E61F4">
        <w:t xml:space="preserve">I hear that </w:t>
      </w:r>
      <w:r w:rsidR="00621234">
        <w:t>improvement</w:t>
      </w:r>
      <w:r w:rsidR="00C45487">
        <w:t xml:space="preserve">s can be made to </w:t>
      </w:r>
      <w:r w:rsidR="004B1659">
        <w:t>provide</w:t>
      </w:r>
      <w:r w:rsidR="00C45487">
        <w:t xml:space="preserve"> </w:t>
      </w:r>
      <w:r w:rsidR="002B7A59">
        <w:t>N</w:t>
      </w:r>
      <w:r w:rsidR="00C45487">
        <w:t xml:space="preserve">ative </w:t>
      </w:r>
      <w:r w:rsidR="002B7A59">
        <w:t>N</w:t>
      </w:r>
      <w:r w:rsidR="00C45487">
        <w:t>ations the information they need</w:t>
      </w:r>
      <w:r w:rsidR="008820D2" w:rsidRPr="008820D2">
        <w:t xml:space="preserve"> </w:t>
      </w:r>
      <w:r w:rsidR="008820D2">
        <w:t>to protect their historic sites</w:t>
      </w:r>
      <w:r w:rsidR="004B1659">
        <w:t xml:space="preserve">, while ensuring that the process </w:t>
      </w:r>
      <w:r w:rsidR="008820D2">
        <w:t>allows for the prompt</w:t>
      </w:r>
      <w:r w:rsidR="00C45487">
        <w:t xml:space="preserve"> construct</w:t>
      </w:r>
      <w:r w:rsidR="008820D2">
        <w:t>ion of facilities</w:t>
      </w:r>
      <w:r w:rsidR="00C45487">
        <w:t>.</w:t>
      </w:r>
      <w:r w:rsidR="00C949BF">
        <w:t xml:space="preserve">  Creating best practices or guidelines, including</w:t>
      </w:r>
      <w:r w:rsidR="004B38ED">
        <w:t xml:space="preserve"> reasonable timeframes</w:t>
      </w:r>
      <w:r w:rsidR="00C45487">
        <w:t xml:space="preserve"> and fees</w:t>
      </w:r>
      <w:r w:rsidR="00C949BF">
        <w:t>,</w:t>
      </w:r>
      <w:r w:rsidR="004B38ED">
        <w:t xml:space="preserve"> could help provide </w:t>
      </w:r>
      <w:r w:rsidR="00E821D9">
        <w:t xml:space="preserve">greater </w:t>
      </w:r>
      <w:r w:rsidR="004B38ED">
        <w:t xml:space="preserve">certainty and finality to this process.  </w:t>
      </w:r>
      <w:r w:rsidR="00C949BF">
        <w:t xml:space="preserve">Both industry and </w:t>
      </w:r>
      <w:r w:rsidR="002B7A59">
        <w:t xml:space="preserve">Native Nations </w:t>
      </w:r>
      <w:r w:rsidR="00C949BF">
        <w:t xml:space="preserve">should have </w:t>
      </w:r>
      <w:r w:rsidR="004B1659">
        <w:t xml:space="preserve">shared </w:t>
      </w:r>
      <w:r w:rsidR="00C949BF">
        <w:t>expectations as to how this process work</w:t>
      </w:r>
      <w:r w:rsidR="001A6BF7">
        <w:t>s</w:t>
      </w:r>
      <w:r w:rsidR="00C949BF">
        <w:t xml:space="preserve">.  </w:t>
      </w:r>
    </w:p>
    <w:p w:rsidR="00A810BD" w:rsidRDefault="007C7114" w:rsidP="00A810BD">
      <w:pPr>
        <w:spacing w:line="240" w:lineRule="auto"/>
        <w:ind w:firstLine="720"/>
      </w:pPr>
      <w:r>
        <w:t xml:space="preserve">Additionally, the Commission must always remain technology neutral.  </w:t>
      </w:r>
      <w:r w:rsidR="008C6D24">
        <w:t>Although this would seem to be an</w:t>
      </w:r>
      <w:r>
        <w:t xml:space="preserve"> obvious statement, I have concerns about the Chairman’s announcement at the last Commission meeting </w:t>
      </w:r>
      <w:r w:rsidR="00623BF8">
        <w:t>about</w:t>
      </w:r>
      <w:r w:rsidR="00B720FC">
        <w:t xml:space="preserve"> an upcoming</w:t>
      </w:r>
      <w:r>
        <w:t xml:space="preserve"> public notice </w:t>
      </w:r>
      <w:r w:rsidR="00623BF8">
        <w:t>that will seek</w:t>
      </w:r>
      <w:r>
        <w:t xml:space="preserve"> information on LTE-U and the </w:t>
      </w:r>
      <w:r w:rsidR="00623BF8">
        <w:t>current undertaking to develop</w:t>
      </w:r>
      <w:r>
        <w:t xml:space="preserve"> standards</w:t>
      </w:r>
      <w:r w:rsidR="00623BF8">
        <w:t xml:space="preserve"> for this technology</w:t>
      </w:r>
      <w:r w:rsidR="008C6D24">
        <w:t>.</w:t>
      </w:r>
      <w:r w:rsidR="00F56850">
        <w:rPr>
          <w:rStyle w:val="FootnoteReference"/>
        </w:rPr>
        <w:footnoteReference w:id="20"/>
      </w:r>
      <w:r w:rsidR="008C6D24">
        <w:t xml:space="preserve">  </w:t>
      </w:r>
      <w:r>
        <w:t>For years, th</w:t>
      </w:r>
      <w:r w:rsidR="00623BF8">
        <w:t>e standards</w:t>
      </w:r>
      <w:r>
        <w:t xml:space="preserve"> process has successfully been conducted </w:t>
      </w:r>
      <w:r w:rsidR="00E821D9">
        <w:t xml:space="preserve">independently </w:t>
      </w:r>
      <w:r>
        <w:t xml:space="preserve">without </w:t>
      </w:r>
      <w:r w:rsidR="00E821D9">
        <w:t xml:space="preserve">any </w:t>
      </w:r>
      <w:r>
        <w:t xml:space="preserve">FCC input or interference.  </w:t>
      </w:r>
      <w:r w:rsidR="008C6D24">
        <w:t xml:space="preserve">I </w:t>
      </w:r>
      <w:r w:rsidR="00E821D9">
        <w:t xml:space="preserve">appreciate </w:t>
      </w:r>
      <w:r w:rsidR="008C6D24">
        <w:t xml:space="preserve">that certain members of the Wi-Fi community have concerns about the effect that the deployment of this new technology will have on their pre-existing networks.  </w:t>
      </w:r>
      <w:r w:rsidR="00B475E7">
        <w:t xml:space="preserve">As an ardent supporter of Wi-Fi, I, too, want to know more.  </w:t>
      </w:r>
      <w:r w:rsidR="008C6D24">
        <w:t xml:space="preserve">But, these concerns need to be worked out by </w:t>
      </w:r>
      <w:r w:rsidR="00E821D9">
        <w:t xml:space="preserve">stakeholders through </w:t>
      </w:r>
      <w:r w:rsidR="008C6D24">
        <w:t xml:space="preserve">3GPP, the standards setting body.  </w:t>
      </w:r>
      <w:r w:rsidR="00B475E7">
        <w:t xml:space="preserve">I worry that </w:t>
      </w:r>
      <w:r w:rsidR="00B720FC">
        <w:t xml:space="preserve">potentially </w:t>
      </w:r>
      <w:r w:rsidR="00623BF8">
        <w:t xml:space="preserve">injecting ourselves and </w:t>
      </w:r>
      <w:r w:rsidR="00B720FC">
        <w:t xml:space="preserve">putting </w:t>
      </w:r>
      <w:r w:rsidR="00623BF8">
        <w:t>the government’s heavy</w:t>
      </w:r>
      <w:r w:rsidR="00B720FC">
        <w:t xml:space="preserve"> thumb on the scale of the standards process</w:t>
      </w:r>
      <w:r w:rsidR="00B475E7">
        <w:t xml:space="preserve"> </w:t>
      </w:r>
      <w:r w:rsidR="00CE42C3">
        <w:t xml:space="preserve">would </w:t>
      </w:r>
      <w:r w:rsidR="003D6388">
        <w:t>l</w:t>
      </w:r>
      <w:r w:rsidR="00B475E7">
        <w:t xml:space="preserve">ead us into </w:t>
      </w:r>
      <w:r w:rsidR="00B720FC">
        <w:t xml:space="preserve">treacherous waters.  Not only must the Commission be very careful that it does not </w:t>
      </w:r>
      <w:r w:rsidR="00623BF8">
        <w:t xml:space="preserve">– either intentionally or unintentionally – </w:t>
      </w:r>
      <w:r w:rsidR="00B720FC">
        <w:t>put itself in a position where it influences or sets standards, but it also should not be taking sides with various stak</w:t>
      </w:r>
      <w:r w:rsidR="00623BF8">
        <w:t>e</w:t>
      </w:r>
      <w:r w:rsidR="00B720FC">
        <w:t>holders in the midst of th</w:t>
      </w:r>
      <w:r w:rsidR="008C6D24">
        <w:t>e</w:t>
      </w:r>
      <w:r w:rsidR="00B720FC">
        <w:t xml:space="preserve"> process or have any </w:t>
      </w:r>
      <w:r w:rsidR="008C6D24">
        <w:t>say about</w:t>
      </w:r>
      <w:r w:rsidR="00B720FC">
        <w:t xml:space="preserve"> what technologies should or should not be deployed</w:t>
      </w:r>
      <w:r w:rsidRPr="007C7114">
        <w:t xml:space="preserve">.   </w:t>
      </w:r>
      <w:r w:rsidR="00623BF8">
        <w:t xml:space="preserve">As I </w:t>
      </w:r>
      <w:r w:rsidR="008C6D24">
        <w:t>said</w:t>
      </w:r>
      <w:r w:rsidR="00623BF8">
        <w:t xml:space="preserve"> earlier, even though this </w:t>
      </w:r>
      <w:r w:rsidR="008C6D24">
        <w:t xml:space="preserve">issue </w:t>
      </w:r>
      <w:r w:rsidR="00623BF8">
        <w:t xml:space="preserve">does not directly </w:t>
      </w:r>
      <w:r w:rsidR="008C6D24">
        <w:t>pertain to</w:t>
      </w:r>
      <w:r w:rsidR="00623BF8">
        <w:t xml:space="preserve"> the infrastructure industry, any interference from the Commission that could impede or prevent the deployment of new technologies would </w:t>
      </w:r>
      <w:r w:rsidR="008C6D24">
        <w:t xml:space="preserve">negatively </w:t>
      </w:r>
      <w:r w:rsidR="00623BF8">
        <w:t>affect your bottom lines.</w:t>
      </w:r>
      <w:r w:rsidRPr="007C7114">
        <w:t xml:space="preserve">    </w:t>
      </w:r>
    </w:p>
    <w:p w:rsidR="0066019B" w:rsidRDefault="0066019B" w:rsidP="00B475E7">
      <w:pPr>
        <w:spacing w:line="240" w:lineRule="auto"/>
        <w:ind w:firstLine="720"/>
      </w:pPr>
      <w:r w:rsidRPr="004F1600">
        <w:t xml:space="preserve">These are just a </w:t>
      </w:r>
      <w:r w:rsidR="00C949BF">
        <w:t>few</w:t>
      </w:r>
      <w:r w:rsidRPr="004F1600">
        <w:t xml:space="preserve"> ideas</w:t>
      </w:r>
      <w:r w:rsidR="00AC47AE">
        <w:t>.</w:t>
      </w:r>
      <w:r w:rsidRPr="004F1600">
        <w:t xml:space="preserve"> </w:t>
      </w:r>
      <w:r w:rsidR="00AC47AE">
        <w:t xml:space="preserve"> </w:t>
      </w:r>
      <w:r w:rsidRPr="004F1600">
        <w:t>I would be interest</w:t>
      </w:r>
      <w:r w:rsidR="00AC47AE">
        <w:t>ed</w:t>
      </w:r>
      <w:r w:rsidRPr="004F1600">
        <w:t xml:space="preserve"> in hearing all suggestions</w:t>
      </w:r>
      <w:r w:rsidR="00AC47AE">
        <w:t xml:space="preserve"> you might have</w:t>
      </w:r>
      <w:r w:rsidRPr="004F1600">
        <w:t>.  During my time at the Commission</w:t>
      </w:r>
      <w:r w:rsidR="00C949BF">
        <w:t>,</w:t>
      </w:r>
      <w:r w:rsidRPr="004F1600">
        <w:t xml:space="preserve"> I have been able to advocate for various reform measures through my blog</w:t>
      </w:r>
      <w:r w:rsidR="002B7A59">
        <w:t>,</w:t>
      </w:r>
      <w:r w:rsidRPr="004F1600">
        <w:t xml:space="preserve"> and some of these ideas have resulted in chan</w:t>
      </w:r>
      <w:r w:rsidR="00E80256">
        <w:t>ges or notices of proposed rule</w:t>
      </w:r>
      <w:r w:rsidRPr="004F1600">
        <w:t xml:space="preserve">makings.  My staff and I have an open door </w:t>
      </w:r>
      <w:r w:rsidR="006E7C97">
        <w:t>policy</w:t>
      </w:r>
      <w:r w:rsidR="00C265EC">
        <w:t>,</w:t>
      </w:r>
      <w:r w:rsidR="006E7C97">
        <w:t xml:space="preserve"> </w:t>
      </w:r>
      <w:r w:rsidRPr="004F1600">
        <w:t>and no idea that you may have is too small.</w:t>
      </w:r>
    </w:p>
    <w:p w:rsidR="00C949BF" w:rsidRPr="00C949BF" w:rsidRDefault="00C949BF" w:rsidP="00B475E7">
      <w:pPr>
        <w:spacing w:line="240" w:lineRule="auto"/>
        <w:rPr>
          <w:i/>
        </w:rPr>
      </w:pPr>
      <w:r w:rsidRPr="00C949BF">
        <w:rPr>
          <w:i/>
        </w:rPr>
        <w:t>Looking to the Future</w:t>
      </w:r>
    </w:p>
    <w:p w:rsidR="00364F10" w:rsidRPr="004F1600" w:rsidRDefault="008A18CE" w:rsidP="00B475E7">
      <w:pPr>
        <w:spacing w:line="240" w:lineRule="auto"/>
        <w:ind w:firstLine="720"/>
      </w:pPr>
      <w:r w:rsidRPr="004F1600">
        <w:t>I</w:t>
      </w:r>
      <w:r w:rsidR="00C949BF">
        <w:t>n conclusion, I</w:t>
      </w:r>
      <w:r w:rsidRPr="004F1600">
        <w:t xml:space="preserve"> challenge this industry to be forward looking.  What will the next generation of infrastructure look like?  Moving from large cell towers to small cell</w:t>
      </w:r>
      <w:r w:rsidR="00364F10" w:rsidRPr="004F1600">
        <w:t xml:space="preserve"> </w:t>
      </w:r>
      <w:r w:rsidRPr="004F1600">
        <w:t>networks clearly has benefits.  They are cheaper, quicker and easier to install and will face fewer regulatory challenges than the</w:t>
      </w:r>
      <w:r w:rsidR="00AC47AE">
        <w:t>i</w:t>
      </w:r>
      <w:r w:rsidRPr="004F1600">
        <w:t xml:space="preserve">r </w:t>
      </w:r>
      <w:r w:rsidR="00AC47AE">
        <w:t>less-aesthetically pleasing</w:t>
      </w:r>
      <w:r w:rsidR="006E7C97">
        <w:t>,</w:t>
      </w:r>
      <w:r w:rsidRPr="004F1600">
        <w:t xml:space="preserve"> larger siblings. </w:t>
      </w:r>
      <w:r w:rsidR="0066019B" w:rsidRPr="004F1600">
        <w:t xml:space="preserve"> </w:t>
      </w:r>
      <w:r w:rsidRPr="004F1600">
        <w:t xml:space="preserve">So what </w:t>
      </w:r>
      <w:r w:rsidR="000E2F36" w:rsidRPr="004F1600">
        <w:t>is next?  Some people have suggested such ideas as a series of balloons, solar-powered drones, or small satellites.</w:t>
      </w:r>
      <w:r w:rsidR="00F56850">
        <w:rPr>
          <w:rStyle w:val="FootnoteReference"/>
        </w:rPr>
        <w:footnoteReference w:id="21"/>
      </w:r>
      <w:r w:rsidR="000E2F36" w:rsidRPr="004F1600">
        <w:t xml:space="preserve">  </w:t>
      </w:r>
      <w:r w:rsidR="003F1693">
        <w:t>T</w:t>
      </w:r>
      <w:r w:rsidR="00364F10" w:rsidRPr="004F1600">
        <w:t xml:space="preserve">his may sound far-fetched to some, </w:t>
      </w:r>
      <w:r w:rsidR="003F1693">
        <w:t xml:space="preserve">and </w:t>
      </w:r>
      <w:r w:rsidR="00364F10" w:rsidRPr="004F1600">
        <w:t>other options may be more likely.</w:t>
      </w:r>
    </w:p>
    <w:p w:rsidR="0066019B" w:rsidRDefault="00364F10" w:rsidP="00B475E7">
      <w:pPr>
        <w:spacing w:line="240" w:lineRule="auto"/>
        <w:ind w:firstLine="720"/>
      </w:pPr>
      <w:r w:rsidRPr="004F1600">
        <w:t>For instance, there is the</w:t>
      </w:r>
      <w:r w:rsidR="000E2F36" w:rsidRPr="004F1600">
        <w:t xml:space="preserve"> idea that next-generation devices </w:t>
      </w:r>
      <w:r w:rsidRPr="004F1600">
        <w:t>may be able to bypass cell towers and become part of the cellular network.</w:t>
      </w:r>
      <w:r w:rsidR="00F56850">
        <w:rPr>
          <w:rStyle w:val="FootnoteReference"/>
        </w:rPr>
        <w:footnoteReference w:id="22"/>
      </w:r>
      <w:r w:rsidRPr="004F1600">
        <w:t xml:space="preserve">  This could result</w:t>
      </w:r>
      <w:r w:rsidR="000E2F36" w:rsidRPr="004F1600">
        <w:t xml:space="preserve"> in </w:t>
      </w:r>
      <w:r w:rsidRPr="004F1600">
        <w:t>a diminished reliance on cell towers, and may even make them</w:t>
      </w:r>
      <w:r w:rsidR="000E2F36" w:rsidRPr="004F1600">
        <w:t xml:space="preserve"> a thing of the past</w:t>
      </w:r>
      <w:r w:rsidRPr="004F1600">
        <w:t>.  There are reports of major manufacturers working on technology that would allow mobile devices to communicate with each other up to a range of 500 meters without draining a phone’s battery life.</w:t>
      </w:r>
      <w:r w:rsidR="006E7C97">
        <w:t xml:space="preserve">  Maybe such device-to-</w:t>
      </w:r>
      <w:r w:rsidRPr="004F1600">
        <w:t xml:space="preserve">device technology will not </w:t>
      </w:r>
      <w:r w:rsidR="006E7C97">
        <w:t xml:space="preserve">become commonplace or </w:t>
      </w:r>
      <w:r w:rsidRPr="004F1600">
        <w:t>eliminate the need fo</w:t>
      </w:r>
      <w:r w:rsidR="002B4671" w:rsidRPr="004F1600">
        <w:t xml:space="preserve">r towers and small cells, but </w:t>
      </w:r>
      <w:r w:rsidR="006E7C97">
        <w:t>we must always look to the future and plan for what is next.</w:t>
      </w:r>
    </w:p>
    <w:p w:rsidR="006E7C97" w:rsidRPr="004F1600" w:rsidRDefault="006E7C97" w:rsidP="00B475E7">
      <w:pPr>
        <w:spacing w:line="240" w:lineRule="auto"/>
        <w:ind w:firstLine="720"/>
      </w:pPr>
      <w:r>
        <w:t>I thank you again for having me here today</w:t>
      </w:r>
      <w:r w:rsidR="00447173">
        <w:t>,</w:t>
      </w:r>
      <w:r>
        <w:t xml:space="preserve"> and I look forward to any questions.</w:t>
      </w:r>
    </w:p>
    <w:sectPr w:rsidR="006E7C97" w:rsidRPr="004F16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09" w:rsidRDefault="00A64909" w:rsidP="00A64909">
      <w:pPr>
        <w:spacing w:after="0" w:line="240" w:lineRule="auto"/>
      </w:pPr>
      <w:r>
        <w:separator/>
      </w:r>
    </w:p>
  </w:endnote>
  <w:endnote w:type="continuationSeparator" w:id="0">
    <w:p w:rsidR="00A64909" w:rsidRDefault="00A64909" w:rsidP="00A6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AB" w:rsidRDefault="00A47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9533"/>
      <w:docPartObj>
        <w:docPartGallery w:val="Page Numbers (Bottom of Page)"/>
        <w:docPartUnique/>
      </w:docPartObj>
    </w:sdtPr>
    <w:sdtEndPr>
      <w:rPr>
        <w:noProof/>
      </w:rPr>
    </w:sdtEndPr>
    <w:sdtContent>
      <w:p w:rsidR="00042A5E" w:rsidRDefault="00042A5E">
        <w:pPr>
          <w:pStyle w:val="Footer"/>
          <w:jc w:val="center"/>
        </w:pPr>
        <w:r>
          <w:fldChar w:fldCharType="begin"/>
        </w:r>
        <w:r>
          <w:instrText xml:space="preserve"> PAGE   \* MERGEFORMAT </w:instrText>
        </w:r>
        <w:r>
          <w:fldChar w:fldCharType="separate"/>
        </w:r>
        <w:r w:rsidR="000B2164">
          <w:rPr>
            <w:noProof/>
          </w:rPr>
          <w:t>1</w:t>
        </w:r>
        <w:r>
          <w:rPr>
            <w:noProof/>
          </w:rPr>
          <w:fldChar w:fldCharType="end"/>
        </w:r>
      </w:p>
    </w:sdtContent>
  </w:sdt>
  <w:p w:rsidR="00042A5E" w:rsidRDefault="00042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AB" w:rsidRDefault="00A47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09" w:rsidRDefault="00A64909" w:rsidP="00A64909">
      <w:pPr>
        <w:spacing w:after="0" w:line="240" w:lineRule="auto"/>
      </w:pPr>
      <w:r>
        <w:separator/>
      </w:r>
    </w:p>
  </w:footnote>
  <w:footnote w:type="continuationSeparator" w:id="0">
    <w:p w:rsidR="00A64909" w:rsidRDefault="00A64909" w:rsidP="00A64909">
      <w:pPr>
        <w:spacing w:after="0" w:line="240" w:lineRule="auto"/>
      </w:pPr>
      <w:r>
        <w:continuationSeparator/>
      </w:r>
    </w:p>
  </w:footnote>
  <w:footnote w:id="1">
    <w:p w:rsidR="003E4060" w:rsidRDefault="003E4060" w:rsidP="00F56850">
      <w:pPr>
        <w:pStyle w:val="FootnoteText"/>
        <w:spacing w:after="120"/>
      </w:pPr>
      <w:r>
        <w:rPr>
          <w:rStyle w:val="FootnoteReference"/>
        </w:rPr>
        <w:footnoteRef/>
      </w:r>
      <w:r>
        <w:t xml:space="preserve"> </w:t>
      </w:r>
      <w:r w:rsidRPr="00E54A1E">
        <w:t xml:space="preserve">Cisco, </w:t>
      </w:r>
      <w:r w:rsidRPr="0096752B">
        <w:rPr>
          <w:i/>
        </w:rPr>
        <w:t>VNI Mobile Forecast Highlights, 2014-2019, United States – 2014 Year in Review</w:t>
      </w:r>
      <w:r w:rsidRPr="00E54A1E">
        <w:t xml:space="preserve">, http://www.cisco.com/c/dam/assets/sol/sp/vni/forecast_highlights_mobile/index.html#~Country (filter by U.S., 2014 Year in Review) (last visited </w:t>
      </w:r>
      <w:r>
        <w:t>Apr. 24</w:t>
      </w:r>
      <w:r w:rsidRPr="00E54A1E">
        <w:t xml:space="preserve">, 2015); Cisco, </w:t>
      </w:r>
      <w:r w:rsidRPr="0096752B">
        <w:rPr>
          <w:i/>
        </w:rPr>
        <w:t>VNI Mobile Forecast Highlights, 2014-2019, United States – Network Connections</w:t>
      </w:r>
      <w:r w:rsidRPr="00E54A1E">
        <w:t xml:space="preserve">, http://www.cisco.com/c/dam/assets/sol/sp/vni/forecast_highlights_mobile/index.html#~Country (filter by U.S., Network Connections) (last visited </w:t>
      </w:r>
      <w:r>
        <w:t>Apr. 24</w:t>
      </w:r>
      <w:r w:rsidRPr="00E54A1E">
        <w:t>, 2015) (“</w:t>
      </w:r>
      <w:r w:rsidRPr="0096752B">
        <w:rPr>
          <w:i/>
        </w:rPr>
        <w:t>Cisco VNI Highlights – U.S. Network Connections</w:t>
      </w:r>
      <w:r w:rsidRPr="00E54A1E">
        <w:t>”).</w:t>
      </w:r>
    </w:p>
  </w:footnote>
  <w:footnote w:id="2">
    <w:p w:rsidR="003E4060" w:rsidRDefault="003E4060" w:rsidP="00F56850">
      <w:pPr>
        <w:pStyle w:val="FootnoteText"/>
        <w:spacing w:after="120"/>
      </w:pPr>
      <w:r>
        <w:rPr>
          <w:rStyle w:val="FootnoteReference"/>
        </w:rPr>
        <w:footnoteRef/>
      </w:r>
      <w:r>
        <w:t xml:space="preserve"> Cisco, </w:t>
      </w:r>
      <w:r w:rsidRPr="00EC6930">
        <w:rPr>
          <w:i/>
        </w:rPr>
        <w:t>VNI Mobile Forecast Highlights, 2014-2019, United States –</w:t>
      </w:r>
      <w:r>
        <w:rPr>
          <w:i/>
        </w:rPr>
        <w:t xml:space="preserve"> 2019 Forecast Highlights</w:t>
      </w:r>
      <w:r>
        <w:t xml:space="preserve">, </w:t>
      </w:r>
      <w:r w:rsidRPr="00D20E38">
        <w:t>http://www.cisco.com/c/dam/assets/sol/sp/vni/forecast_highlights_mobile/index.html#~Country</w:t>
      </w:r>
      <w:r>
        <w:t xml:space="preserve"> (filter by U.S., 2019 Forecast Highlights) (last visited Apr. 24, 2015); </w:t>
      </w:r>
      <w:r w:rsidRPr="00613F7D">
        <w:rPr>
          <w:i/>
        </w:rPr>
        <w:t xml:space="preserve">Cisco VNI Highlights </w:t>
      </w:r>
      <w:r>
        <w:rPr>
          <w:i/>
        </w:rPr>
        <w:t xml:space="preserve">– U.S. </w:t>
      </w:r>
      <w:r w:rsidRPr="00613F7D">
        <w:rPr>
          <w:i/>
        </w:rPr>
        <w:t>Network Connections</w:t>
      </w:r>
      <w:r>
        <w:rPr>
          <w:i/>
        </w:rPr>
        <w:t>.</w:t>
      </w:r>
    </w:p>
  </w:footnote>
  <w:footnote w:id="3">
    <w:p w:rsidR="003E4060" w:rsidRDefault="003E4060" w:rsidP="00F56850">
      <w:pPr>
        <w:pStyle w:val="FootnoteText"/>
        <w:spacing w:after="120"/>
      </w:pPr>
      <w:r>
        <w:rPr>
          <w:rStyle w:val="FootnoteReference"/>
        </w:rPr>
        <w:footnoteRef/>
      </w:r>
      <w:r>
        <w:t xml:space="preserve"> Cisco, </w:t>
      </w:r>
      <w:r w:rsidRPr="00EC6930">
        <w:rPr>
          <w:i/>
        </w:rPr>
        <w:t>VNI Mobile Forecast Highlights, 2014-2019</w:t>
      </w:r>
      <w:r>
        <w:rPr>
          <w:i/>
        </w:rPr>
        <w:t>,</w:t>
      </w:r>
      <w:r w:rsidRPr="00EC6930">
        <w:rPr>
          <w:i/>
        </w:rPr>
        <w:t xml:space="preserve"> United States –</w:t>
      </w:r>
      <w:r>
        <w:rPr>
          <w:i/>
        </w:rPr>
        <w:t xml:space="preserve"> Mobile Applications</w:t>
      </w:r>
      <w:r>
        <w:t xml:space="preserve">, </w:t>
      </w:r>
      <w:r w:rsidRPr="007565B2">
        <w:t>http://www.cisco.com/c/dam/assets/sol/sp/vni/forecast_highlights_mobile/index.html#~Country</w:t>
      </w:r>
      <w:r>
        <w:t xml:space="preserve"> (filter by U.S., Mobile Applications) (last visited Apr. 24, 2015) (stating that video comprises approximately 60% of mobile data traffic today).</w:t>
      </w:r>
    </w:p>
  </w:footnote>
  <w:footnote w:id="4">
    <w:p w:rsidR="003E4060" w:rsidRDefault="003E4060" w:rsidP="00F56850">
      <w:pPr>
        <w:pStyle w:val="FootnoteText"/>
        <w:spacing w:after="120"/>
      </w:pPr>
      <w:r>
        <w:rPr>
          <w:rStyle w:val="FootnoteReference"/>
        </w:rPr>
        <w:footnoteRef/>
      </w:r>
      <w:r>
        <w:t xml:space="preserve"> </w:t>
      </w:r>
      <w:r w:rsidRPr="00613F7D">
        <w:rPr>
          <w:i/>
        </w:rPr>
        <w:t xml:space="preserve">Cisco VNI Highlights </w:t>
      </w:r>
      <w:r>
        <w:rPr>
          <w:i/>
        </w:rPr>
        <w:t xml:space="preserve">– U.S. </w:t>
      </w:r>
      <w:r w:rsidRPr="00613F7D">
        <w:rPr>
          <w:i/>
        </w:rPr>
        <w:t>Network Connections</w:t>
      </w:r>
      <w:r>
        <w:t xml:space="preserve">; Cisco, </w:t>
      </w:r>
      <w:r w:rsidRPr="00EC6930">
        <w:rPr>
          <w:i/>
        </w:rPr>
        <w:t>VNI Mobile Forecast Highlights, 2014-2019</w:t>
      </w:r>
      <w:r>
        <w:rPr>
          <w:i/>
        </w:rPr>
        <w:t>,</w:t>
      </w:r>
      <w:r w:rsidRPr="00EC6930">
        <w:rPr>
          <w:i/>
        </w:rPr>
        <w:t xml:space="preserve"> United States –</w:t>
      </w:r>
      <w:r>
        <w:rPr>
          <w:i/>
        </w:rPr>
        <w:t xml:space="preserve"> Potential M2M Connections</w:t>
      </w:r>
      <w:r>
        <w:t xml:space="preserve">, </w:t>
      </w:r>
      <w:r w:rsidRPr="00E915E5">
        <w:t>http://www.cisco.com/c/dam/assets/sol/sp/vni/forecast_highlights_mobile/index.html#~Country</w:t>
      </w:r>
      <w:r>
        <w:t xml:space="preserve"> (filter by U.S., Device Growth/Potential M2M Connections) (last visited Apr. 24, 2015).</w:t>
      </w:r>
    </w:p>
  </w:footnote>
  <w:footnote w:id="5">
    <w:p w:rsidR="003E4060" w:rsidRDefault="003E4060" w:rsidP="00F56850">
      <w:pPr>
        <w:pStyle w:val="FootnoteText"/>
        <w:spacing w:after="120"/>
      </w:pPr>
      <w:r>
        <w:rPr>
          <w:rStyle w:val="FootnoteReference"/>
        </w:rPr>
        <w:footnoteRef/>
      </w:r>
      <w:r>
        <w:t xml:space="preserve"> Joey Jackson, </w:t>
      </w:r>
      <w:r>
        <w:rPr>
          <w:i/>
        </w:rPr>
        <w:t>Wireless Infrastructure Expected to Continue Growth T</w:t>
      </w:r>
      <w:r w:rsidRPr="0001508C">
        <w:rPr>
          <w:i/>
        </w:rPr>
        <w:t>rack</w:t>
      </w:r>
      <w:r>
        <w:t xml:space="preserve">, RCR </w:t>
      </w:r>
      <w:r w:rsidRPr="0001508C">
        <w:rPr>
          <w:smallCaps/>
        </w:rPr>
        <w:t>Wireless</w:t>
      </w:r>
      <w:r>
        <w:t xml:space="preserve">, Mar. 20, 2015, </w:t>
      </w:r>
      <w:r w:rsidRPr="0001508C">
        <w:t>http://www.rcrwireless.com/20150320/network-infrastructure/the-state-of-wireless-infrastructure-tag20</w:t>
      </w:r>
      <w:r>
        <w:t>.</w:t>
      </w:r>
    </w:p>
  </w:footnote>
  <w:footnote w:id="6">
    <w:p w:rsidR="003E4060" w:rsidRDefault="003E4060" w:rsidP="00F56850">
      <w:pPr>
        <w:pStyle w:val="FootnoteText"/>
        <w:spacing w:after="120"/>
      </w:pPr>
      <w:r>
        <w:rPr>
          <w:rStyle w:val="FootnoteReference"/>
        </w:rPr>
        <w:footnoteRef/>
      </w:r>
      <w:r>
        <w:t xml:space="preserve"> FCC, Auction 97, Advanced Wireless Services (AWS-3), http://wireless.fcc.gov/auctions/default.htm?job=auction_summary&amp;id=97 (last visited Apr. 24, 2015).</w:t>
      </w:r>
    </w:p>
  </w:footnote>
  <w:footnote w:id="7">
    <w:p w:rsidR="00FD047A" w:rsidRDefault="00FD047A" w:rsidP="00653D14">
      <w:pPr>
        <w:pStyle w:val="FootnoteText"/>
        <w:spacing w:after="120"/>
      </w:pPr>
      <w:r>
        <w:rPr>
          <w:rStyle w:val="FootnoteReference"/>
        </w:rPr>
        <w:footnoteRef/>
      </w:r>
      <w:r>
        <w:t xml:space="preserve"> </w:t>
      </w:r>
      <w:r w:rsidRPr="00FB3B3B">
        <w:rPr>
          <w:i/>
        </w:rPr>
        <w:t xml:space="preserve">Expanding the Economic and Innovation Opportunities of </w:t>
      </w:r>
      <w:r w:rsidR="00FB3B3B" w:rsidRPr="00FB3B3B">
        <w:rPr>
          <w:i/>
        </w:rPr>
        <w:t xml:space="preserve">Spectrum through </w:t>
      </w:r>
      <w:r w:rsidRPr="00FB3B3B">
        <w:rPr>
          <w:i/>
        </w:rPr>
        <w:t>Incentive Auctions</w:t>
      </w:r>
      <w:r>
        <w:t xml:space="preserve">, </w:t>
      </w:r>
      <w:r w:rsidR="00FB3B3B" w:rsidRPr="00FB3B3B">
        <w:t>GN Docket No. 12-268</w:t>
      </w:r>
      <w:r w:rsidR="00FB3B3B">
        <w:t xml:space="preserve">, </w:t>
      </w:r>
      <w:r w:rsidR="00FB3B3B" w:rsidRPr="00FB3B3B">
        <w:t>Report and Order</w:t>
      </w:r>
      <w:r w:rsidR="00FB3B3B">
        <w:t>, 29 FCC Rcd 6567 (2014).</w:t>
      </w:r>
    </w:p>
  </w:footnote>
  <w:footnote w:id="8">
    <w:p w:rsidR="003E4060" w:rsidRDefault="003E4060" w:rsidP="00F56850">
      <w:pPr>
        <w:pStyle w:val="FootnoteText"/>
        <w:spacing w:after="120"/>
      </w:pPr>
      <w:r>
        <w:rPr>
          <w:rStyle w:val="FootnoteReference"/>
        </w:rPr>
        <w:footnoteRef/>
      </w:r>
      <w:r>
        <w:t xml:space="preserve"> </w:t>
      </w:r>
      <w:r w:rsidRPr="003E4060">
        <w:rPr>
          <w:i/>
        </w:rPr>
        <w:t>Revision of Part 15 of the Commission’s Rules to Permit Unlicensed National Information Infrastructure (U-NII) Devices in the 5 GHz Band</w:t>
      </w:r>
      <w:r w:rsidRPr="003E4060">
        <w:t>, ET Docket No. 13-49, First Report and Order, 29 FCC Rcd 4127 (2014).</w:t>
      </w:r>
    </w:p>
  </w:footnote>
  <w:footnote w:id="9">
    <w:p w:rsidR="003E4060" w:rsidRDefault="003E4060" w:rsidP="00F56850">
      <w:pPr>
        <w:pStyle w:val="FootnoteText"/>
        <w:spacing w:after="120"/>
      </w:pPr>
      <w:r>
        <w:rPr>
          <w:rStyle w:val="FootnoteReference"/>
        </w:rPr>
        <w:footnoteRef/>
      </w:r>
      <w:r>
        <w:t xml:space="preserve"> </w:t>
      </w:r>
      <w:r w:rsidRPr="00B56272">
        <w:rPr>
          <w:i/>
        </w:rPr>
        <w:t>Amendment of the Commission’s Rules with Regard to Commercial Operations in the 3550-3650 GHz Band</w:t>
      </w:r>
      <w:r>
        <w:t xml:space="preserve">, </w:t>
      </w:r>
      <w:r w:rsidRPr="00DD635D">
        <w:t>GN Docket No. 12-354</w:t>
      </w:r>
      <w:r>
        <w:t xml:space="preserve">, </w:t>
      </w:r>
      <w:r w:rsidRPr="00DD635D">
        <w:t>Report and Order and Second Further Notice of Proposed Rulemaking</w:t>
      </w:r>
      <w:r>
        <w:t>, FCC 15-47 (Apr. 21, 2015).</w:t>
      </w:r>
    </w:p>
  </w:footnote>
  <w:footnote w:id="10">
    <w:p w:rsidR="003E4060" w:rsidRDefault="003E4060" w:rsidP="00F56850">
      <w:pPr>
        <w:pStyle w:val="FootnoteText"/>
        <w:spacing w:after="120"/>
      </w:pPr>
      <w:r>
        <w:rPr>
          <w:rStyle w:val="FootnoteReference"/>
        </w:rPr>
        <w:footnoteRef/>
      </w:r>
      <w:r>
        <w:t xml:space="preserve"> </w:t>
      </w:r>
      <w:r w:rsidRPr="00B56272">
        <w:rPr>
          <w:i/>
        </w:rPr>
        <w:t>Us</w:t>
      </w:r>
      <w:r w:rsidR="00F034E4">
        <w:rPr>
          <w:i/>
        </w:rPr>
        <w:t>e of Spectrum Bands a</w:t>
      </w:r>
      <w:r w:rsidRPr="00B56272">
        <w:rPr>
          <w:i/>
        </w:rPr>
        <w:t>bove 24 GHz for Mobile Radio Services</w:t>
      </w:r>
      <w:r>
        <w:t xml:space="preserve">, GN Docket No. 14-177, Notice of Inquiry, </w:t>
      </w:r>
      <w:r w:rsidRPr="00AF50E8">
        <w:t>29 FCC Rcd 13020</w:t>
      </w:r>
      <w:r>
        <w:t xml:space="preserve"> (2014).</w:t>
      </w:r>
    </w:p>
  </w:footnote>
  <w:footnote w:id="11">
    <w:p w:rsidR="003E4060" w:rsidRDefault="003E4060" w:rsidP="00F56850">
      <w:pPr>
        <w:pStyle w:val="FootnoteText"/>
        <w:spacing w:after="120"/>
      </w:pPr>
      <w:r>
        <w:rPr>
          <w:rStyle w:val="FootnoteReference"/>
        </w:rPr>
        <w:footnoteRef/>
      </w:r>
      <w:r>
        <w:t xml:space="preserve"> PCIA Press Release, </w:t>
      </w:r>
      <w:r w:rsidRPr="00312F74">
        <w:t>PCIA CEO Says New Public-Private Job Training Initiative Will Help Create “Wireless Workforce of the Future”</w:t>
      </w:r>
      <w:r>
        <w:t xml:space="preserve"> (Oct. 14, 2014), </w:t>
      </w:r>
      <w:r w:rsidRPr="00DD635D">
        <w:t>http://www.pcia.com/pcia-press-releases/671-pcia-ceo-says-new-public-private-job-training-initiative-will-help-create-wireless-workforce-of-the-future</w:t>
      </w:r>
      <w:r>
        <w:t>.</w:t>
      </w:r>
    </w:p>
  </w:footnote>
  <w:footnote w:id="12">
    <w:p w:rsidR="003E4060" w:rsidRDefault="003E4060" w:rsidP="00F56850">
      <w:pPr>
        <w:pStyle w:val="FootnoteText"/>
        <w:spacing w:after="120"/>
      </w:pPr>
      <w:r>
        <w:rPr>
          <w:rStyle w:val="FootnoteReference"/>
        </w:rPr>
        <w:footnoteRef/>
      </w:r>
      <w:r>
        <w:t xml:space="preserve"> </w:t>
      </w:r>
      <w:r w:rsidRPr="00B56272">
        <w:rPr>
          <w:i/>
        </w:rPr>
        <w:t>Protecting and Promoting the Open Internet</w:t>
      </w:r>
      <w:r>
        <w:t xml:space="preserve">, </w:t>
      </w:r>
      <w:r w:rsidRPr="00C40ED2">
        <w:t>GN Docket No. 14-28</w:t>
      </w:r>
      <w:r>
        <w:t xml:space="preserve">, </w:t>
      </w:r>
      <w:r w:rsidRPr="00C40ED2">
        <w:t>Report and Order on Remand, Declaratory Ruling, and Order</w:t>
      </w:r>
      <w:r>
        <w:t>, FCC 15-24 (Mar. 12, 2015).</w:t>
      </w:r>
    </w:p>
  </w:footnote>
  <w:footnote w:id="13">
    <w:p w:rsidR="003E4060" w:rsidRDefault="003E4060" w:rsidP="00F56850">
      <w:pPr>
        <w:pStyle w:val="FootnoteText"/>
        <w:spacing w:after="120"/>
      </w:pPr>
      <w:r>
        <w:rPr>
          <w:rStyle w:val="FootnoteReference"/>
        </w:rPr>
        <w:footnoteRef/>
      </w:r>
      <w:r>
        <w:t xml:space="preserve"> </w:t>
      </w:r>
      <w:r w:rsidRPr="00B56272">
        <w:rPr>
          <w:i/>
        </w:rPr>
        <w:t>2004 and 2006 Biennial Regulatory Reviews – Streamlining and Other Revisions of Parts 1 and 17 of the Commission’s Rules Governing Construction, Marking and Lighting of Antenna Structures</w:t>
      </w:r>
      <w:r>
        <w:t xml:space="preserve">, </w:t>
      </w:r>
      <w:r w:rsidRPr="00E62FF7">
        <w:t>WT Docket No. 10-88</w:t>
      </w:r>
      <w:r>
        <w:t>, Report and Order, 29 FCC Rcd 9787 (2014).</w:t>
      </w:r>
    </w:p>
  </w:footnote>
  <w:footnote w:id="14">
    <w:p w:rsidR="003E4060" w:rsidRDefault="003E4060" w:rsidP="00F56850">
      <w:pPr>
        <w:pStyle w:val="FootnoteText"/>
        <w:spacing w:after="120"/>
      </w:pPr>
      <w:r>
        <w:rPr>
          <w:rStyle w:val="FootnoteReference"/>
        </w:rPr>
        <w:footnoteRef/>
      </w:r>
      <w:r>
        <w:t xml:space="preserve"> </w:t>
      </w:r>
      <w:r w:rsidRPr="00B56272">
        <w:rPr>
          <w:i/>
        </w:rPr>
        <w:t>Acceleration of Broadband Deployment by Improving Wireless Facilities Siting Policies; Acceleration of Broadband Deployment: Expanding the Reach and Reducing the Cost of Broadband Deployment by Improving Policies Regarding Public Rights of Way and Wireless Facilities Siting; 2012 Biennial Review of Telecommunications Regulations</w:t>
      </w:r>
      <w:r w:rsidRPr="008703D1">
        <w:t>, WT Docket No. 13-238, Report and Order,</w:t>
      </w:r>
      <w:r>
        <w:t xml:space="preserve"> 29 FCC Rcd</w:t>
      </w:r>
      <w:r w:rsidRPr="008703D1">
        <w:t xml:space="preserve"> 12865</w:t>
      </w:r>
      <w:r>
        <w:t xml:space="preserve"> (2014)</w:t>
      </w:r>
      <w:r w:rsidR="00F56850">
        <w:t xml:space="preserve"> (“</w:t>
      </w:r>
      <w:r w:rsidR="00F56850" w:rsidRPr="00F56850">
        <w:rPr>
          <w:i/>
        </w:rPr>
        <w:t>Infrastructure Order</w:t>
      </w:r>
      <w:r w:rsidR="00F56850">
        <w:t>”)</w:t>
      </w:r>
      <w:r>
        <w:t>.</w:t>
      </w:r>
    </w:p>
  </w:footnote>
  <w:footnote w:id="15">
    <w:p w:rsidR="003E4060" w:rsidRDefault="003E4060" w:rsidP="00F56850">
      <w:pPr>
        <w:pStyle w:val="FootnoteText"/>
        <w:spacing w:after="120"/>
      </w:pPr>
      <w:r>
        <w:rPr>
          <w:rStyle w:val="FootnoteReference"/>
        </w:rPr>
        <w:footnoteRef/>
      </w:r>
      <w:r>
        <w:t xml:space="preserve"> </w:t>
      </w:r>
      <w:r w:rsidRPr="00B56272">
        <w:t>Middle Class Tax Relief and Job Creation Act of 2012 § 6409(a)</w:t>
      </w:r>
      <w:r>
        <w:t>,</w:t>
      </w:r>
      <w:r w:rsidRPr="004A4B76">
        <w:t xml:space="preserve"> 47 U.S.C. § 1455(a).</w:t>
      </w:r>
    </w:p>
  </w:footnote>
  <w:footnote w:id="16">
    <w:p w:rsidR="003E4060" w:rsidRDefault="003E4060" w:rsidP="00F56850">
      <w:pPr>
        <w:pStyle w:val="FootnoteText"/>
        <w:spacing w:after="120"/>
      </w:pPr>
      <w:r>
        <w:rPr>
          <w:rStyle w:val="FootnoteReference"/>
        </w:rPr>
        <w:footnoteRef/>
      </w:r>
      <w:r>
        <w:t xml:space="preserve"> Telecommunications Act of 1996 </w:t>
      </w:r>
      <w:r w:rsidRPr="00B56272">
        <w:t>§</w:t>
      </w:r>
      <w:r>
        <w:t xml:space="preserve"> 704, 47 U.S.C. </w:t>
      </w:r>
      <w:r w:rsidRPr="00B56272">
        <w:t>§</w:t>
      </w:r>
      <w:r>
        <w:t xml:space="preserve"> 332(c)(7).</w:t>
      </w:r>
    </w:p>
  </w:footnote>
  <w:footnote w:id="17">
    <w:p w:rsidR="00CD7684" w:rsidRDefault="00CD7684" w:rsidP="00CD7684">
      <w:pPr>
        <w:pStyle w:val="FootnoteText"/>
        <w:spacing w:after="120"/>
      </w:pPr>
      <w:r>
        <w:rPr>
          <w:rStyle w:val="FootnoteReference"/>
        </w:rPr>
        <w:footnoteRef/>
      </w:r>
      <w:r>
        <w:t xml:space="preserve"> 36 C.F.R. § 800.14.</w:t>
      </w:r>
    </w:p>
  </w:footnote>
  <w:footnote w:id="18">
    <w:p w:rsidR="003E4060" w:rsidRDefault="003E4060" w:rsidP="00F56850">
      <w:pPr>
        <w:pStyle w:val="FootnoteText"/>
        <w:spacing w:after="120"/>
      </w:pPr>
      <w:r>
        <w:rPr>
          <w:rStyle w:val="FootnoteReference"/>
        </w:rPr>
        <w:footnoteRef/>
      </w:r>
      <w:r>
        <w:t xml:space="preserve"> </w:t>
      </w:r>
      <w:r w:rsidR="00F56850" w:rsidRPr="00F56850">
        <w:rPr>
          <w:i/>
        </w:rPr>
        <w:t>Infrastructure Order</w:t>
      </w:r>
      <w:r w:rsidR="00F56850">
        <w:t>,</w:t>
      </w:r>
      <w:r>
        <w:t xml:space="preserve"> </w:t>
      </w:r>
      <w:r w:rsidR="00F56850">
        <w:t>29 FCC Rcd</w:t>
      </w:r>
      <w:r w:rsidR="00F56850" w:rsidRPr="008703D1">
        <w:t xml:space="preserve"> </w:t>
      </w:r>
      <w:r>
        <w:t>at 12871, 12878, 12906 ¶¶ 13, 28, 89.</w:t>
      </w:r>
    </w:p>
  </w:footnote>
  <w:footnote w:id="19">
    <w:p w:rsidR="00F56850" w:rsidRDefault="00F56850" w:rsidP="00F56850">
      <w:pPr>
        <w:pStyle w:val="FootnoteText"/>
        <w:spacing w:after="120"/>
      </w:pPr>
      <w:r>
        <w:rPr>
          <w:rStyle w:val="FootnoteReference"/>
        </w:rPr>
        <w:footnoteRef/>
      </w:r>
      <w:r>
        <w:t xml:space="preserve"> </w:t>
      </w:r>
      <w:r w:rsidRPr="00B56272">
        <w:rPr>
          <w:i/>
        </w:rPr>
        <w:t>Implementation of Section 6002(b) of the Omnibus Budget Reconciliation Act of 1993 Annual Report and Analysis of Competitive Market Conditions With Respect to Mobile Wireless, Including Commercial Mobile Services</w:t>
      </w:r>
      <w:r>
        <w:t xml:space="preserve">, </w:t>
      </w:r>
      <w:r w:rsidRPr="00C40ED2">
        <w:t>WT Docket No. 13-135</w:t>
      </w:r>
      <w:r>
        <w:t>, Seventeenth Report,</w:t>
      </w:r>
      <w:r w:rsidRPr="00C40ED2">
        <w:t xml:space="preserve"> 29 FCC Rcd 15311</w:t>
      </w:r>
      <w:r>
        <w:t>, 15370 ¶ 115 (WTB 2014).</w:t>
      </w:r>
    </w:p>
  </w:footnote>
  <w:footnote w:id="20">
    <w:p w:rsidR="00F56850" w:rsidRDefault="00F56850" w:rsidP="00F56850">
      <w:pPr>
        <w:pStyle w:val="FootnoteText"/>
        <w:spacing w:after="120"/>
      </w:pPr>
      <w:r>
        <w:rPr>
          <w:rStyle w:val="FootnoteReference"/>
        </w:rPr>
        <w:footnoteRef/>
      </w:r>
      <w:r>
        <w:t xml:space="preserve"> Statement of Chairman Tom Wheeler, </w:t>
      </w:r>
      <w:r w:rsidRPr="00170CE2">
        <w:t>FCC Releases Rules for Innovative Spectrum Sharing in 3.5 GHz Band</w:t>
      </w:r>
      <w:r>
        <w:t xml:space="preserve">, at 2 (Apr. 21, 2015), </w:t>
      </w:r>
      <w:r w:rsidRPr="00170CE2">
        <w:t>http://www.fcc.gov/article/fcc-15-47a2</w:t>
      </w:r>
      <w:r>
        <w:t>.</w:t>
      </w:r>
    </w:p>
  </w:footnote>
  <w:footnote w:id="21">
    <w:p w:rsidR="00F56850" w:rsidRDefault="00F56850" w:rsidP="00F56850">
      <w:pPr>
        <w:pStyle w:val="FootnoteText"/>
        <w:spacing w:after="120"/>
      </w:pPr>
      <w:r>
        <w:rPr>
          <w:rStyle w:val="FootnoteReference"/>
        </w:rPr>
        <w:footnoteRef/>
      </w:r>
      <w:r>
        <w:t xml:space="preserve"> Jeff Hawn, </w:t>
      </w:r>
      <w:r w:rsidRPr="00B56272">
        <w:rPr>
          <w:i/>
        </w:rPr>
        <w:t>Generation Wireless: Next-Generation Infrastructure</w:t>
      </w:r>
      <w:r>
        <w:t xml:space="preserve">, RCR </w:t>
      </w:r>
      <w:r w:rsidRPr="0001508C">
        <w:rPr>
          <w:smallCaps/>
        </w:rPr>
        <w:t>Wireless</w:t>
      </w:r>
      <w:r>
        <w:t xml:space="preserve">, Dec. 31, 2014, </w:t>
      </w:r>
      <w:r w:rsidRPr="000E6FF9">
        <w:t>http://www.rcrwireless.com/20141231/opinion/generation-wireless-next-generation-infrastructure-tag15</w:t>
      </w:r>
      <w:r>
        <w:t>.</w:t>
      </w:r>
    </w:p>
  </w:footnote>
  <w:footnote w:id="22">
    <w:p w:rsidR="00F56850" w:rsidRDefault="00F56850" w:rsidP="00F56850">
      <w:pPr>
        <w:pStyle w:val="FootnoteText"/>
        <w:spacing w:after="120"/>
      </w:pPr>
      <w:r>
        <w:rPr>
          <w:rStyle w:val="FootnoteReference"/>
        </w:rPr>
        <w:footnoteRef/>
      </w:r>
      <w:r>
        <w:t xml:space="preserve"> Nyshka Chandran, </w:t>
      </w:r>
      <w:r w:rsidRPr="00170CE2">
        <w:rPr>
          <w:i/>
        </w:rPr>
        <w:t>Will Cell Towers Soon Become Obsolete?</w:t>
      </w:r>
      <w:r>
        <w:t>, CNBC.</w:t>
      </w:r>
      <w:r w:rsidRPr="00186594">
        <w:rPr>
          <w:smallCaps/>
        </w:rPr>
        <w:t>com</w:t>
      </w:r>
      <w:r>
        <w:t xml:space="preserve">, Apr. 21, 2015, </w:t>
      </w:r>
      <w:r w:rsidRPr="00170CE2">
        <w:t>http://www.cnbc.com/id/102603744#.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AB" w:rsidRDefault="00A47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AB" w:rsidRDefault="00A47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9AB" w:rsidRDefault="00A47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F6"/>
    <w:rsid w:val="00042A5E"/>
    <w:rsid w:val="0004335E"/>
    <w:rsid w:val="0007465E"/>
    <w:rsid w:val="0009349C"/>
    <w:rsid w:val="00093582"/>
    <w:rsid w:val="000B121E"/>
    <w:rsid w:val="000B2164"/>
    <w:rsid w:val="000E2F36"/>
    <w:rsid w:val="0010287E"/>
    <w:rsid w:val="001076E3"/>
    <w:rsid w:val="001079FF"/>
    <w:rsid w:val="001365CE"/>
    <w:rsid w:val="00183E56"/>
    <w:rsid w:val="001856E4"/>
    <w:rsid w:val="00186594"/>
    <w:rsid w:val="001A6BF7"/>
    <w:rsid w:val="001B0BBF"/>
    <w:rsid w:val="00233EC7"/>
    <w:rsid w:val="00284D8C"/>
    <w:rsid w:val="0028788A"/>
    <w:rsid w:val="002B4671"/>
    <w:rsid w:val="002B7A59"/>
    <w:rsid w:val="002C031A"/>
    <w:rsid w:val="002E61F4"/>
    <w:rsid w:val="00364F10"/>
    <w:rsid w:val="003854BE"/>
    <w:rsid w:val="003A7092"/>
    <w:rsid w:val="003B2954"/>
    <w:rsid w:val="003D6388"/>
    <w:rsid w:val="003E4060"/>
    <w:rsid w:val="003F1693"/>
    <w:rsid w:val="0043528E"/>
    <w:rsid w:val="00447173"/>
    <w:rsid w:val="004727BE"/>
    <w:rsid w:val="00475EBA"/>
    <w:rsid w:val="00494CE8"/>
    <w:rsid w:val="004B1659"/>
    <w:rsid w:val="004B38ED"/>
    <w:rsid w:val="004C53BD"/>
    <w:rsid w:val="004E7DA0"/>
    <w:rsid w:val="004F1600"/>
    <w:rsid w:val="00533084"/>
    <w:rsid w:val="00570B54"/>
    <w:rsid w:val="006114C6"/>
    <w:rsid w:val="00621234"/>
    <w:rsid w:val="00623BF8"/>
    <w:rsid w:val="0063356B"/>
    <w:rsid w:val="00653D14"/>
    <w:rsid w:val="0066019B"/>
    <w:rsid w:val="006E5D62"/>
    <w:rsid w:val="006E7C97"/>
    <w:rsid w:val="00713AF3"/>
    <w:rsid w:val="00731189"/>
    <w:rsid w:val="007320B2"/>
    <w:rsid w:val="00742FCC"/>
    <w:rsid w:val="007B43DA"/>
    <w:rsid w:val="007B6709"/>
    <w:rsid w:val="007C7114"/>
    <w:rsid w:val="008721AF"/>
    <w:rsid w:val="008820D2"/>
    <w:rsid w:val="008865DE"/>
    <w:rsid w:val="00886726"/>
    <w:rsid w:val="008A18CE"/>
    <w:rsid w:val="008C5C2D"/>
    <w:rsid w:val="008C6D24"/>
    <w:rsid w:val="008D1B9D"/>
    <w:rsid w:val="009C6B41"/>
    <w:rsid w:val="009D4C07"/>
    <w:rsid w:val="009E732E"/>
    <w:rsid w:val="00A479AB"/>
    <w:rsid w:val="00A60B7E"/>
    <w:rsid w:val="00A64909"/>
    <w:rsid w:val="00A810BD"/>
    <w:rsid w:val="00A85B0B"/>
    <w:rsid w:val="00AA7D7A"/>
    <w:rsid w:val="00AB77E2"/>
    <w:rsid w:val="00AC47AE"/>
    <w:rsid w:val="00AC48BF"/>
    <w:rsid w:val="00AF54DD"/>
    <w:rsid w:val="00B475E7"/>
    <w:rsid w:val="00B71EAE"/>
    <w:rsid w:val="00B720FC"/>
    <w:rsid w:val="00B91068"/>
    <w:rsid w:val="00BE7130"/>
    <w:rsid w:val="00C265EC"/>
    <w:rsid w:val="00C3718F"/>
    <w:rsid w:val="00C45487"/>
    <w:rsid w:val="00C67D4A"/>
    <w:rsid w:val="00C73CEA"/>
    <w:rsid w:val="00C949BF"/>
    <w:rsid w:val="00CD7684"/>
    <w:rsid w:val="00CE42C3"/>
    <w:rsid w:val="00CF33F6"/>
    <w:rsid w:val="00CF43D0"/>
    <w:rsid w:val="00D42833"/>
    <w:rsid w:val="00D57605"/>
    <w:rsid w:val="00D63EA1"/>
    <w:rsid w:val="00D86822"/>
    <w:rsid w:val="00E1322E"/>
    <w:rsid w:val="00E16971"/>
    <w:rsid w:val="00E43BB7"/>
    <w:rsid w:val="00E50A02"/>
    <w:rsid w:val="00E56DC7"/>
    <w:rsid w:val="00E80256"/>
    <w:rsid w:val="00E821D9"/>
    <w:rsid w:val="00F034E4"/>
    <w:rsid w:val="00F04507"/>
    <w:rsid w:val="00F07763"/>
    <w:rsid w:val="00F13DCE"/>
    <w:rsid w:val="00F23070"/>
    <w:rsid w:val="00F479E4"/>
    <w:rsid w:val="00F56850"/>
    <w:rsid w:val="00F71BA9"/>
    <w:rsid w:val="00FB3B3B"/>
    <w:rsid w:val="00FB536C"/>
    <w:rsid w:val="00FD047A"/>
    <w:rsid w:val="00FD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9B"/>
    <w:rPr>
      <w:rFonts w:ascii="Tahoma" w:hAnsi="Tahoma" w:cs="Tahoma"/>
      <w:sz w:val="16"/>
      <w:szCs w:val="16"/>
    </w:rPr>
  </w:style>
  <w:style w:type="paragraph" w:styleId="FootnoteText">
    <w:name w:val="footnote text"/>
    <w:basedOn w:val="Normal"/>
    <w:link w:val="FootnoteTextChar"/>
    <w:uiPriority w:val="99"/>
    <w:semiHidden/>
    <w:unhideWhenUsed/>
    <w:rsid w:val="00A6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909"/>
    <w:rPr>
      <w:sz w:val="20"/>
      <w:szCs w:val="20"/>
    </w:rPr>
  </w:style>
  <w:style w:type="character" w:styleId="FootnoteReference">
    <w:name w:val="footnote reference"/>
    <w:basedOn w:val="DefaultParagraphFont"/>
    <w:uiPriority w:val="99"/>
    <w:semiHidden/>
    <w:unhideWhenUsed/>
    <w:rsid w:val="00A64909"/>
    <w:rPr>
      <w:vertAlign w:val="superscript"/>
    </w:rPr>
  </w:style>
  <w:style w:type="paragraph" w:customStyle="1" w:styleId="Body">
    <w:name w:val="Body"/>
    <w:rsid w:val="004727B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04335E"/>
    <w:rPr>
      <w:sz w:val="16"/>
      <w:szCs w:val="16"/>
    </w:rPr>
  </w:style>
  <w:style w:type="paragraph" w:styleId="CommentText">
    <w:name w:val="annotation text"/>
    <w:basedOn w:val="Normal"/>
    <w:link w:val="CommentTextChar"/>
    <w:uiPriority w:val="99"/>
    <w:semiHidden/>
    <w:unhideWhenUsed/>
    <w:rsid w:val="0004335E"/>
    <w:pPr>
      <w:spacing w:line="240" w:lineRule="auto"/>
    </w:pPr>
    <w:rPr>
      <w:sz w:val="20"/>
      <w:szCs w:val="20"/>
    </w:rPr>
  </w:style>
  <w:style w:type="character" w:customStyle="1" w:styleId="CommentTextChar">
    <w:name w:val="Comment Text Char"/>
    <w:basedOn w:val="DefaultParagraphFont"/>
    <w:link w:val="CommentText"/>
    <w:uiPriority w:val="99"/>
    <w:semiHidden/>
    <w:rsid w:val="0004335E"/>
    <w:rPr>
      <w:sz w:val="20"/>
      <w:szCs w:val="20"/>
    </w:rPr>
  </w:style>
  <w:style w:type="paragraph" w:styleId="CommentSubject">
    <w:name w:val="annotation subject"/>
    <w:basedOn w:val="CommentText"/>
    <w:next w:val="CommentText"/>
    <w:link w:val="CommentSubjectChar"/>
    <w:uiPriority w:val="99"/>
    <w:semiHidden/>
    <w:unhideWhenUsed/>
    <w:rsid w:val="0004335E"/>
    <w:rPr>
      <w:b/>
      <w:bCs/>
    </w:rPr>
  </w:style>
  <w:style w:type="character" w:customStyle="1" w:styleId="CommentSubjectChar">
    <w:name w:val="Comment Subject Char"/>
    <w:basedOn w:val="CommentTextChar"/>
    <w:link w:val="CommentSubject"/>
    <w:uiPriority w:val="99"/>
    <w:semiHidden/>
    <w:rsid w:val="0004335E"/>
    <w:rPr>
      <w:b/>
      <w:bCs/>
      <w:sz w:val="20"/>
      <w:szCs w:val="20"/>
    </w:rPr>
  </w:style>
  <w:style w:type="paragraph" w:styleId="Header">
    <w:name w:val="header"/>
    <w:basedOn w:val="Normal"/>
    <w:link w:val="HeaderChar"/>
    <w:uiPriority w:val="99"/>
    <w:unhideWhenUsed/>
    <w:rsid w:val="0004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5E"/>
  </w:style>
  <w:style w:type="paragraph" w:styleId="Footer">
    <w:name w:val="footer"/>
    <w:basedOn w:val="Normal"/>
    <w:link w:val="FooterChar"/>
    <w:uiPriority w:val="99"/>
    <w:unhideWhenUsed/>
    <w:rsid w:val="0004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5E"/>
  </w:style>
  <w:style w:type="paragraph" w:styleId="Revision">
    <w:name w:val="Revision"/>
    <w:hidden/>
    <w:uiPriority w:val="99"/>
    <w:semiHidden/>
    <w:rsid w:val="003B29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9B"/>
    <w:rPr>
      <w:rFonts w:ascii="Tahoma" w:hAnsi="Tahoma" w:cs="Tahoma"/>
      <w:sz w:val="16"/>
      <w:szCs w:val="16"/>
    </w:rPr>
  </w:style>
  <w:style w:type="paragraph" w:styleId="FootnoteText">
    <w:name w:val="footnote text"/>
    <w:basedOn w:val="Normal"/>
    <w:link w:val="FootnoteTextChar"/>
    <w:uiPriority w:val="99"/>
    <w:semiHidden/>
    <w:unhideWhenUsed/>
    <w:rsid w:val="00A6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909"/>
    <w:rPr>
      <w:sz w:val="20"/>
      <w:szCs w:val="20"/>
    </w:rPr>
  </w:style>
  <w:style w:type="character" w:styleId="FootnoteReference">
    <w:name w:val="footnote reference"/>
    <w:basedOn w:val="DefaultParagraphFont"/>
    <w:uiPriority w:val="99"/>
    <w:semiHidden/>
    <w:unhideWhenUsed/>
    <w:rsid w:val="00A64909"/>
    <w:rPr>
      <w:vertAlign w:val="superscript"/>
    </w:rPr>
  </w:style>
  <w:style w:type="paragraph" w:customStyle="1" w:styleId="Body">
    <w:name w:val="Body"/>
    <w:rsid w:val="004727B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04335E"/>
    <w:rPr>
      <w:sz w:val="16"/>
      <w:szCs w:val="16"/>
    </w:rPr>
  </w:style>
  <w:style w:type="paragraph" w:styleId="CommentText">
    <w:name w:val="annotation text"/>
    <w:basedOn w:val="Normal"/>
    <w:link w:val="CommentTextChar"/>
    <w:uiPriority w:val="99"/>
    <w:semiHidden/>
    <w:unhideWhenUsed/>
    <w:rsid w:val="0004335E"/>
    <w:pPr>
      <w:spacing w:line="240" w:lineRule="auto"/>
    </w:pPr>
    <w:rPr>
      <w:sz w:val="20"/>
      <w:szCs w:val="20"/>
    </w:rPr>
  </w:style>
  <w:style w:type="character" w:customStyle="1" w:styleId="CommentTextChar">
    <w:name w:val="Comment Text Char"/>
    <w:basedOn w:val="DefaultParagraphFont"/>
    <w:link w:val="CommentText"/>
    <w:uiPriority w:val="99"/>
    <w:semiHidden/>
    <w:rsid w:val="0004335E"/>
    <w:rPr>
      <w:sz w:val="20"/>
      <w:szCs w:val="20"/>
    </w:rPr>
  </w:style>
  <w:style w:type="paragraph" w:styleId="CommentSubject">
    <w:name w:val="annotation subject"/>
    <w:basedOn w:val="CommentText"/>
    <w:next w:val="CommentText"/>
    <w:link w:val="CommentSubjectChar"/>
    <w:uiPriority w:val="99"/>
    <w:semiHidden/>
    <w:unhideWhenUsed/>
    <w:rsid w:val="0004335E"/>
    <w:rPr>
      <w:b/>
      <w:bCs/>
    </w:rPr>
  </w:style>
  <w:style w:type="character" w:customStyle="1" w:styleId="CommentSubjectChar">
    <w:name w:val="Comment Subject Char"/>
    <w:basedOn w:val="CommentTextChar"/>
    <w:link w:val="CommentSubject"/>
    <w:uiPriority w:val="99"/>
    <w:semiHidden/>
    <w:rsid w:val="0004335E"/>
    <w:rPr>
      <w:b/>
      <w:bCs/>
      <w:sz w:val="20"/>
      <w:szCs w:val="20"/>
    </w:rPr>
  </w:style>
  <w:style w:type="paragraph" w:styleId="Header">
    <w:name w:val="header"/>
    <w:basedOn w:val="Normal"/>
    <w:link w:val="HeaderChar"/>
    <w:uiPriority w:val="99"/>
    <w:unhideWhenUsed/>
    <w:rsid w:val="0004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5E"/>
  </w:style>
  <w:style w:type="paragraph" w:styleId="Footer">
    <w:name w:val="footer"/>
    <w:basedOn w:val="Normal"/>
    <w:link w:val="FooterChar"/>
    <w:uiPriority w:val="99"/>
    <w:unhideWhenUsed/>
    <w:rsid w:val="0004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5E"/>
  </w:style>
  <w:style w:type="paragraph" w:styleId="Revision">
    <w:name w:val="Revision"/>
    <w:hidden/>
    <w:uiPriority w:val="99"/>
    <w:semiHidden/>
    <w:rsid w:val="003B2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2135</Words>
  <Characters>11443</Characters>
  <Application>Microsoft Office Word</Application>
  <DocSecurity>0</DocSecurity>
  <Lines>151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2015-04-21T22:47:00Z</cp:lastPrinted>
  <dcterms:created xsi:type="dcterms:W3CDTF">2015-04-28T17:26:00Z</dcterms:created>
  <dcterms:modified xsi:type="dcterms:W3CDTF">2015-04-28T17:26:00Z</dcterms:modified>
  <cp:category> </cp:category>
  <cp:contentStatus> </cp:contentStatus>
</cp:coreProperties>
</file>