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B" w:rsidRDefault="0060228B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0228B" w:rsidRDefault="0060228B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:rsidRDefault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:rsidRDefault="0060228B"/>
    <w:p w:rsidR="0060228B" w:rsidRDefault="006022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</w:tblGrid>
      <w:tr w:rsidR="0060228B">
        <w:tc>
          <w:tcPr>
            <w:tcW w:w="4698" w:type="dxa"/>
          </w:tcPr>
          <w:p w:rsidR="0060228B" w:rsidRDefault="0060228B">
            <w:pPr>
              <w:ind w:right="-18"/>
            </w:pPr>
            <w:r>
              <w:t xml:space="preserve">In the </w:t>
            </w:r>
            <w:r w:rsidR="002A29D2">
              <w:t>M</w:t>
            </w:r>
            <w:r>
              <w:t>atter of</w:t>
            </w:r>
          </w:p>
          <w:p w:rsidR="0060228B" w:rsidRDefault="0060228B">
            <w:pPr>
              <w:ind w:right="-18"/>
            </w:pPr>
          </w:p>
          <w:p w:rsidR="0002038A" w:rsidRPr="00C45121" w:rsidRDefault="0002038A" w:rsidP="0002038A">
            <w:pPr>
              <w:tabs>
                <w:tab w:val="center" w:pos="4680"/>
              </w:tabs>
              <w:suppressAutoHyphens/>
              <w:rPr>
                <w:szCs w:val="22"/>
              </w:rPr>
            </w:pPr>
            <w:r w:rsidRPr="00C45121">
              <w:rPr>
                <w:szCs w:val="22"/>
              </w:rPr>
              <w:t>Amendments to Part 4 of the Commission’s Rules Concerning Disruption</w:t>
            </w:r>
            <w:r>
              <w:rPr>
                <w:szCs w:val="22"/>
              </w:rPr>
              <w:t>s</w:t>
            </w:r>
            <w:r w:rsidRPr="00C45121">
              <w:rPr>
                <w:szCs w:val="22"/>
              </w:rPr>
              <w:t xml:space="preserve"> to Communications</w:t>
            </w:r>
          </w:p>
          <w:p w:rsidR="0002038A" w:rsidRDefault="0002038A" w:rsidP="0002038A">
            <w:pPr>
              <w:ind w:right="-17"/>
              <w:rPr>
                <w:szCs w:val="22"/>
              </w:rPr>
            </w:pPr>
          </w:p>
          <w:p w:rsidR="0002038A" w:rsidRPr="00C45121" w:rsidRDefault="0002038A" w:rsidP="0002038A">
            <w:pPr>
              <w:ind w:right="-17"/>
              <w:rPr>
                <w:szCs w:val="22"/>
              </w:rPr>
            </w:pPr>
            <w:r w:rsidRPr="00C45121">
              <w:rPr>
                <w:szCs w:val="22"/>
              </w:rPr>
              <w:t>New Part 4 of the Commission’s Rules</w:t>
            </w:r>
          </w:p>
          <w:p w:rsidR="0002038A" w:rsidRPr="00C45121" w:rsidRDefault="0002038A" w:rsidP="0002038A">
            <w:pPr>
              <w:ind w:right="-17"/>
              <w:rPr>
                <w:szCs w:val="22"/>
              </w:rPr>
            </w:pPr>
            <w:r w:rsidRPr="00C45121">
              <w:rPr>
                <w:szCs w:val="22"/>
              </w:rPr>
              <w:t>Concerning Disruption</w:t>
            </w:r>
            <w:r>
              <w:rPr>
                <w:szCs w:val="22"/>
              </w:rPr>
              <w:t>s</w:t>
            </w:r>
            <w:r w:rsidRPr="00C45121">
              <w:rPr>
                <w:szCs w:val="22"/>
              </w:rPr>
              <w:t xml:space="preserve"> to Communications</w:t>
            </w:r>
          </w:p>
          <w:p w:rsidR="0060228B" w:rsidRDefault="0060228B">
            <w:pPr>
              <w:ind w:right="-18"/>
            </w:pPr>
          </w:p>
        </w:tc>
        <w:tc>
          <w:tcPr>
            <w:tcW w:w="720" w:type="dxa"/>
          </w:tcPr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</w:p>
        </w:tc>
        <w:tc>
          <w:tcPr>
            <w:tcW w:w="4230" w:type="dxa"/>
          </w:tcPr>
          <w:p w:rsidR="0060228B" w:rsidRDefault="0060228B"/>
          <w:p w:rsidR="0060228B" w:rsidRDefault="0060228B"/>
          <w:p w:rsidR="0002038A" w:rsidRPr="00C45121" w:rsidRDefault="0002038A" w:rsidP="0002038A">
            <w:pPr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PS</w:t>
            </w:r>
            <w:r w:rsidRPr="00C45121">
              <w:rPr>
                <w:spacing w:val="-2"/>
                <w:szCs w:val="22"/>
              </w:rPr>
              <w:t xml:space="preserve"> Docket No. </w:t>
            </w:r>
            <w:r>
              <w:rPr>
                <w:spacing w:val="-2"/>
                <w:szCs w:val="22"/>
              </w:rPr>
              <w:t>15</w:t>
            </w:r>
            <w:r w:rsidRPr="00C45121"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</w:rPr>
              <w:t>80</w:t>
            </w:r>
          </w:p>
          <w:p w:rsidR="0002038A" w:rsidRPr="00C45121" w:rsidRDefault="0002038A" w:rsidP="0002038A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02038A" w:rsidRPr="00C45121" w:rsidRDefault="0002038A" w:rsidP="0002038A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02038A" w:rsidRPr="00C45121" w:rsidRDefault="0002038A" w:rsidP="0002038A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ET</w:t>
            </w:r>
            <w:r w:rsidRPr="00C45121">
              <w:rPr>
                <w:spacing w:val="-2"/>
                <w:szCs w:val="22"/>
              </w:rPr>
              <w:t xml:space="preserve"> Docket No. </w:t>
            </w:r>
            <w:r>
              <w:rPr>
                <w:spacing w:val="-2"/>
                <w:szCs w:val="22"/>
              </w:rPr>
              <w:t>04-35</w:t>
            </w:r>
          </w:p>
          <w:p w:rsidR="0060228B" w:rsidRPr="00EB1A95" w:rsidRDefault="0060228B">
            <w:pPr>
              <w:rPr>
                <w:b/>
              </w:rPr>
            </w:pPr>
          </w:p>
        </w:tc>
      </w:tr>
    </w:tbl>
    <w:p w:rsidR="0060228B" w:rsidRDefault="0060228B"/>
    <w:p w:rsidR="0060228B" w:rsidRDefault="002E484C" w:rsidP="002A4E36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E00E22" w:rsidRDefault="00E00E22">
      <w:pPr>
        <w:tabs>
          <w:tab w:val="left" w:pos="5760"/>
        </w:tabs>
        <w:rPr>
          <w:b/>
        </w:rPr>
      </w:pPr>
    </w:p>
    <w:p w:rsidR="0060228B" w:rsidRDefault="0060228B" w:rsidP="002A29D2">
      <w:pPr>
        <w:jc w:val="right"/>
        <w:rPr>
          <w:b/>
        </w:rPr>
      </w:pPr>
      <w:r>
        <w:rPr>
          <w:b/>
        </w:rPr>
        <w:t xml:space="preserve">Released:  </w:t>
      </w:r>
      <w:r w:rsidR="007F1125">
        <w:rPr>
          <w:b/>
        </w:rPr>
        <w:t>May 6</w:t>
      </w:r>
      <w:r w:rsidR="00271097">
        <w:rPr>
          <w:b/>
        </w:rPr>
        <w:t>, 2015</w:t>
      </w:r>
    </w:p>
    <w:p w:rsidR="0060228B" w:rsidRDefault="0060228B">
      <w:pPr>
        <w:tabs>
          <w:tab w:val="left" w:pos="5760"/>
        </w:tabs>
        <w:rPr>
          <w:b/>
        </w:rPr>
      </w:pPr>
    </w:p>
    <w:p w:rsidR="0060228B" w:rsidRDefault="0060228B">
      <w:pPr>
        <w:tabs>
          <w:tab w:val="left" w:pos="5760"/>
        </w:tabs>
      </w:pPr>
      <w:r>
        <w:t xml:space="preserve">By the </w:t>
      </w:r>
      <w:r w:rsidR="0002038A">
        <w:t>Chief, Public Safety and Homeland Security Bureau</w:t>
      </w:r>
      <w:r>
        <w:rPr>
          <w:spacing w:val="-2"/>
        </w:rPr>
        <w:t>:</w:t>
      </w:r>
    </w:p>
    <w:p w:rsidR="0060228B" w:rsidRDefault="0060228B"/>
    <w:p w:rsidR="00B33904" w:rsidRDefault="002A29D2" w:rsidP="002A29D2">
      <w:pPr>
        <w:pStyle w:val="ParaNum"/>
        <w:numPr>
          <w:ilvl w:val="0"/>
          <w:numId w:val="0"/>
        </w:numPr>
      </w:pPr>
      <w:r>
        <w:t xml:space="preserve"> </w:t>
      </w:r>
      <w:r>
        <w:tab/>
      </w:r>
      <w:r w:rsidR="00B07300">
        <w:t xml:space="preserve">On </w:t>
      </w:r>
      <w:r w:rsidR="0002038A">
        <w:t>March 30, 2015</w:t>
      </w:r>
      <w:r w:rsidR="00B07300">
        <w:t xml:space="preserve">, the </w:t>
      </w:r>
      <w:r w:rsidR="0002038A">
        <w:t>Commission</w:t>
      </w:r>
      <w:r w:rsidR="00B07300">
        <w:t xml:space="preserve"> released a</w:t>
      </w:r>
      <w:r w:rsidR="00B07300" w:rsidRPr="00A6678A">
        <w:t xml:space="preserve"> </w:t>
      </w:r>
      <w:r w:rsidR="0002038A" w:rsidRPr="0002038A">
        <w:rPr>
          <w:i/>
        </w:rPr>
        <w:t>Notice of Proposed Rulemaking</w:t>
      </w:r>
      <w:r w:rsidR="0002038A">
        <w:t xml:space="preserve">, </w:t>
      </w:r>
      <w:r w:rsidR="0002038A" w:rsidRPr="0002038A">
        <w:rPr>
          <w:i/>
        </w:rPr>
        <w:t>Second Report and Order</w:t>
      </w:r>
      <w:r w:rsidR="0002038A">
        <w:t xml:space="preserve">, and </w:t>
      </w:r>
      <w:r w:rsidR="0002038A" w:rsidRPr="0002038A">
        <w:rPr>
          <w:i/>
        </w:rPr>
        <w:t>Order on Reconsideration</w:t>
      </w:r>
      <w:r w:rsidR="0002038A">
        <w:t>, FCC 15-39</w:t>
      </w:r>
      <w:r w:rsidR="00B07300">
        <w:t>, in the above captioned proceeding</w:t>
      </w:r>
      <w:r w:rsidR="0002038A">
        <w:t>s</w:t>
      </w:r>
      <w:r w:rsidR="00B07300">
        <w:t xml:space="preserve">.  This Erratum </w:t>
      </w:r>
      <w:r w:rsidR="0002038A">
        <w:t>amends the</w:t>
      </w:r>
      <w:r w:rsidR="00C13835">
        <w:t xml:space="preserve"> </w:t>
      </w:r>
      <w:r w:rsidR="00C13835" w:rsidRPr="0002038A">
        <w:rPr>
          <w:i/>
        </w:rPr>
        <w:t>Notice of Proposed Rulemaking</w:t>
      </w:r>
      <w:r w:rsidR="00C13835">
        <w:t>,</w:t>
      </w:r>
      <w:r w:rsidR="0002038A">
        <w:t xml:space="preserve"> </w:t>
      </w:r>
      <w:r w:rsidR="007D1890" w:rsidRPr="0002038A">
        <w:rPr>
          <w:i/>
        </w:rPr>
        <w:t>Second Report and Order</w:t>
      </w:r>
      <w:r w:rsidR="007D1890">
        <w:t xml:space="preserve">, and </w:t>
      </w:r>
      <w:r w:rsidR="007D1890" w:rsidRPr="0002038A">
        <w:rPr>
          <w:i/>
        </w:rPr>
        <w:t>Order on Reconsideration</w:t>
      </w:r>
      <w:r w:rsidR="007D1890">
        <w:t xml:space="preserve"> </w:t>
      </w:r>
      <w:r w:rsidR="00B33904">
        <w:t xml:space="preserve">as indicated below: </w:t>
      </w:r>
    </w:p>
    <w:p w:rsidR="004076CB" w:rsidRPr="00442AE4" w:rsidRDefault="004076CB" w:rsidP="00EF340A">
      <w:pPr>
        <w:pStyle w:val="ParaNum"/>
        <w:tabs>
          <w:tab w:val="clear" w:pos="1440"/>
          <w:tab w:val="num" w:pos="1080"/>
        </w:tabs>
        <w:ind w:left="360" w:firstLine="360"/>
      </w:pPr>
      <w:r>
        <w:t xml:space="preserve">In footnote 59, on page 12, replace “56” with “55.” </w:t>
      </w:r>
    </w:p>
    <w:p w:rsidR="00C97AC8" w:rsidRDefault="006F6263" w:rsidP="00EF340A">
      <w:pPr>
        <w:pStyle w:val="ParaNum"/>
        <w:tabs>
          <w:tab w:val="left" w:pos="1080"/>
        </w:tabs>
        <w:ind w:left="360" w:firstLine="360"/>
      </w:pPr>
      <w:r>
        <w:t xml:space="preserve">On page 26, </w:t>
      </w:r>
      <w:r w:rsidR="00C97AC8">
        <w:t>above “</w:t>
      </w:r>
      <w:r w:rsidR="00C97AC8" w:rsidRPr="00EF340A">
        <w:rPr>
          <w:i/>
        </w:rPr>
        <w:t>Ex Parte</w:t>
      </w:r>
      <w:r w:rsidR="00C97AC8">
        <w:t xml:space="preserve"> Rules,” insert</w:t>
      </w:r>
      <w:r>
        <w:t xml:space="preserve"> </w:t>
      </w:r>
      <w:r w:rsidR="00C97AC8">
        <w:t>new heading “C” and new paragraph 76 to read as follows:</w:t>
      </w:r>
    </w:p>
    <w:p w:rsidR="00F06759" w:rsidRDefault="00082242" w:rsidP="00EF340A">
      <w:pPr>
        <w:pStyle w:val="ParaNum"/>
        <w:numPr>
          <w:ilvl w:val="0"/>
          <w:numId w:val="0"/>
        </w:numPr>
        <w:tabs>
          <w:tab w:val="left" w:pos="1800"/>
        </w:tabs>
        <w:ind w:left="1080"/>
      </w:pPr>
      <w:r>
        <w:t>“</w:t>
      </w:r>
      <w:r w:rsidRPr="00EF340A">
        <w:rPr>
          <w:b/>
        </w:rPr>
        <w:t>C.</w:t>
      </w:r>
      <w:r w:rsidR="004076CB">
        <w:rPr>
          <w:b/>
        </w:rPr>
        <w:tab/>
      </w:r>
      <w:r w:rsidRPr="00EF340A">
        <w:rPr>
          <w:b/>
        </w:rPr>
        <w:t>Congressional Review Act</w:t>
      </w:r>
      <w:r>
        <w:t>”</w:t>
      </w:r>
    </w:p>
    <w:p w:rsidR="00C97AC8" w:rsidRDefault="00C97AC8" w:rsidP="00EF340A">
      <w:pPr>
        <w:ind w:left="1440" w:firstLine="720"/>
      </w:pPr>
      <w:r>
        <w:t>76.</w:t>
      </w:r>
      <w:r>
        <w:tab/>
      </w:r>
      <w:r w:rsidR="00442AE4" w:rsidRPr="00442AE4">
        <w:t xml:space="preserve">The Commission will not send a copy of this </w:t>
      </w:r>
      <w:r w:rsidR="00442AE4" w:rsidRPr="00082242">
        <w:rPr>
          <w:i/>
        </w:rPr>
        <w:t>Order on Reconsideration</w:t>
      </w:r>
      <w:r w:rsidR="00442AE4">
        <w:t xml:space="preserve"> </w:t>
      </w:r>
      <w:r w:rsidR="00442AE4" w:rsidRPr="00442AE4">
        <w:t>pursuant to the Congressional Review Act,  5 U.S.C. 801(a)(1)(A)</w:t>
      </w:r>
      <w:r w:rsidR="00247C09">
        <w:t xml:space="preserve"> </w:t>
      </w:r>
      <w:r w:rsidR="00247C09">
        <w:rPr>
          <w:i/>
        </w:rPr>
        <w:t>et seq.</w:t>
      </w:r>
      <w:r w:rsidR="00442AE4" w:rsidRPr="00442AE4">
        <w:t>, because the adopted rule</w:t>
      </w:r>
      <w:r w:rsidR="00A67840">
        <w:t xml:space="preserve"> is a</w:t>
      </w:r>
      <w:r w:rsidR="00442AE4">
        <w:t xml:space="preserve"> rule of </w:t>
      </w:r>
      <w:r w:rsidR="00247C09">
        <w:t>“</w:t>
      </w:r>
      <w:r w:rsidR="00442AE4">
        <w:t xml:space="preserve">agency </w:t>
      </w:r>
      <w:r w:rsidR="00442AE4" w:rsidRPr="00442AE4">
        <w:t>organization, proc</w:t>
      </w:r>
      <w:r w:rsidR="00F06759">
        <w:t>edure, or practice</w:t>
      </w:r>
      <w:r w:rsidR="00247C09">
        <w:t>”</w:t>
      </w:r>
      <w:r w:rsidR="00A67840">
        <w:t xml:space="preserve"> within the meaning of 5 U.S.C. 804(3)(C).</w:t>
      </w:r>
      <w:r>
        <w:t>”</w:t>
      </w:r>
    </w:p>
    <w:p w:rsidR="00C97AC8" w:rsidRDefault="00C97AC8" w:rsidP="00EF340A"/>
    <w:p w:rsidR="00247C09" w:rsidRDefault="00C97AC8" w:rsidP="00EF340A">
      <w:pPr>
        <w:pStyle w:val="ParaNum"/>
        <w:tabs>
          <w:tab w:val="left" w:pos="1080"/>
        </w:tabs>
        <w:ind w:left="360" w:firstLine="360"/>
      </w:pPr>
      <w:r>
        <w:t xml:space="preserve">The headings and paragraphs </w:t>
      </w:r>
      <w:r w:rsidR="00341493">
        <w:t xml:space="preserve">following the new paragraph 76 </w:t>
      </w:r>
      <w:r>
        <w:t>are renumbered accordingly.</w:t>
      </w:r>
    </w:p>
    <w:p w:rsidR="004076CB" w:rsidRDefault="004076CB" w:rsidP="00EF340A">
      <w:pPr>
        <w:pStyle w:val="ParaNum"/>
        <w:numPr>
          <w:ilvl w:val="0"/>
          <w:numId w:val="0"/>
        </w:numPr>
      </w:pPr>
      <w:r>
        <w:t xml:space="preserve"> </w:t>
      </w:r>
      <w:r>
        <w:tab/>
        <w:t xml:space="preserve">This Erratum also amends </w:t>
      </w:r>
      <w:r w:rsidR="00603F6F">
        <w:t>APPENDIX C</w:t>
      </w:r>
      <w:r>
        <w:t xml:space="preserve"> of the document as indicated below:</w:t>
      </w:r>
    </w:p>
    <w:p w:rsidR="00442AE4" w:rsidRDefault="004076CB" w:rsidP="00EF340A">
      <w:pPr>
        <w:pStyle w:val="ParaNum"/>
        <w:tabs>
          <w:tab w:val="left" w:pos="1080"/>
        </w:tabs>
        <w:ind w:left="360" w:firstLine="360"/>
      </w:pPr>
      <w:r>
        <w:t>O</w:t>
      </w:r>
      <w:r w:rsidR="00603F6F">
        <w:t xml:space="preserve">n page 31, </w:t>
      </w:r>
      <w:r w:rsidR="00341493">
        <w:t xml:space="preserve">above paragraph 5, add </w:t>
      </w:r>
      <w:r w:rsidR="00BF6620">
        <w:t xml:space="preserve">five </w:t>
      </w:r>
      <w:r w:rsidR="00EF340A">
        <w:t>asterisks</w:t>
      </w:r>
      <w:r w:rsidR="00BF6620">
        <w:t xml:space="preserve"> </w:t>
      </w:r>
      <w:r w:rsidR="00341493">
        <w:t xml:space="preserve">“* * * * *” and above paragraph 6, </w:t>
      </w:r>
      <w:r w:rsidR="00603F6F">
        <w:t xml:space="preserve">add </w:t>
      </w:r>
      <w:r w:rsidR="00BF6620">
        <w:t xml:space="preserve">a </w:t>
      </w:r>
      <w:r>
        <w:t xml:space="preserve">section </w:t>
      </w:r>
      <w:r w:rsidR="00603F6F">
        <w:t>heading</w:t>
      </w:r>
      <w:r w:rsidR="00BF6620">
        <w:t xml:space="preserve"> to read as</w:t>
      </w:r>
      <w:r w:rsidR="00603F6F">
        <w:t xml:space="preserve"> “</w:t>
      </w:r>
      <w:r w:rsidR="00603F6F" w:rsidRPr="00EF340A">
        <w:rPr>
          <w:b/>
          <w:u w:val="single"/>
        </w:rPr>
        <w:t>§ 4.13 [Removed]</w:t>
      </w:r>
      <w:r w:rsidR="00B92AA7" w:rsidRPr="00EF340A">
        <w:rPr>
          <w:u w:val="single"/>
        </w:rPr>
        <w:t>.</w:t>
      </w:r>
      <w:r w:rsidR="00BF6620">
        <w:t>”</w:t>
      </w:r>
    </w:p>
    <w:p w:rsidR="00442AE4" w:rsidRDefault="00442AE4" w:rsidP="00442AE4">
      <w:pPr>
        <w:ind w:left="720"/>
      </w:pPr>
    </w:p>
    <w:p w:rsidR="00B07300" w:rsidRPr="002A29D2" w:rsidRDefault="00B07300" w:rsidP="005A09E4">
      <w:pPr>
        <w:pStyle w:val="Heading1"/>
        <w:numPr>
          <w:ilvl w:val="0"/>
          <w:numId w:val="0"/>
        </w:numPr>
        <w:spacing w:before="220"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B07300" w:rsidRDefault="00B07300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2A29D2" w:rsidRDefault="002A29D2" w:rsidP="002A29D2">
      <w:pPr>
        <w:pStyle w:val="ParaNum"/>
        <w:numPr>
          <w:ilvl w:val="0"/>
          <w:numId w:val="0"/>
        </w:numPr>
        <w:spacing w:after="0"/>
      </w:pPr>
    </w:p>
    <w:p w:rsidR="002A29D2" w:rsidRDefault="002A29D2" w:rsidP="002A29D2">
      <w:pPr>
        <w:pStyle w:val="ParaNum"/>
        <w:numPr>
          <w:ilvl w:val="0"/>
          <w:numId w:val="0"/>
        </w:numPr>
        <w:spacing w:after="0"/>
      </w:pPr>
    </w:p>
    <w:p w:rsidR="002A29D2" w:rsidRPr="002A29D2" w:rsidRDefault="002A29D2" w:rsidP="002A29D2">
      <w:pPr>
        <w:pStyle w:val="ParaNum"/>
        <w:numPr>
          <w:ilvl w:val="0"/>
          <w:numId w:val="0"/>
        </w:numPr>
        <w:spacing w:after="0"/>
      </w:pPr>
    </w:p>
    <w:p w:rsidR="00B07300" w:rsidRPr="002A29D2" w:rsidRDefault="00B07300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E10FE1">
        <w:rPr>
          <w:rFonts w:ascii="Times New Roman" w:hAnsi="Times New Roman"/>
          <w:b w:val="0"/>
          <w:caps w:val="0"/>
          <w:spacing w:val="-2"/>
        </w:rPr>
        <w:t>David G. Simpson, Rear Admiral, USN (Ret.)</w:t>
      </w:r>
    </w:p>
    <w:p w:rsidR="00B07300" w:rsidRPr="002A29D2" w:rsidRDefault="00B07300" w:rsidP="00B07300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E10FE1">
        <w:rPr>
          <w:rFonts w:ascii="Times New Roman" w:hAnsi="Times New Roman"/>
          <w:b w:val="0"/>
          <w:caps w:val="0"/>
          <w:spacing w:val="-2"/>
        </w:rPr>
        <w:t>Chief</w:t>
      </w:r>
    </w:p>
    <w:p w:rsidR="0060228B" w:rsidRPr="002A29D2" w:rsidRDefault="00B07300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i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E10FE1">
        <w:rPr>
          <w:rFonts w:ascii="Times New Roman" w:hAnsi="Times New Roman"/>
          <w:b w:val="0"/>
          <w:caps w:val="0"/>
          <w:spacing w:val="-2"/>
        </w:rPr>
        <w:t>Public Safety and Homeland Security Bureau</w:t>
      </w:r>
    </w:p>
    <w:p w:rsidR="002E484C" w:rsidRDefault="002E484C" w:rsidP="00E00E22">
      <w:pPr>
        <w:pStyle w:val="Heading1"/>
        <w:numPr>
          <w:ilvl w:val="0"/>
          <w:numId w:val="0"/>
        </w:numPr>
      </w:pPr>
    </w:p>
    <w:sectPr w:rsidR="002E4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48" w:rsidRDefault="00796D48">
      <w:r>
        <w:separator/>
      </w:r>
    </w:p>
  </w:endnote>
  <w:endnote w:type="continuationSeparator" w:id="0">
    <w:p w:rsidR="00796D48" w:rsidRDefault="0079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9" w:rsidRDefault="00DA0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340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9" w:rsidRDefault="00DA0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48" w:rsidRDefault="00796D48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796D48" w:rsidRDefault="00796D48">
      <w:pPr>
        <w:rPr>
          <w:sz w:val="20"/>
        </w:rPr>
      </w:pPr>
      <w:r>
        <w:rPr>
          <w:sz w:val="20"/>
        </w:rPr>
        <w:separator/>
      </w:r>
    </w:p>
    <w:p w:rsidR="00796D48" w:rsidRDefault="00796D48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:rsidR="00796D48" w:rsidRDefault="00796D48">
      <w:pPr>
        <w:jc w:val="right"/>
        <w:rPr>
          <w:sz w:val="20"/>
        </w:rPr>
      </w:pPr>
      <w:r>
        <w:rPr>
          <w:sz w:val="20"/>
        </w:rPr>
        <w:t>(continued....)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9" w:rsidRDefault="00DA0A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 w:rsidP="002A29D2">
    <w:pPr>
      <w:pStyle w:val="Header"/>
    </w:pPr>
    <w:r>
      <w:tab/>
      <w:t>Federal Communications Commission</w:t>
    </w:r>
    <w:r>
      <w:tab/>
      <w:t>FCC 01-</w:t>
    </w:r>
    <w:r>
      <w:fldChar w:fldCharType="begin"/>
    </w:r>
    <w:r>
      <w:instrText xml:space="preserve"> MACROBUTTON NoMacro [Click to enter order number] </w:instrText>
    </w:r>
    <w:r>
      <w:fldChar w:fldCharType="end"/>
    </w:r>
    <w:r>
      <w:t xml:space="preserve"> </w:t>
    </w:r>
  </w:p>
  <w:p w:rsidR="0060228B" w:rsidRDefault="002A29D2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:rsidR="0060228B" w:rsidRDefault="0060228B" w:rsidP="002A2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Pr="002A29D2" w:rsidRDefault="0060228B" w:rsidP="002A29D2">
    <w:pPr>
      <w:pStyle w:val="Header"/>
    </w:pPr>
    <w:r>
      <w:tab/>
    </w:r>
    <w:r w:rsidRPr="002A29D2">
      <w:t>Federal Communications Commission</w:t>
    </w:r>
    <w:r w:rsidRPr="002A29D2">
      <w:tab/>
      <w:t xml:space="preserve"> </w:t>
    </w:r>
  </w:p>
  <w:p w:rsidR="0060228B" w:rsidRDefault="002A29D2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/i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5CA278F"/>
    <w:multiLevelType w:val="multilevel"/>
    <w:tmpl w:val="908265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1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2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4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6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21"/>
  </w:num>
  <w:num w:numId="5">
    <w:abstractNumId w:val="8"/>
  </w:num>
  <w:num w:numId="6">
    <w:abstractNumId w:val="24"/>
  </w:num>
  <w:num w:numId="7">
    <w:abstractNumId w:val="17"/>
  </w:num>
  <w:num w:numId="8">
    <w:abstractNumId w:val="9"/>
  </w:num>
  <w:num w:numId="9">
    <w:abstractNumId w:val="23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2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8"/>
  </w:num>
  <w:num w:numId="21">
    <w:abstractNumId w:val="20"/>
  </w:num>
  <w:num w:numId="22">
    <w:abstractNumId w:val="5"/>
  </w:num>
  <w:num w:numId="23">
    <w:abstractNumId w:val="25"/>
  </w:num>
  <w:num w:numId="24">
    <w:abstractNumId w:val="7"/>
  </w:num>
  <w:num w:numId="25">
    <w:abstractNumId w:val="19"/>
  </w:num>
  <w:num w:numId="26">
    <w:abstractNumId w:val="6"/>
  </w:num>
  <w:num w:numId="27">
    <w:abstractNumId w:val="0"/>
  </w:num>
  <w:num w:numId="28">
    <w:abstractNumId w:val="16"/>
  </w:num>
  <w:num w:numId="29">
    <w:abstractNumId w:val="25"/>
    <w:lvlOverride w:ilvl="0">
      <w:startOverride w:val="1"/>
    </w:lvlOverride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C"/>
    <w:rsid w:val="0002038A"/>
    <w:rsid w:val="00082242"/>
    <w:rsid w:val="000D7689"/>
    <w:rsid w:val="001157C9"/>
    <w:rsid w:val="0014346D"/>
    <w:rsid w:val="001F7CF7"/>
    <w:rsid w:val="00247C09"/>
    <w:rsid w:val="00271097"/>
    <w:rsid w:val="002A29D2"/>
    <w:rsid w:val="002A4E36"/>
    <w:rsid w:val="002D7CCE"/>
    <w:rsid w:val="002E484C"/>
    <w:rsid w:val="002F11F8"/>
    <w:rsid w:val="00341493"/>
    <w:rsid w:val="004076CB"/>
    <w:rsid w:val="00434A89"/>
    <w:rsid w:val="00442AE4"/>
    <w:rsid w:val="00456E40"/>
    <w:rsid w:val="00587DAD"/>
    <w:rsid w:val="005A09E4"/>
    <w:rsid w:val="005A5778"/>
    <w:rsid w:val="0060228B"/>
    <w:rsid w:val="00603F6F"/>
    <w:rsid w:val="006D2906"/>
    <w:rsid w:val="006F6263"/>
    <w:rsid w:val="00734B49"/>
    <w:rsid w:val="00796D48"/>
    <w:rsid w:val="007D1890"/>
    <w:rsid w:val="007F1125"/>
    <w:rsid w:val="00891ADC"/>
    <w:rsid w:val="00973D93"/>
    <w:rsid w:val="009C3839"/>
    <w:rsid w:val="009E5D72"/>
    <w:rsid w:val="00A67840"/>
    <w:rsid w:val="00AE0F3B"/>
    <w:rsid w:val="00AF3FF3"/>
    <w:rsid w:val="00B07300"/>
    <w:rsid w:val="00B2645D"/>
    <w:rsid w:val="00B33904"/>
    <w:rsid w:val="00B92AA7"/>
    <w:rsid w:val="00BF51B8"/>
    <w:rsid w:val="00BF6620"/>
    <w:rsid w:val="00C13835"/>
    <w:rsid w:val="00C52114"/>
    <w:rsid w:val="00C97AC8"/>
    <w:rsid w:val="00CE316A"/>
    <w:rsid w:val="00DA0A19"/>
    <w:rsid w:val="00E00E22"/>
    <w:rsid w:val="00E10FE1"/>
    <w:rsid w:val="00EB1A95"/>
    <w:rsid w:val="00ED2EA8"/>
    <w:rsid w:val="00EF340A"/>
    <w:rsid w:val="00F06759"/>
    <w:rsid w:val="00F85E8C"/>
    <w:rsid w:val="00F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7C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1157C9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1157C9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1157C9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1157C9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1157C9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1157C9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1157C9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157C9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157C9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157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157C9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rsid w:val="001157C9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1157C9"/>
    <w:pPr>
      <w:spacing w:after="120"/>
    </w:pPr>
  </w:style>
  <w:style w:type="paragraph" w:customStyle="1" w:styleId="Bullet">
    <w:name w:val="Bullet"/>
    <w:basedOn w:val="Normal"/>
    <w:rsid w:val="001157C9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1157C9"/>
    <w:pPr>
      <w:spacing w:after="240"/>
      <w:ind w:left="1440" w:right="1440"/>
    </w:pPr>
  </w:style>
  <w:style w:type="paragraph" w:customStyle="1" w:styleId="TableFormat">
    <w:name w:val="TableFormat"/>
    <w:basedOn w:val="Bullet"/>
    <w:rsid w:val="001157C9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1157C9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1157C9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1157C9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1157C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1157C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1157C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157C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157C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157C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157C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157C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157C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1157C9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1157C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A29D2"/>
    <w:rPr>
      <w:snapToGrid w:val="0"/>
      <w:kern w:val="28"/>
    </w:rPr>
  </w:style>
  <w:style w:type="character" w:styleId="EndnoteReference">
    <w:name w:val="endnote reference"/>
    <w:rsid w:val="001157C9"/>
    <w:rPr>
      <w:vertAlign w:val="superscript"/>
    </w:rPr>
  </w:style>
  <w:style w:type="paragraph" w:styleId="TOAHeading">
    <w:name w:val="toa heading"/>
    <w:basedOn w:val="Normal"/>
    <w:next w:val="Normal"/>
    <w:rsid w:val="001157C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157C9"/>
  </w:style>
  <w:style w:type="paragraph" w:customStyle="1" w:styleId="Paratitle">
    <w:name w:val="Para title"/>
    <w:basedOn w:val="Normal"/>
    <w:rsid w:val="001157C9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1157C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157C9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1157C9"/>
    <w:rPr>
      <w:color w:val="0000FF"/>
      <w:u w:val="single"/>
    </w:rPr>
  </w:style>
  <w:style w:type="paragraph" w:styleId="NormalWeb">
    <w:name w:val="Normal (Web)"/>
    <w:basedOn w:val="Normal"/>
    <w:rsid w:val="00442AE4"/>
    <w:rPr>
      <w:sz w:val="24"/>
      <w:szCs w:val="24"/>
    </w:rPr>
  </w:style>
  <w:style w:type="paragraph" w:styleId="BalloonText">
    <w:name w:val="Balloon Text"/>
    <w:basedOn w:val="Normal"/>
    <w:link w:val="BalloonTextChar"/>
    <w:rsid w:val="00AE0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F3B"/>
    <w:rPr>
      <w:rFonts w:ascii="Tahoma" w:hAnsi="Tahoma" w:cs="Tahoma"/>
      <w:snapToGrid w:val="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7C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1157C9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1157C9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1157C9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1157C9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1157C9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1157C9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1157C9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157C9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157C9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157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157C9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rsid w:val="001157C9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1157C9"/>
    <w:pPr>
      <w:spacing w:after="120"/>
    </w:pPr>
  </w:style>
  <w:style w:type="paragraph" w:customStyle="1" w:styleId="Bullet">
    <w:name w:val="Bullet"/>
    <w:basedOn w:val="Normal"/>
    <w:rsid w:val="001157C9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1157C9"/>
    <w:pPr>
      <w:spacing w:after="240"/>
      <w:ind w:left="1440" w:right="1440"/>
    </w:pPr>
  </w:style>
  <w:style w:type="paragraph" w:customStyle="1" w:styleId="TableFormat">
    <w:name w:val="TableFormat"/>
    <w:basedOn w:val="Bullet"/>
    <w:rsid w:val="001157C9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1157C9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1157C9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1157C9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1157C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1157C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1157C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157C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157C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157C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157C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157C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157C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1157C9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1157C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A29D2"/>
    <w:rPr>
      <w:snapToGrid w:val="0"/>
      <w:kern w:val="28"/>
    </w:rPr>
  </w:style>
  <w:style w:type="character" w:styleId="EndnoteReference">
    <w:name w:val="endnote reference"/>
    <w:rsid w:val="001157C9"/>
    <w:rPr>
      <w:vertAlign w:val="superscript"/>
    </w:rPr>
  </w:style>
  <w:style w:type="paragraph" w:styleId="TOAHeading">
    <w:name w:val="toa heading"/>
    <w:basedOn w:val="Normal"/>
    <w:next w:val="Normal"/>
    <w:rsid w:val="001157C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157C9"/>
  </w:style>
  <w:style w:type="paragraph" w:customStyle="1" w:styleId="Paratitle">
    <w:name w:val="Para title"/>
    <w:basedOn w:val="Normal"/>
    <w:rsid w:val="001157C9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1157C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157C9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1157C9"/>
    <w:rPr>
      <w:color w:val="0000FF"/>
      <w:u w:val="single"/>
    </w:rPr>
  </w:style>
  <w:style w:type="paragraph" w:styleId="NormalWeb">
    <w:name w:val="Normal (Web)"/>
    <w:basedOn w:val="Normal"/>
    <w:rsid w:val="00442AE4"/>
    <w:rPr>
      <w:sz w:val="24"/>
      <w:szCs w:val="24"/>
    </w:rPr>
  </w:style>
  <w:style w:type="paragraph" w:styleId="BalloonText">
    <w:name w:val="Balloon Text"/>
    <w:basedOn w:val="Normal"/>
    <w:link w:val="BalloonTextChar"/>
    <w:rsid w:val="00AE0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F3B"/>
    <w:rPr>
      <w:rFonts w:ascii="Tahoma" w:hAnsi="Tahoma" w:cs="Tahoma"/>
      <w:snapToGrid w:val="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260</Words>
  <Characters>1330</Characters>
  <Application>Microsoft Office Word</Application>
  <DocSecurity>0</DocSecurity>
  <Lines>61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1592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2015-05-06T20:28:00Z</cp:lastPrinted>
  <dcterms:created xsi:type="dcterms:W3CDTF">2015-05-06T20:39:00Z</dcterms:created>
  <dcterms:modified xsi:type="dcterms:W3CDTF">2015-05-06T20:39:00Z</dcterms:modified>
  <cp:category> </cp:category>
  <cp:contentStatus> </cp:contentStatus>
</cp:coreProperties>
</file>