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4EB8" w14:textId="77777777" w:rsidR="003B403D" w:rsidRPr="00595625" w:rsidRDefault="00604EDF" w:rsidP="00950148">
      <w:pPr>
        <w:spacing w:after="0"/>
        <w:jc w:val="center"/>
        <w:rPr>
          <w:rFonts w:cs="Times New Roman"/>
          <w:b/>
        </w:rPr>
      </w:pPr>
      <w:bookmarkStart w:id="0" w:name="_GoBack"/>
      <w:bookmarkEnd w:id="0"/>
      <w:r w:rsidRPr="00595625">
        <w:rPr>
          <w:rFonts w:cs="Times New Roman"/>
          <w:b/>
        </w:rPr>
        <w:t>STAT</w:t>
      </w:r>
      <w:r w:rsidR="006E3521" w:rsidRPr="00595625">
        <w:rPr>
          <w:rFonts w:cs="Times New Roman"/>
          <w:b/>
        </w:rPr>
        <w:t>EMENT OF COMMISSIONER AJIT PAI,</w:t>
      </w:r>
      <w:r w:rsidR="006E3521" w:rsidRPr="00595625">
        <w:rPr>
          <w:rFonts w:cs="Times New Roman"/>
          <w:b/>
        </w:rPr>
        <w:br/>
      </w:r>
      <w:r w:rsidRPr="00595625">
        <w:rPr>
          <w:rFonts w:cs="Times New Roman"/>
          <w:b/>
        </w:rPr>
        <w:t>APPROVING IN PART AND DISSENTING IN PART</w:t>
      </w:r>
    </w:p>
    <w:p w14:paraId="44F00EA2" w14:textId="77777777" w:rsidR="00950148" w:rsidRPr="00595625" w:rsidRDefault="00950148" w:rsidP="00950148">
      <w:pPr>
        <w:spacing w:after="0"/>
        <w:jc w:val="center"/>
        <w:rPr>
          <w:rFonts w:cs="Times New Roman"/>
          <w:b/>
        </w:rPr>
      </w:pPr>
    </w:p>
    <w:p w14:paraId="3244B679" w14:textId="2B7F8E48" w:rsidR="00604EDF" w:rsidRPr="00595625" w:rsidRDefault="00604EDF" w:rsidP="00595625">
      <w:pPr>
        <w:spacing w:after="0" w:line="276" w:lineRule="auto"/>
        <w:ind w:left="720" w:hanging="720"/>
        <w:rPr>
          <w:rFonts w:cs="Times New Roman"/>
          <w:spacing w:val="-2"/>
        </w:rPr>
      </w:pPr>
      <w:r w:rsidRPr="00595625">
        <w:rPr>
          <w:rFonts w:cs="Times New Roman"/>
        </w:rPr>
        <w:t>Re:</w:t>
      </w:r>
      <w:r w:rsidRPr="00595625">
        <w:rPr>
          <w:rFonts w:cs="Times New Roman"/>
          <w:i/>
        </w:rPr>
        <w:tab/>
      </w:r>
      <w:r w:rsidRPr="00595625">
        <w:rPr>
          <w:rFonts w:cs="Times New Roman"/>
          <w:i/>
          <w:iCs/>
          <w:spacing w:val="-2"/>
        </w:rPr>
        <w:t xml:space="preserve">Accessible Emergency Information, and Apparatus Requirements for Emergency Information and </w:t>
      </w:r>
      <w:r w:rsidR="006E3521" w:rsidRPr="00595625">
        <w:rPr>
          <w:rFonts w:cs="Times New Roman"/>
          <w:i/>
          <w:iCs/>
          <w:spacing w:val="-2"/>
        </w:rPr>
        <w:t>Video Description:</w:t>
      </w:r>
      <w:r w:rsidRPr="00595625">
        <w:rPr>
          <w:rFonts w:cs="Times New Roman"/>
          <w:i/>
          <w:iCs/>
          <w:spacing w:val="-2"/>
        </w:rPr>
        <w:t xml:space="preserve"> Implementation of the Twenty-First Century Communications and Video Accessibility Act of 2010</w:t>
      </w:r>
      <w:r w:rsidR="00AD4C08" w:rsidRPr="00595625">
        <w:rPr>
          <w:rFonts w:cs="Times New Roman"/>
          <w:spacing w:val="-2"/>
        </w:rPr>
        <w:t>, MB Docket No. 12-107</w:t>
      </w:r>
      <w:r w:rsidR="00595625" w:rsidRPr="00595625">
        <w:rPr>
          <w:rFonts w:cs="Times New Roman"/>
          <w:spacing w:val="-2"/>
        </w:rPr>
        <w:t xml:space="preserve">, </w:t>
      </w:r>
      <w:r w:rsidR="00595625" w:rsidRPr="00595625">
        <w:rPr>
          <w:rFonts w:cs="Times New Roman"/>
        </w:rPr>
        <w:t>Second Report and Order and Second Further Notice of Proposed Rulemaking</w:t>
      </w:r>
      <w:r w:rsidRPr="00595625">
        <w:rPr>
          <w:rFonts w:cs="Times New Roman"/>
          <w:spacing w:val="-2"/>
        </w:rPr>
        <w:t>.</w:t>
      </w:r>
    </w:p>
    <w:p w14:paraId="486E454D" w14:textId="77777777" w:rsidR="00950148" w:rsidRPr="00595625" w:rsidRDefault="00950148" w:rsidP="00950148">
      <w:pPr>
        <w:spacing w:after="0"/>
        <w:ind w:left="720" w:hanging="720"/>
        <w:rPr>
          <w:rFonts w:cs="Times New Roman"/>
          <w:spacing w:val="-2"/>
        </w:rPr>
      </w:pPr>
    </w:p>
    <w:p w14:paraId="111905D5" w14:textId="77777777" w:rsidR="006808F6" w:rsidRPr="00595625" w:rsidRDefault="006808F6" w:rsidP="00950148">
      <w:pPr>
        <w:spacing w:after="0"/>
        <w:ind w:firstLine="720"/>
        <w:rPr>
          <w:rFonts w:cs="Times New Roman"/>
          <w:spacing w:val="-2"/>
        </w:rPr>
      </w:pPr>
      <w:r w:rsidRPr="00595625">
        <w:rPr>
          <w:rFonts w:cs="Times New Roman"/>
          <w:spacing w:val="-2"/>
        </w:rPr>
        <w:t>When disaster strikes, every American must have access to emergency information.  For example, when a tornado warning is announced in my home state of Kansas and residents are told to take cover, that message must reach everyone in the twister’s path.  Mother Nature doesn’t discriminate between those who can see and those who are visually impaired.</w:t>
      </w:r>
    </w:p>
    <w:p w14:paraId="6D1AB27A" w14:textId="77777777" w:rsidR="00950148" w:rsidRPr="00595625" w:rsidRDefault="00950148" w:rsidP="00950148">
      <w:pPr>
        <w:spacing w:after="0"/>
        <w:ind w:firstLine="720"/>
        <w:rPr>
          <w:rFonts w:cs="Times New Roman"/>
          <w:spacing w:val="-2"/>
        </w:rPr>
      </w:pPr>
    </w:p>
    <w:p w14:paraId="08016B40" w14:textId="4EF0E22F" w:rsidR="00282510" w:rsidRPr="00595625" w:rsidRDefault="006808F6" w:rsidP="00950148">
      <w:pPr>
        <w:spacing w:after="0"/>
        <w:ind w:firstLine="720"/>
        <w:rPr>
          <w:rFonts w:cs="Times New Roman"/>
          <w:spacing w:val="-2"/>
        </w:rPr>
      </w:pPr>
      <w:r w:rsidRPr="00595625">
        <w:rPr>
          <w:rFonts w:cs="Times New Roman"/>
          <w:spacing w:val="-2"/>
        </w:rPr>
        <w:t xml:space="preserve">For this reason, I was pleased two years ago to support rules </w:t>
      </w:r>
      <w:r w:rsidR="00240527" w:rsidRPr="00595625">
        <w:rPr>
          <w:rFonts w:cs="Times New Roman"/>
          <w:spacing w:val="-2"/>
        </w:rPr>
        <w:t>implementing the Twenty-First Century Communications and Video Accessibility Act (CVAA)</w:t>
      </w:r>
      <w:r w:rsidR="00D4640D" w:rsidRPr="00595625">
        <w:rPr>
          <w:rFonts w:cs="Times New Roman"/>
          <w:spacing w:val="-2"/>
        </w:rPr>
        <w:t xml:space="preserve"> </w:t>
      </w:r>
      <w:r w:rsidRPr="00595625">
        <w:rPr>
          <w:rFonts w:cs="Times New Roman"/>
          <w:spacing w:val="-2"/>
        </w:rPr>
        <w:t xml:space="preserve">by </w:t>
      </w:r>
      <w:r w:rsidR="00D4640D" w:rsidRPr="00595625">
        <w:rPr>
          <w:rFonts w:cs="Times New Roman"/>
          <w:spacing w:val="-2"/>
        </w:rPr>
        <w:t>requiring video programm</w:t>
      </w:r>
      <w:r w:rsidRPr="00595625">
        <w:rPr>
          <w:rFonts w:cs="Times New Roman"/>
          <w:spacing w:val="-2"/>
        </w:rPr>
        <w:t>ers</w:t>
      </w:r>
      <w:r w:rsidR="00D4640D" w:rsidRPr="00595625">
        <w:rPr>
          <w:rFonts w:cs="Times New Roman"/>
          <w:spacing w:val="-2"/>
        </w:rPr>
        <w:t xml:space="preserve"> and distributors to make emergency information accessible to </w:t>
      </w:r>
      <w:r w:rsidRPr="00595625">
        <w:rPr>
          <w:rFonts w:cs="Times New Roman"/>
          <w:spacing w:val="-2"/>
        </w:rPr>
        <w:t xml:space="preserve">those </w:t>
      </w:r>
      <w:r w:rsidR="00D4640D" w:rsidRPr="00595625">
        <w:rPr>
          <w:rFonts w:cs="Times New Roman"/>
          <w:spacing w:val="-2"/>
        </w:rPr>
        <w:t>who are blind or visually impaired.</w:t>
      </w:r>
      <w:r w:rsidR="00AE16ED" w:rsidRPr="00595625">
        <w:rPr>
          <w:rStyle w:val="FootnoteReference"/>
          <w:rFonts w:cs="Times New Roman"/>
          <w:spacing w:val="-2"/>
        </w:rPr>
        <w:footnoteReference w:id="1"/>
      </w:r>
      <w:r w:rsidR="00D4640D" w:rsidRPr="00595625">
        <w:rPr>
          <w:rFonts w:cs="Times New Roman"/>
          <w:spacing w:val="-2"/>
        </w:rPr>
        <w:t xml:space="preserve">  Specifically, we required </w:t>
      </w:r>
      <w:r w:rsidR="00282510" w:rsidRPr="00595625">
        <w:rPr>
          <w:rFonts w:cs="Times New Roman"/>
          <w:spacing w:val="-2"/>
        </w:rPr>
        <w:t xml:space="preserve">that </w:t>
      </w:r>
      <w:r w:rsidRPr="00595625">
        <w:rPr>
          <w:rFonts w:cs="Times New Roman"/>
          <w:spacing w:val="-2"/>
        </w:rPr>
        <w:t xml:space="preserve">when </w:t>
      </w:r>
      <w:r w:rsidR="00282510" w:rsidRPr="00595625">
        <w:rPr>
          <w:rFonts w:cs="Times New Roman"/>
          <w:spacing w:val="-2"/>
        </w:rPr>
        <w:t>programmers and distributors</w:t>
      </w:r>
      <w:r w:rsidR="00F11E4C" w:rsidRPr="00595625">
        <w:rPr>
          <w:rFonts w:cs="Times New Roman"/>
          <w:spacing w:val="-2"/>
        </w:rPr>
        <w:t xml:space="preserve"> convey emergency information visually, such as through a crawl</w:t>
      </w:r>
      <w:r w:rsidR="00C7193D" w:rsidRPr="00595625">
        <w:rPr>
          <w:rFonts w:cs="Times New Roman"/>
          <w:spacing w:val="-2"/>
        </w:rPr>
        <w:t xml:space="preserve"> on the television screen</w:t>
      </w:r>
      <w:r w:rsidR="00F11E4C" w:rsidRPr="00595625">
        <w:rPr>
          <w:rFonts w:cs="Times New Roman"/>
          <w:spacing w:val="-2"/>
        </w:rPr>
        <w:t xml:space="preserve">, </w:t>
      </w:r>
      <w:r w:rsidRPr="00595625">
        <w:rPr>
          <w:rFonts w:cs="Times New Roman"/>
          <w:spacing w:val="-2"/>
        </w:rPr>
        <w:t xml:space="preserve">they must </w:t>
      </w:r>
      <w:r w:rsidR="00F11E4C" w:rsidRPr="00595625">
        <w:rPr>
          <w:rFonts w:cs="Times New Roman"/>
          <w:spacing w:val="-2"/>
        </w:rPr>
        <w:t xml:space="preserve">also </w:t>
      </w:r>
      <w:r w:rsidR="00282510" w:rsidRPr="00595625">
        <w:rPr>
          <w:rFonts w:cs="Times New Roman"/>
          <w:spacing w:val="-2"/>
        </w:rPr>
        <w:t>use a</w:t>
      </w:r>
      <w:r w:rsidR="00D4640D" w:rsidRPr="00595625">
        <w:rPr>
          <w:rFonts w:cs="Times New Roman"/>
          <w:spacing w:val="-2"/>
        </w:rPr>
        <w:t xml:space="preserve"> secondary audio stream to convey </w:t>
      </w:r>
      <w:r w:rsidR="00C7193D" w:rsidRPr="00595625">
        <w:rPr>
          <w:rFonts w:cs="Times New Roman"/>
          <w:spacing w:val="-2"/>
        </w:rPr>
        <w:t>that</w:t>
      </w:r>
      <w:r w:rsidR="00D4640D" w:rsidRPr="00595625">
        <w:rPr>
          <w:rFonts w:cs="Times New Roman"/>
          <w:spacing w:val="-2"/>
        </w:rPr>
        <w:t xml:space="preserve"> information</w:t>
      </w:r>
      <w:r w:rsidR="006E3521" w:rsidRPr="00595625">
        <w:rPr>
          <w:rFonts w:cs="Times New Roman"/>
          <w:spacing w:val="-2"/>
        </w:rPr>
        <w:t>.</w:t>
      </w:r>
    </w:p>
    <w:p w14:paraId="343DE111" w14:textId="77777777" w:rsidR="00950148" w:rsidRPr="00595625" w:rsidRDefault="00950148" w:rsidP="00950148">
      <w:pPr>
        <w:spacing w:after="0"/>
        <w:ind w:firstLine="720"/>
        <w:rPr>
          <w:rFonts w:cs="Times New Roman"/>
          <w:spacing w:val="-2"/>
        </w:rPr>
      </w:pPr>
    </w:p>
    <w:p w14:paraId="397C2E2F" w14:textId="41687CA5" w:rsidR="00E340F4" w:rsidRPr="00595625" w:rsidRDefault="00C7193D" w:rsidP="00950148">
      <w:pPr>
        <w:spacing w:after="0"/>
        <w:ind w:firstLine="720"/>
        <w:rPr>
          <w:rFonts w:cs="Times New Roman"/>
          <w:spacing w:val="-2"/>
        </w:rPr>
      </w:pPr>
      <w:r w:rsidRPr="00595625">
        <w:rPr>
          <w:rFonts w:cs="Times New Roman"/>
          <w:spacing w:val="-2"/>
        </w:rPr>
        <w:t xml:space="preserve">I am glad that </w:t>
      </w:r>
      <w:r w:rsidR="00E340F4" w:rsidRPr="00595625">
        <w:rPr>
          <w:rFonts w:cs="Times New Roman"/>
          <w:spacing w:val="-2"/>
        </w:rPr>
        <w:t xml:space="preserve">we </w:t>
      </w:r>
      <w:r w:rsidRPr="00595625">
        <w:rPr>
          <w:rFonts w:cs="Times New Roman"/>
          <w:spacing w:val="-2"/>
        </w:rPr>
        <w:t xml:space="preserve">are </w:t>
      </w:r>
      <w:r w:rsidR="00572751" w:rsidRPr="00595625">
        <w:rPr>
          <w:rFonts w:cs="Times New Roman"/>
          <w:spacing w:val="-2"/>
        </w:rPr>
        <w:t>extend</w:t>
      </w:r>
      <w:r w:rsidRPr="00595625">
        <w:rPr>
          <w:rFonts w:cs="Times New Roman"/>
          <w:spacing w:val="-2"/>
        </w:rPr>
        <w:t>ing</w:t>
      </w:r>
      <w:r w:rsidR="00572751" w:rsidRPr="00595625">
        <w:rPr>
          <w:rFonts w:cs="Times New Roman"/>
          <w:spacing w:val="-2"/>
        </w:rPr>
        <w:t xml:space="preserve"> our rules </w:t>
      </w:r>
      <w:r w:rsidR="00AB1234" w:rsidRPr="00595625">
        <w:rPr>
          <w:rFonts w:cs="Times New Roman"/>
          <w:spacing w:val="-2"/>
        </w:rPr>
        <w:t xml:space="preserve">today </w:t>
      </w:r>
      <w:r w:rsidRPr="00595625">
        <w:rPr>
          <w:rFonts w:cs="Times New Roman"/>
          <w:spacing w:val="-2"/>
        </w:rPr>
        <w:t>and ensuring that consumers will receive that</w:t>
      </w:r>
      <w:r w:rsidR="00E340F4" w:rsidRPr="00595625">
        <w:rPr>
          <w:rFonts w:cs="Times New Roman"/>
          <w:spacing w:val="-2"/>
        </w:rPr>
        <w:t xml:space="preserve"> secondary audio stream</w:t>
      </w:r>
      <w:r w:rsidRPr="00595625">
        <w:rPr>
          <w:rFonts w:cs="Times New Roman"/>
          <w:spacing w:val="-2"/>
        </w:rPr>
        <w:t xml:space="preserve"> </w:t>
      </w:r>
      <w:r w:rsidR="000C382B" w:rsidRPr="00595625">
        <w:rPr>
          <w:rFonts w:cs="Times New Roman"/>
          <w:spacing w:val="-2"/>
        </w:rPr>
        <w:t>if</w:t>
      </w:r>
      <w:r w:rsidRPr="00595625">
        <w:rPr>
          <w:rFonts w:cs="Times New Roman"/>
          <w:spacing w:val="-2"/>
        </w:rPr>
        <w:t xml:space="preserve"> they </w:t>
      </w:r>
      <w:r w:rsidR="00397421" w:rsidRPr="00595625">
        <w:rPr>
          <w:rFonts w:cs="Times New Roman"/>
          <w:spacing w:val="-2"/>
        </w:rPr>
        <w:t>access a</w:t>
      </w:r>
      <w:r w:rsidR="00A13440" w:rsidRPr="00595625">
        <w:rPr>
          <w:rFonts w:cs="Times New Roman"/>
          <w:spacing w:val="-2"/>
        </w:rPr>
        <w:t xml:space="preserve"> multichannel video programming distributor’s (</w:t>
      </w:r>
      <w:r w:rsidR="00397421" w:rsidRPr="00595625">
        <w:rPr>
          <w:rFonts w:cs="Times New Roman"/>
          <w:spacing w:val="-2"/>
        </w:rPr>
        <w:t>MVPD’s</w:t>
      </w:r>
      <w:r w:rsidR="00A13440" w:rsidRPr="00595625">
        <w:rPr>
          <w:rFonts w:cs="Times New Roman"/>
          <w:spacing w:val="-2"/>
        </w:rPr>
        <w:t>)</w:t>
      </w:r>
      <w:r w:rsidR="00397421" w:rsidRPr="00595625">
        <w:rPr>
          <w:rFonts w:cs="Times New Roman"/>
          <w:spacing w:val="-2"/>
        </w:rPr>
        <w:t xml:space="preserve"> programming</w:t>
      </w:r>
      <w:r w:rsidR="00783CE6" w:rsidRPr="00595625">
        <w:rPr>
          <w:rFonts w:cs="Times New Roman"/>
          <w:spacing w:val="-2"/>
        </w:rPr>
        <w:t xml:space="preserve"> on </w:t>
      </w:r>
      <w:r w:rsidRPr="00595625">
        <w:rPr>
          <w:rFonts w:cs="Times New Roman"/>
          <w:spacing w:val="-2"/>
        </w:rPr>
        <w:t xml:space="preserve">a </w:t>
      </w:r>
      <w:r w:rsidR="00783CE6" w:rsidRPr="00595625">
        <w:rPr>
          <w:rFonts w:cs="Times New Roman"/>
          <w:spacing w:val="-2"/>
        </w:rPr>
        <w:t xml:space="preserve">tablet, laptop, </w:t>
      </w:r>
      <w:r w:rsidRPr="00595625">
        <w:rPr>
          <w:rFonts w:cs="Times New Roman"/>
          <w:spacing w:val="-2"/>
        </w:rPr>
        <w:t xml:space="preserve">or </w:t>
      </w:r>
      <w:r w:rsidR="00783CE6" w:rsidRPr="00595625">
        <w:rPr>
          <w:rFonts w:cs="Times New Roman"/>
          <w:spacing w:val="-2"/>
        </w:rPr>
        <w:t>similar device.  This decision</w:t>
      </w:r>
      <w:r w:rsidR="004B2778" w:rsidRPr="00595625">
        <w:rPr>
          <w:rFonts w:cs="Times New Roman"/>
          <w:spacing w:val="-2"/>
        </w:rPr>
        <w:t xml:space="preserve"> again makes sense</w:t>
      </w:r>
      <w:r w:rsidR="00B56EE9" w:rsidRPr="00595625">
        <w:rPr>
          <w:rFonts w:cs="Times New Roman"/>
          <w:spacing w:val="-2"/>
        </w:rPr>
        <w:t xml:space="preserve">.  Whether </w:t>
      </w:r>
      <w:r w:rsidR="004B2778" w:rsidRPr="00595625">
        <w:rPr>
          <w:rFonts w:cs="Times New Roman"/>
          <w:spacing w:val="-2"/>
        </w:rPr>
        <w:t>you</w:t>
      </w:r>
      <w:r w:rsidR="00B56EE9" w:rsidRPr="00595625">
        <w:rPr>
          <w:rFonts w:cs="Times New Roman"/>
          <w:spacing w:val="-2"/>
        </w:rPr>
        <w:t>’</w:t>
      </w:r>
      <w:r w:rsidR="004B2778" w:rsidRPr="00595625">
        <w:rPr>
          <w:rFonts w:cs="Times New Roman"/>
          <w:spacing w:val="-2"/>
        </w:rPr>
        <w:t xml:space="preserve">re </w:t>
      </w:r>
      <w:r w:rsidR="00AB402A" w:rsidRPr="00595625">
        <w:rPr>
          <w:rFonts w:cs="Times New Roman"/>
          <w:spacing w:val="-2"/>
        </w:rPr>
        <w:t xml:space="preserve">using </w:t>
      </w:r>
      <w:r w:rsidR="004B2778" w:rsidRPr="00595625">
        <w:rPr>
          <w:rFonts w:cs="Times New Roman"/>
          <w:spacing w:val="-2"/>
        </w:rPr>
        <w:t>a 65</w:t>
      </w:r>
      <w:r w:rsidR="00B56EE9" w:rsidRPr="00595625">
        <w:rPr>
          <w:rFonts w:cs="Times New Roman"/>
          <w:spacing w:val="-2"/>
        </w:rPr>
        <w:t>-</w:t>
      </w:r>
      <w:r w:rsidR="004B2778" w:rsidRPr="00595625">
        <w:rPr>
          <w:rFonts w:cs="Times New Roman"/>
          <w:spacing w:val="-2"/>
        </w:rPr>
        <w:t>inch curved Samsung Smart TV or an iPad mini</w:t>
      </w:r>
      <w:r w:rsidR="00B56EE9" w:rsidRPr="00595625">
        <w:rPr>
          <w:rFonts w:cs="Times New Roman"/>
          <w:spacing w:val="-2"/>
        </w:rPr>
        <w:t>, y</w:t>
      </w:r>
      <w:r w:rsidR="004B2778" w:rsidRPr="00595625">
        <w:rPr>
          <w:rFonts w:cs="Times New Roman"/>
          <w:spacing w:val="-2"/>
        </w:rPr>
        <w:t>our need for timely emergency information is the same.</w:t>
      </w:r>
    </w:p>
    <w:p w14:paraId="6C049E8B" w14:textId="49CBCA7D" w:rsidR="00572751" w:rsidRPr="00595625" w:rsidRDefault="00286453" w:rsidP="00950148">
      <w:pPr>
        <w:spacing w:after="0"/>
        <w:ind w:firstLine="720"/>
        <w:rPr>
          <w:rFonts w:cs="Times New Roman"/>
          <w:spacing w:val="-2"/>
        </w:rPr>
      </w:pPr>
      <w:r w:rsidRPr="00595625">
        <w:rPr>
          <w:rFonts w:cs="Times New Roman"/>
          <w:spacing w:val="-2"/>
        </w:rPr>
        <w:t xml:space="preserve">Critically, </w:t>
      </w:r>
      <w:r w:rsidR="00B56EE9" w:rsidRPr="00595625">
        <w:rPr>
          <w:rFonts w:cs="Times New Roman"/>
          <w:spacing w:val="-2"/>
        </w:rPr>
        <w:t xml:space="preserve">this </w:t>
      </w:r>
      <w:r w:rsidR="00572751" w:rsidRPr="00595625">
        <w:rPr>
          <w:rFonts w:cs="Times New Roman"/>
          <w:spacing w:val="-2"/>
        </w:rPr>
        <w:t>decision is consistent with the</w:t>
      </w:r>
      <w:r w:rsidR="00AE16ED" w:rsidRPr="00595625">
        <w:rPr>
          <w:rFonts w:cs="Times New Roman"/>
          <w:spacing w:val="-2"/>
        </w:rPr>
        <w:t xml:space="preserve"> text of the</w:t>
      </w:r>
      <w:r w:rsidR="00572751" w:rsidRPr="00595625">
        <w:rPr>
          <w:rFonts w:cs="Times New Roman"/>
          <w:spacing w:val="-2"/>
        </w:rPr>
        <w:t xml:space="preserve"> CVAA.  The statute’s provisions regarding emergency information make no distinction between programming that is viewed on a traditional television and programming that is viewed on </w:t>
      </w:r>
      <w:r w:rsidRPr="00595625">
        <w:rPr>
          <w:rFonts w:cs="Times New Roman"/>
          <w:spacing w:val="-2"/>
        </w:rPr>
        <w:t xml:space="preserve">a </w:t>
      </w:r>
      <w:r w:rsidR="000A4F3A" w:rsidRPr="00595625">
        <w:rPr>
          <w:rFonts w:cs="Times New Roman"/>
          <w:spacing w:val="-2"/>
        </w:rPr>
        <w:t xml:space="preserve">“second screen,” such as a </w:t>
      </w:r>
      <w:r w:rsidR="00572751" w:rsidRPr="00595625">
        <w:rPr>
          <w:rFonts w:cs="Times New Roman"/>
          <w:spacing w:val="-2"/>
        </w:rPr>
        <w:t xml:space="preserve">tablet or smartphone.  The obligation to make emergency information accessible to those who are blind or visually impaired </w:t>
      </w:r>
      <w:r w:rsidR="00B56EE9" w:rsidRPr="00595625">
        <w:rPr>
          <w:rFonts w:cs="Times New Roman"/>
          <w:spacing w:val="-2"/>
        </w:rPr>
        <w:t>still applies</w:t>
      </w:r>
      <w:r w:rsidR="00572751" w:rsidRPr="00595625">
        <w:rPr>
          <w:rFonts w:cs="Times New Roman"/>
          <w:spacing w:val="-2"/>
        </w:rPr>
        <w:t>.</w:t>
      </w:r>
    </w:p>
    <w:p w14:paraId="674938AB" w14:textId="77777777" w:rsidR="00950148" w:rsidRPr="00595625" w:rsidRDefault="00950148" w:rsidP="00950148">
      <w:pPr>
        <w:spacing w:after="0"/>
        <w:ind w:firstLine="720"/>
        <w:rPr>
          <w:rFonts w:cs="Times New Roman"/>
          <w:spacing w:val="-2"/>
        </w:rPr>
      </w:pPr>
    </w:p>
    <w:p w14:paraId="08433E60" w14:textId="4A3CE7FF" w:rsidR="001C3873" w:rsidRPr="00595625" w:rsidRDefault="00286453" w:rsidP="00950148">
      <w:pPr>
        <w:spacing w:after="0"/>
        <w:ind w:firstLine="720"/>
        <w:rPr>
          <w:rFonts w:cs="Times New Roman"/>
          <w:spacing w:val="-2"/>
        </w:rPr>
      </w:pPr>
      <w:r w:rsidRPr="00595625">
        <w:rPr>
          <w:rFonts w:cs="Times New Roman"/>
          <w:spacing w:val="-2"/>
        </w:rPr>
        <w:t>Moreover</w:t>
      </w:r>
      <w:r w:rsidR="003778D6" w:rsidRPr="00595625">
        <w:rPr>
          <w:rFonts w:cs="Times New Roman"/>
          <w:spacing w:val="-2"/>
        </w:rPr>
        <w:t xml:space="preserve">, it is important to note that the rules we adopt today do not cover video programming distributed over the Internet.  Rather, they </w:t>
      </w:r>
      <w:r w:rsidR="001C3873" w:rsidRPr="00595625">
        <w:rPr>
          <w:rFonts w:cs="Times New Roman"/>
          <w:spacing w:val="-2"/>
        </w:rPr>
        <w:t>only pertain to</w:t>
      </w:r>
      <w:r w:rsidR="003778D6" w:rsidRPr="00595625">
        <w:rPr>
          <w:rFonts w:cs="Times New Roman"/>
          <w:spacing w:val="-2"/>
        </w:rPr>
        <w:t xml:space="preserve"> programming distributed over an MVPD’s network as part of an MVPD service.</w:t>
      </w:r>
      <w:r w:rsidR="001C3873" w:rsidRPr="00595625">
        <w:rPr>
          <w:rFonts w:cs="Times New Roman"/>
          <w:spacing w:val="-2"/>
        </w:rPr>
        <w:t xml:space="preserve">  Applying our emergency information rules to over-the-top video programming would raise statutory and technical concerns that are not </w:t>
      </w:r>
      <w:r w:rsidR="00B56EE9" w:rsidRPr="00595625">
        <w:rPr>
          <w:rFonts w:cs="Times New Roman"/>
          <w:spacing w:val="-2"/>
        </w:rPr>
        <w:t xml:space="preserve">necessary to </w:t>
      </w:r>
      <w:r w:rsidR="001C3873" w:rsidRPr="00595625">
        <w:rPr>
          <w:rFonts w:cs="Times New Roman"/>
          <w:spacing w:val="-2"/>
        </w:rPr>
        <w:t xml:space="preserve">address </w:t>
      </w:r>
      <w:r w:rsidR="00B56EE9" w:rsidRPr="00595625">
        <w:rPr>
          <w:rFonts w:cs="Times New Roman"/>
          <w:spacing w:val="-2"/>
        </w:rPr>
        <w:t xml:space="preserve">here. </w:t>
      </w:r>
      <w:r w:rsidR="001C3873" w:rsidRPr="00595625">
        <w:rPr>
          <w:rFonts w:cs="Times New Roman"/>
          <w:spacing w:val="-2"/>
        </w:rPr>
        <w:t xml:space="preserve"> </w:t>
      </w:r>
      <w:r w:rsidR="00B56EE9" w:rsidRPr="00595625">
        <w:rPr>
          <w:rFonts w:cs="Times New Roman"/>
          <w:spacing w:val="-2"/>
        </w:rPr>
        <w:t>T</w:t>
      </w:r>
      <w:r w:rsidR="001C3873" w:rsidRPr="00595625">
        <w:rPr>
          <w:rFonts w:cs="Times New Roman"/>
          <w:spacing w:val="-2"/>
        </w:rPr>
        <w:t xml:space="preserve">hose difficult issues </w:t>
      </w:r>
      <w:r w:rsidR="00B56EE9" w:rsidRPr="00595625">
        <w:rPr>
          <w:rFonts w:cs="Times New Roman"/>
          <w:spacing w:val="-2"/>
        </w:rPr>
        <w:t xml:space="preserve">are left </w:t>
      </w:r>
      <w:r w:rsidR="001C3873" w:rsidRPr="00595625">
        <w:rPr>
          <w:rFonts w:cs="Times New Roman"/>
          <w:spacing w:val="-2"/>
        </w:rPr>
        <w:t>for another day.</w:t>
      </w:r>
    </w:p>
    <w:p w14:paraId="07193534" w14:textId="77777777" w:rsidR="00950148" w:rsidRPr="00595625" w:rsidRDefault="00950148" w:rsidP="00950148">
      <w:pPr>
        <w:spacing w:after="0"/>
        <w:ind w:firstLine="720"/>
        <w:rPr>
          <w:rFonts w:cs="Times New Roman"/>
          <w:spacing w:val="-2"/>
        </w:rPr>
      </w:pPr>
    </w:p>
    <w:p w14:paraId="536E2011" w14:textId="51859AA2" w:rsidR="006F48BA" w:rsidRPr="00595625" w:rsidRDefault="005B5E03" w:rsidP="00950148">
      <w:pPr>
        <w:spacing w:after="0"/>
        <w:ind w:firstLine="720"/>
        <w:rPr>
          <w:rFonts w:cs="Times New Roman"/>
          <w:spacing w:val="-2"/>
        </w:rPr>
      </w:pPr>
      <w:r w:rsidRPr="00595625">
        <w:rPr>
          <w:rFonts w:cs="Times New Roman"/>
          <w:spacing w:val="-2"/>
        </w:rPr>
        <w:t xml:space="preserve">Unfortunately, I am not able to support </w:t>
      </w:r>
      <w:r w:rsidR="006864C1" w:rsidRPr="00595625">
        <w:rPr>
          <w:rFonts w:cs="Times New Roman"/>
          <w:spacing w:val="-2"/>
        </w:rPr>
        <w:t xml:space="preserve">all of the rules </w:t>
      </w:r>
      <w:r w:rsidR="009270E1" w:rsidRPr="00595625">
        <w:rPr>
          <w:rFonts w:cs="Times New Roman"/>
          <w:spacing w:val="-2"/>
        </w:rPr>
        <w:t>the Commission adopts</w:t>
      </w:r>
      <w:r w:rsidRPr="00595625">
        <w:rPr>
          <w:rFonts w:cs="Times New Roman"/>
          <w:spacing w:val="-2"/>
        </w:rPr>
        <w:t xml:space="preserve">.  Specifically, I must dissent from </w:t>
      </w:r>
      <w:r w:rsidR="00286453" w:rsidRPr="00595625">
        <w:rPr>
          <w:rFonts w:cs="Times New Roman"/>
          <w:spacing w:val="-2"/>
        </w:rPr>
        <w:t>the require</w:t>
      </w:r>
      <w:r w:rsidR="009270E1" w:rsidRPr="00595625">
        <w:rPr>
          <w:rFonts w:cs="Times New Roman"/>
          <w:spacing w:val="-2"/>
        </w:rPr>
        <w:t>ment that</w:t>
      </w:r>
      <w:r w:rsidR="00286453" w:rsidRPr="00595625">
        <w:rPr>
          <w:rFonts w:cs="Times New Roman"/>
          <w:spacing w:val="-2"/>
        </w:rPr>
        <w:t xml:space="preserve"> </w:t>
      </w:r>
      <w:r w:rsidR="00426A90" w:rsidRPr="00595625">
        <w:rPr>
          <w:rFonts w:cs="Times New Roman"/>
          <w:spacing w:val="-2"/>
        </w:rPr>
        <w:t xml:space="preserve">manufacturers of televisions, set-top boxes, and other covered devices include in those </w:t>
      </w:r>
      <w:r w:rsidR="00286453" w:rsidRPr="00595625">
        <w:rPr>
          <w:rFonts w:cs="Times New Roman"/>
          <w:spacing w:val="-2"/>
        </w:rPr>
        <w:t>apparatus</w:t>
      </w:r>
      <w:r w:rsidR="00E01897" w:rsidRPr="00595625">
        <w:rPr>
          <w:rFonts w:cs="Times New Roman"/>
          <w:spacing w:val="-2"/>
        </w:rPr>
        <w:t>es</w:t>
      </w:r>
      <w:r w:rsidR="00286453" w:rsidRPr="00595625">
        <w:rPr>
          <w:rFonts w:cs="Times New Roman"/>
          <w:spacing w:val="-2"/>
        </w:rPr>
        <w:t xml:space="preserve"> </w:t>
      </w:r>
      <w:r w:rsidR="00426A90" w:rsidRPr="00595625">
        <w:rPr>
          <w:rFonts w:cs="Times New Roman"/>
          <w:spacing w:val="-2"/>
        </w:rPr>
        <w:t xml:space="preserve">a mechanism for activating the secondary audio stream </w:t>
      </w:r>
      <w:r w:rsidR="001470B2" w:rsidRPr="00595625">
        <w:rPr>
          <w:rFonts w:cs="Times New Roman"/>
          <w:spacing w:val="-2"/>
        </w:rPr>
        <w:t xml:space="preserve">for emergency information </w:t>
      </w:r>
      <w:r w:rsidR="00426A90" w:rsidRPr="00595625">
        <w:rPr>
          <w:rFonts w:cs="Times New Roman"/>
          <w:spacing w:val="-2"/>
        </w:rPr>
        <w:t xml:space="preserve">that is </w:t>
      </w:r>
      <w:r w:rsidR="00286453" w:rsidRPr="00595625">
        <w:rPr>
          <w:rFonts w:cs="Times New Roman"/>
          <w:spacing w:val="-2"/>
        </w:rPr>
        <w:t>reasonably comparable to a button, key, or icon.</w:t>
      </w:r>
    </w:p>
    <w:p w14:paraId="0B3B903D" w14:textId="77777777" w:rsidR="00950148" w:rsidRPr="00595625" w:rsidRDefault="00950148" w:rsidP="00950148">
      <w:pPr>
        <w:spacing w:after="0"/>
        <w:ind w:firstLine="720"/>
        <w:rPr>
          <w:rFonts w:cs="Times New Roman"/>
          <w:spacing w:val="-2"/>
        </w:rPr>
      </w:pPr>
    </w:p>
    <w:p w14:paraId="16BC905D" w14:textId="6EB52CD3" w:rsidR="005B5E03" w:rsidRPr="00595625" w:rsidRDefault="00180EB1" w:rsidP="00950148">
      <w:pPr>
        <w:spacing w:after="0"/>
        <w:ind w:firstLine="720"/>
        <w:rPr>
          <w:rFonts w:cs="Times New Roman"/>
          <w:spacing w:val="-2"/>
        </w:rPr>
      </w:pPr>
      <w:r w:rsidRPr="00595625">
        <w:rPr>
          <w:rFonts w:cs="Times New Roman"/>
          <w:spacing w:val="-2"/>
        </w:rPr>
        <w:t xml:space="preserve">I am doing so for one reason and one reason alone:  The Commission does not have the legal authority to impose such a mandate.  </w:t>
      </w:r>
      <w:r w:rsidR="00286453" w:rsidRPr="00595625">
        <w:rPr>
          <w:rFonts w:cs="Times New Roman"/>
          <w:spacing w:val="-2"/>
        </w:rPr>
        <w:t>To be clear, I am not taking a position on t</w:t>
      </w:r>
      <w:r w:rsidR="001023CA" w:rsidRPr="00595625">
        <w:rPr>
          <w:rFonts w:cs="Times New Roman"/>
          <w:spacing w:val="-2"/>
        </w:rPr>
        <w:t xml:space="preserve">he merits of such a </w:t>
      </w:r>
      <w:r w:rsidR="00AB55A3" w:rsidRPr="00595625">
        <w:rPr>
          <w:rFonts w:cs="Times New Roman"/>
          <w:spacing w:val="-2"/>
        </w:rPr>
        <w:t>requirement</w:t>
      </w:r>
      <w:r w:rsidR="001023CA" w:rsidRPr="00595625">
        <w:rPr>
          <w:rFonts w:cs="Times New Roman"/>
          <w:spacing w:val="-2"/>
        </w:rPr>
        <w:t xml:space="preserve">, and I </w:t>
      </w:r>
      <w:r w:rsidR="00286453" w:rsidRPr="00595625">
        <w:rPr>
          <w:rFonts w:cs="Times New Roman"/>
          <w:spacing w:val="-2"/>
        </w:rPr>
        <w:t xml:space="preserve">am </w:t>
      </w:r>
      <w:r w:rsidR="006864C1" w:rsidRPr="00595625">
        <w:rPr>
          <w:rFonts w:cs="Times New Roman"/>
          <w:spacing w:val="-2"/>
        </w:rPr>
        <w:t>certain</w:t>
      </w:r>
      <w:r w:rsidR="00286453" w:rsidRPr="00595625">
        <w:rPr>
          <w:rFonts w:cs="Times New Roman"/>
          <w:spacing w:val="-2"/>
        </w:rPr>
        <w:t xml:space="preserve"> th</w:t>
      </w:r>
      <w:r w:rsidR="001023CA" w:rsidRPr="00595625">
        <w:rPr>
          <w:rFonts w:cs="Times New Roman"/>
          <w:spacing w:val="-2"/>
        </w:rPr>
        <w:t>at those supporting it are well-</w:t>
      </w:r>
      <w:r w:rsidR="00286453" w:rsidRPr="00595625">
        <w:rPr>
          <w:rFonts w:cs="Times New Roman"/>
          <w:spacing w:val="-2"/>
        </w:rPr>
        <w:t>intentioned.</w:t>
      </w:r>
      <w:r w:rsidR="001023CA" w:rsidRPr="00595625">
        <w:rPr>
          <w:rFonts w:cs="Times New Roman"/>
          <w:spacing w:val="-2"/>
        </w:rPr>
        <w:t xml:space="preserve">  But at the end of the day, </w:t>
      </w:r>
      <w:r w:rsidR="006864C1" w:rsidRPr="00595625">
        <w:rPr>
          <w:rFonts w:cs="Times New Roman"/>
          <w:spacing w:val="-2"/>
        </w:rPr>
        <w:t xml:space="preserve">my </w:t>
      </w:r>
      <w:r w:rsidR="001023CA" w:rsidRPr="00595625">
        <w:rPr>
          <w:rFonts w:cs="Times New Roman"/>
          <w:spacing w:val="-2"/>
        </w:rPr>
        <w:lastRenderedPageBreak/>
        <w:t xml:space="preserve">foremost obligation </w:t>
      </w:r>
      <w:r w:rsidR="006864C1" w:rsidRPr="00595625">
        <w:rPr>
          <w:rFonts w:cs="Times New Roman"/>
          <w:spacing w:val="-2"/>
        </w:rPr>
        <w:t xml:space="preserve">as a Commissioner </w:t>
      </w:r>
      <w:r w:rsidR="001023CA" w:rsidRPr="00595625">
        <w:rPr>
          <w:rFonts w:cs="Times New Roman"/>
          <w:spacing w:val="-2"/>
        </w:rPr>
        <w:t xml:space="preserve">is to implement the laws as Congress has written them, not to rewrite statutes to conform to </w:t>
      </w:r>
      <w:r w:rsidR="006864C1" w:rsidRPr="00595625">
        <w:rPr>
          <w:rFonts w:cs="Times New Roman"/>
          <w:spacing w:val="-2"/>
        </w:rPr>
        <w:t xml:space="preserve">my </w:t>
      </w:r>
      <w:r w:rsidR="001023CA" w:rsidRPr="00595625">
        <w:rPr>
          <w:rFonts w:cs="Times New Roman"/>
          <w:spacing w:val="-2"/>
        </w:rPr>
        <w:t>own policy preferences.</w:t>
      </w:r>
    </w:p>
    <w:p w14:paraId="1371AE62" w14:textId="77777777" w:rsidR="00950148" w:rsidRPr="00595625" w:rsidRDefault="00950148" w:rsidP="00950148">
      <w:pPr>
        <w:spacing w:after="0"/>
        <w:ind w:firstLine="720"/>
        <w:rPr>
          <w:rFonts w:cs="Times New Roman"/>
          <w:spacing w:val="-2"/>
        </w:rPr>
      </w:pPr>
    </w:p>
    <w:p w14:paraId="5AFB0F0F" w14:textId="577244C6" w:rsidR="00180EB1" w:rsidRPr="00595625" w:rsidRDefault="00AB55A3" w:rsidP="00950148">
      <w:pPr>
        <w:spacing w:after="0"/>
        <w:ind w:firstLine="720"/>
        <w:rPr>
          <w:rFonts w:cs="Times New Roman"/>
          <w:spacing w:val="-2"/>
        </w:rPr>
      </w:pPr>
      <w:r w:rsidRPr="00595625">
        <w:rPr>
          <w:rFonts w:cs="Times New Roman"/>
          <w:spacing w:val="-2"/>
        </w:rPr>
        <w:t xml:space="preserve">In the CVAA, Congress specifically addressed </w:t>
      </w:r>
      <w:r w:rsidR="006864C1" w:rsidRPr="00595625">
        <w:rPr>
          <w:rFonts w:cs="Times New Roman"/>
          <w:spacing w:val="-2"/>
        </w:rPr>
        <w:t>under what circumstances</w:t>
      </w:r>
      <w:r w:rsidRPr="00595625">
        <w:rPr>
          <w:rFonts w:cs="Times New Roman"/>
          <w:spacing w:val="-2"/>
        </w:rPr>
        <w:t xml:space="preserve"> apparatus manufacturers and MVPDs must provide consumers with a mechanism that is reasonably comparable to a button, key, or icon for activating accessibility features.  In </w:t>
      </w:r>
      <w:r w:rsidR="00CD6FAD" w:rsidRPr="00595625">
        <w:rPr>
          <w:rFonts w:cs="Times New Roman"/>
          <w:spacing w:val="-2"/>
        </w:rPr>
        <w:t>s</w:t>
      </w:r>
      <w:r w:rsidRPr="00595625">
        <w:rPr>
          <w:rFonts w:cs="Times New Roman"/>
          <w:spacing w:val="-2"/>
        </w:rPr>
        <w:t xml:space="preserve">ection 204, it required </w:t>
      </w:r>
      <w:r w:rsidR="00426A90" w:rsidRPr="00595625">
        <w:rPr>
          <w:rFonts w:cs="Times New Roman"/>
          <w:spacing w:val="-2"/>
        </w:rPr>
        <w:t>that one set of devices</w:t>
      </w:r>
      <w:r w:rsidR="00764DA1" w:rsidRPr="00595625">
        <w:rPr>
          <w:rFonts w:cs="Times New Roman"/>
          <w:spacing w:val="-2"/>
        </w:rPr>
        <w:t xml:space="preserve"> </w:t>
      </w:r>
      <w:r w:rsidR="00426A90" w:rsidRPr="00595625">
        <w:rPr>
          <w:rFonts w:cs="Times New Roman"/>
          <w:spacing w:val="-2"/>
        </w:rPr>
        <w:t xml:space="preserve">include </w:t>
      </w:r>
      <w:r w:rsidR="00764DA1" w:rsidRPr="00595625">
        <w:rPr>
          <w:rFonts w:cs="Times New Roman"/>
          <w:spacing w:val="-2"/>
        </w:rPr>
        <w:t>a mechanism for activating closed captioning and video description capability.</w:t>
      </w:r>
      <w:r w:rsidR="006864C1" w:rsidRPr="00595625">
        <w:rPr>
          <w:rStyle w:val="FootnoteReference"/>
          <w:rFonts w:cs="Times New Roman"/>
          <w:spacing w:val="-2"/>
        </w:rPr>
        <w:footnoteReference w:id="2"/>
      </w:r>
      <w:r w:rsidR="00764DA1" w:rsidRPr="00595625">
        <w:rPr>
          <w:rFonts w:cs="Times New Roman"/>
          <w:spacing w:val="-2"/>
        </w:rPr>
        <w:t xml:space="preserve">  And in </w:t>
      </w:r>
      <w:r w:rsidR="00CD6FAD" w:rsidRPr="00595625">
        <w:rPr>
          <w:rFonts w:cs="Times New Roman"/>
          <w:spacing w:val="-2"/>
        </w:rPr>
        <w:t>s</w:t>
      </w:r>
      <w:r w:rsidR="00764DA1" w:rsidRPr="00595625">
        <w:rPr>
          <w:rFonts w:cs="Times New Roman"/>
          <w:spacing w:val="-2"/>
        </w:rPr>
        <w:t xml:space="preserve">ection 205, it </w:t>
      </w:r>
      <w:r w:rsidR="00426A90" w:rsidRPr="00595625">
        <w:rPr>
          <w:rFonts w:cs="Times New Roman"/>
          <w:spacing w:val="-2"/>
        </w:rPr>
        <w:t xml:space="preserve">required that another set of devices (namely, </w:t>
      </w:r>
      <w:r w:rsidR="00764DA1" w:rsidRPr="00595625">
        <w:rPr>
          <w:rFonts w:cs="Times New Roman"/>
          <w:spacing w:val="-2"/>
        </w:rPr>
        <w:t>navigation devices</w:t>
      </w:r>
      <w:r w:rsidR="00426A90" w:rsidRPr="00595625">
        <w:rPr>
          <w:rFonts w:cs="Times New Roman"/>
          <w:spacing w:val="-2"/>
        </w:rPr>
        <w:t>) include</w:t>
      </w:r>
      <w:r w:rsidR="00764DA1" w:rsidRPr="00595625">
        <w:rPr>
          <w:rFonts w:cs="Times New Roman"/>
          <w:spacing w:val="-2"/>
        </w:rPr>
        <w:t xml:space="preserve"> a mechanism for activating closed captioning capability.</w:t>
      </w:r>
      <w:r w:rsidR="006864C1" w:rsidRPr="00595625">
        <w:rPr>
          <w:rStyle w:val="FootnoteReference"/>
          <w:rFonts w:cs="Times New Roman"/>
          <w:spacing w:val="-2"/>
        </w:rPr>
        <w:footnoteReference w:id="3"/>
      </w:r>
      <w:r w:rsidR="00764DA1" w:rsidRPr="00595625">
        <w:rPr>
          <w:rFonts w:cs="Times New Roman"/>
          <w:spacing w:val="-2"/>
        </w:rPr>
        <w:t xml:space="preserve">  </w:t>
      </w:r>
      <w:r w:rsidR="003478EF" w:rsidRPr="00595625">
        <w:rPr>
          <w:rFonts w:cs="Times New Roman"/>
          <w:spacing w:val="-2"/>
        </w:rPr>
        <w:t>But n</w:t>
      </w:r>
      <w:r w:rsidR="00A51065" w:rsidRPr="00595625">
        <w:rPr>
          <w:rFonts w:cs="Times New Roman"/>
          <w:spacing w:val="-2"/>
        </w:rPr>
        <w:t xml:space="preserve">owhere does the CVAA mention anything about </w:t>
      </w:r>
      <w:r w:rsidR="00426A90" w:rsidRPr="00595625">
        <w:rPr>
          <w:rFonts w:cs="Times New Roman"/>
          <w:spacing w:val="-2"/>
        </w:rPr>
        <w:t xml:space="preserve">devices including </w:t>
      </w:r>
      <w:r w:rsidR="00A51065" w:rsidRPr="00595625">
        <w:rPr>
          <w:rFonts w:cs="Times New Roman"/>
          <w:spacing w:val="-2"/>
        </w:rPr>
        <w:t>a mechanism for activating audible emergency information capability.</w:t>
      </w:r>
      <w:r w:rsidR="00C021A1" w:rsidRPr="00595625">
        <w:rPr>
          <w:rStyle w:val="FootnoteReference"/>
          <w:rFonts w:cs="Times New Roman"/>
          <w:spacing w:val="-2"/>
        </w:rPr>
        <w:footnoteReference w:id="4"/>
      </w:r>
      <w:r w:rsidR="00A51065" w:rsidRPr="00595625">
        <w:rPr>
          <w:rFonts w:cs="Times New Roman"/>
          <w:spacing w:val="-2"/>
        </w:rPr>
        <w:t xml:space="preserve">  The Commission simply </w:t>
      </w:r>
      <w:r w:rsidR="00E01897" w:rsidRPr="00595625">
        <w:rPr>
          <w:rFonts w:cs="Times New Roman"/>
          <w:spacing w:val="-2"/>
        </w:rPr>
        <w:t xml:space="preserve">pulls </w:t>
      </w:r>
      <w:r w:rsidR="00A51065" w:rsidRPr="00595625">
        <w:rPr>
          <w:rFonts w:cs="Times New Roman"/>
          <w:spacing w:val="-2"/>
        </w:rPr>
        <w:t>such</w:t>
      </w:r>
      <w:r w:rsidR="006E3521" w:rsidRPr="00595625">
        <w:rPr>
          <w:rFonts w:cs="Times New Roman"/>
          <w:spacing w:val="-2"/>
        </w:rPr>
        <w:t xml:space="preserve"> a mandate out of </w:t>
      </w:r>
      <w:r w:rsidR="00E01897" w:rsidRPr="00595625">
        <w:rPr>
          <w:rFonts w:cs="Times New Roman"/>
          <w:spacing w:val="-2"/>
        </w:rPr>
        <w:t>thin air</w:t>
      </w:r>
      <w:r w:rsidR="006E3521" w:rsidRPr="00595625">
        <w:rPr>
          <w:rFonts w:cs="Times New Roman"/>
          <w:spacing w:val="-2"/>
        </w:rPr>
        <w:t>.</w:t>
      </w:r>
    </w:p>
    <w:p w14:paraId="6FA120BC" w14:textId="77777777" w:rsidR="00950148" w:rsidRPr="00595625" w:rsidRDefault="00950148" w:rsidP="00950148">
      <w:pPr>
        <w:spacing w:after="0"/>
        <w:ind w:firstLine="720"/>
        <w:rPr>
          <w:rFonts w:cs="Times New Roman"/>
          <w:spacing w:val="-2"/>
        </w:rPr>
      </w:pPr>
    </w:p>
    <w:p w14:paraId="6C7D9308" w14:textId="6AD39199" w:rsidR="00A51065" w:rsidRPr="00595625" w:rsidRDefault="00A51065" w:rsidP="00950148">
      <w:pPr>
        <w:spacing w:after="0"/>
        <w:ind w:firstLine="720"/>
        <w:rPr>
          <w:rFonts w:cs="Times New Roman"/>
          <w:spacing w:val="-2"/>
        </w:rPr>
      </w:pPr>
      <w:r w:rsidRPr="00595625">
        <w:rPr>
          <w:rFonts w:cs="Times New Roman"/>
          <w:spacing w:val="-2"/>
        </w:rPr>
        <w:t xml:space="preserve">To be sure, </w:t>
      </w:r>
      <w:r w:rsidR="003478EF" w:rsidRPr="00595625">
        <w:rPr>
          <w:rFonts w:cs="Times New Roman"/>
          <w:spacing w:val="-2"/>
        </w:rPr>
        <w:t xml:space="preserve">this </w:t>
      </w:r>
      <w:r w:rsidRPr="00595625">
        <w:rPr>
          <w:rFonts w:cs="Times New Roman"/>
          <w:spacing w:val="-2"/>
        </w:rPr>
        <w:t xml:space="preserve">item purports to ground the requirement in </w:t>
      </w:r>
      <w:r w:rsidR="00550BFE" w:rsidRPr="00595625">
        <w:rPr>
          <w:rFonts w:cs="Times New Roman"/>
          <w:spacing w:val="-2"/>
        </w:rPr>
        <w:t>s</w:t>
      </w:r>
      <w:r w:rsidRPr="00595625">
        <w:rPr>
          <w:rFonts w:cs="Times New Roman"/>
          <w:spacing w:val="-2"/>
        </w:rPr>
        <w:t xml:space="preserve">ection 203’s </w:t>
      </w:r>
      <w:r w:rsidR="0018538B" w:rsidRPr="00595625">
        <w:rPr>
          <w:rFonts w:cs="Times New Roman"/>
          <w:spacing w:val="-2"/>
        </w:rPr>
        <w:t xml:space="preserve">language requiring </w:t>
      </w:r>
      <w:r w:rsidR="00E01897" w:rsidRPr="00595625">
        <w:rPr>
          <w:rFonts w:cs="Times New Roman"/>
          <w:spacing w:val="-2"/>
        </w:rPr>
        <w:t xml:space="preserve">an </w:t>
      </w:r>
      <w:r w:rsidR="001470B2" w:rsidRPr="00595625">
        <w:rPr>
          <w:rFonts w:cs="Times New Roman"/>
          <w:spacing w:val="-2"/>
        </w:rPr>
        <w:t xml:space="preserve">apparatus </w:t>
      </w:r>
      <w:r w:rsidR="0018538B" w:rsidRPr="00595625">
        <w:rPr>
          <w:rFonts w:cs="Times New Roman"/>
          <w:spacing w:val="-2"/>
        </w:rPr>
        <w:t>to “have the capability to decode and make available emergency information . . . in a manner that is accessible to individuals who are blind or visually impaired.”</w:t>
      </w:r>
      <w:r w:rsidR="006864C1" w:rsidRPr="00595625">
        <w:rPr>
          <w:rStyle w:val="FootnoteReference"/>
          <w:rFonts w:cs="Times New Roman"/>
          <w:spacing w:val="-2"/>
        </w:rPr>
        <w:footnoteReference w:id="5"/>
      </w:r>
      <w:r w:rsidR="0018538B" w:rsidRPr="00595625">
        <w:rPr>
          <w:rFonts w:cs="Times New Roman"/>
          <w:spacing w:val="-2"/>
        </w:rPr>
        <w:t xml:space="preserve">  </w:t>
      </w:r>
      <w:r w:rsidR="001F58C0" w:rsidRPr="00595625">
        <w:rPr>
          <w:rFonts w:cs="Times New Roman"/>
          <w:spacing w:val="-2"/>
        </w:rPr>
        <w:t>But this claim withers upon further examination.</w:t>
      </w:r>
    </w:p>
    <w:p w14:paraId="1641A69A" w14:textId="77777777" w:rsidR="00950148" w:rsidRPr="00595625" w:rsidRDefault="00950148" w:rsidP="00950148">
      <w:pPr>
        <w:spacing w:after="0"/>
        <w:ind w:firstLine="720"/>
        <w:rPr>
          <w:rFonts w:cs="Times New Roman"/>
          <w:spacing w:val="-2"/>
        </w:rPr>
      </w:pPr>
    </w:p>
    <w:p w14:paraId="287E78EB" w14:textId="49D09B00" w:rsidR="003C70A7" w:rsidRPr="00595625" w:rsidRDefault="001F58C0" w:rsidP="00950148">
      <w:pPr>
        <w:spacing w:after="0"/>
        <w:ind w:firstLine="720"/>
        <w:rPr>
          <w:rFonts w:cs="Times New Roman"/>
          <w:spacing w:val="-2"/>
        </w:rPr>
      </w:pPr>
      <w:r w:rsidRPr="00595625">
        <w:rPr>
          <w:rFonts w:cs="Times New Roman"/>
          <w:i/>
          <w:spacing w:val="-2"/>
        </w:rPr>
        <w:t>First</w:t>
      </w:r>
      <w:r w:rsidRPr="00595625">
        <w:rPr>
          <w:rFonts w:cs="Times New Roman"/>
          <w:spacing w:val="-2"/>
        </w:rPr>
        <w:t>, the Commission’s position is inconsistent with the structure of the CVAA.  Th</w:t>
      </w:r>
      <w:r w:rsidR="00550BFE" w:rsidRPr="00595625">
        <w:rPr>
          <w:rFonts w:cs="Times New Roman"/>
          <w:spacing w:val="-2"/>
        </w:rPr>
        <w:t>at</w:t>
      </w:r>
      <w:r w:rsidRPr="00595625">
        <w:rPr>
          <w:rFonts w:cs="Times New Roman"/>
          <w:spacing w:val="-2"/>
        </w:rPr>
        <w:t xml:space="preserve"> statute has two entire sections, 204 and 205, devoted to how blind and visually impaired individuals interact with </w:t>
      </w:r>
      <w:r w:rsidR="00426A90" w:rsidRPr="00595625">
        <w:rPr>
          <w:rFonts w:cs="Times New Roman"/>
          <w:spacing w:val="-2"/>
        </w:rPr>
        <w:t>devices</w:t>
      </w:r>
      <w:r w:rsidRPr="00595625">
        <w:rPr>
          <w:rFonts w:cs="Times New Roman"/>
          <w:spacing w:val="-2"/>
        </w:rPr>
        <w:t>, such as through on-screen text menus and guides</w:t>
      </w:r>
      <w:r w:rsidR="00ED5167" w:rsidRPr="00595625">
        <w:rPr>
          <w:rFonts w:cs="Times New Roman"/>
          <w:spacing w:val="-2"/>
        </w:rPr>
        <w:t xml:space="preserve"> a</w:t>
      </w:r>
      <w:r w:rsidR="003C70A7" w:rsidRPr="00595625">
        <w:rPr>
          <w:rFonts w:cs="Times New Roman"/>
          <w:spacing w:val="-2"/>
        </w:rPr>
        <w:t>s well as</w:t>
      </w:r>
      <w:r w:rsidR="00ED5167" w:rsidRPr="00595625">
        <w:rPr>
          <w:rFonts w:cs="Times New Roman"/>
          <w:spacing w:val="-2"/>
        </w:rPr>
        <w:t xml:space="preserve"> mechanisms for activating accessibility features</w:t>
      </w:r>
      <w:r w:rsidR="00AF5B2F" w:rsidRPr="00595625">
        <w:rPr>
          <w:rStyle w:val="FootnoteReference"/>
          <w:rFonts w:cs="Times New Roman"/>
          <w:spacing w:val="-2"/>
        </w:rPr>
        <w:footnoteReference w:id="6"/>
      </w:r>
      <w:r w:rsidR="003478EF" w:rsidRPr="00595625">
        <w:rPr>
          <w:rFonts w:cs="Times New Roman"/>
          <w:spacing w:val="-2"/>
        </w:rPr>
        <w:t>—</w:t>
      </w:r>
      <w:r w:rsidR="00170169" w:rsidRPr="00595625">
        <w:rPr>
          <w:rFonts w:cs="Times New Roman"/>
          <w:spacing w:val="-2"/>
        </w:rPr>
        <w:t>provisions, incidentally</w:t>
      </w:r>
      <w:r w:rsidR="00F11E4C" w:rsidRPr="00595625">
        <w:rPr>
          <w:rFonts w:cs="Times New Roman"/>
          <w:spacing w:val="-2"/>
        </w:rPr>
        <w:t>,</w:t>
      </w:r>
      <w:r w:rsidR="00170169" w:rsidRPr="00595625">
        <w:rPr>
          <w:rFonts w:cs="Times New Roman"/>
          <w:spacing w:val="-2"/>
        </w:rPr>
        <w:t xml:space="preserve"> that </w:t>
      </w:r>
      <w:r w:rsidR="00550BFE" w:rsidRPr="00595625">
        <w:rPr>
          <w:rFonts w:cs="Times New Roman"/>
          <w:spacing w:val="-2"/>
        </w:rPr>
        <w:t xml:space="preserve">the </w:t>
      </w:r>
      <w:r w:rsidR="00AF5B2F" w:rsidRPr="00595625">
        <w:rPr>
          <w:rFonts w:cs="Times New Roman"/>
          <w:spacing w:val="-2"/>
        </w:rPr>
        <w:t xml:space="preserve">Commission concedes </w:t>
      </w:r>
      <w:r w:rsidR="00170169" w:rsidRPr="00595625">
        <w:rPr>
          <w:rFonts w:cs="Times New Roman"/>
          <w:spacing w:val="-2"/>
        </w:rPr>
        <w:t>will make it easier for them to activate the secondary audio stream containing emergency information</w:t>
      </w:r>
      <w:r w:rsidRPr="00595625">
        <w:rPr>
          <w:rFonts w:cs="Times New Roman"/>
          <w:spacing w:val="-2"/>
        </w:rPr>
        <w:t>.</w:t>
      </w:r>
      <w:r w:rsidR="00AF5B2F" w:rsidRPr="00595625">
        <w:rPr>
          <w:rStyle w:val="FootnoteReference"/>
          <w:rFonts w:cs="Times New Roman"/>
          <w:spacing w:val="-2"/>
        </w:rPr>
        <w:footnoteReference w:id="7"/>
      </w:r>
      <w:r w:rsidR="00AF5B2F" w:rsidRPr="00595625">
        <w:rPr>
          <w:rFonts w:cs="Times New Roman"/>
          <w:spacing w:val="-2"/>
        </w:rPr>
        <w:t xml:space="preserve"> </w:t>
      </w:r>
      <w:r w:rsidR="00ED5167" w:rsidRPr="00595625">
        <w:rPr>
          <w:rFonts w:cs="Times New Roman"/>
          <w:spacing w:val="-2"/>
        </w:rPr>
        <w:t xml:space="preserve"> </w:t>
      </w:r>
      <w:r w:rsidR="00397421" w:rsidRPr="00595625">
        <w:rPr>
          <w:rFonts w:cs="Times New Roman"/>
          <w:spacing w:val="-2"/>
        </w:rPr>
        <w:t>But those provisions</w:t>
      </w:r>
      <w:r w:rsidR="00ED5167" w:rsidRPr="00595625">
        <w:rPr>
          <w:rFonts w:cs="Times New Roman"/>
          <w:spacing w:val="-2"/>
        </w:rPr>
        <w:t xml:space="preserve"> contain no mandate pertaining to emergency information.  Section 203, by contrast, addresses the capabilities that devices must have, not the means of activating those capabilities.</w:t>
      </w:r>
      <w:r w:rsidR="006864C1" w:rsidRPr="00595625">
        <w:rPr>
          <w:rFonts w:cs="Times New Roman"/>
          <w:spacing w:val="-2"/>
        </w:rPr>
        <w:t xml:space="preserve">  Indeed, the title of the section is “Closed Captioning Decoder and Video Description </w:t>
      </w:r>
      <w:r w:rsidR="006864C1" w:rsidRPr="00595625">
        <w:rPr>
          <w:rFonts w:cs="Times New Roman"/>
          <w:i/>
          <w:spacing w:val="-2"/>
        </w:rPr>
        <w:t>Capability</w:t>
      </w:r>
      <w:r w:rsidR="006864C1" w:rsidRPr="00595625">
        <w:rPr>
          <w:rFonts w:cs="Times New Roman"/>
          <w:spacing w:val="-2"/>
        </w:rPr>
        <w:t>.”</w:t>
      </w:r>
      <w:r w:rsidR="00C021A1" w:rsidRPr="00595625">
        <w:rPr>
          <w:rStyle w:val="FootnoteReference"/>
          <w:rFonts w:cs="Times New Roman"/>
          <w:spacing w:val="-2"/>
        </w:rPr>
        <w:footnoteReference w:id="8"/>
      </w:r>
      <w:r w:rsidR="00ED5167" w:rsidRPr="00595625">
        <w:rPr>
          <w:rFonts w:cs="Times New Roman"/>
          <w:spacing w:val="-2"/>
        </w:rPr>
        <w:t xml:space="preserve">  For example, </w:t>
      </w:r>
      <w:r w:rsidR="00C021A1" w:rsidRPr="00595625">
        <w:rPr>
          <w:rFonts w:cs="Times New Roman"/>
          <w:spacing w:val="-2"/>
        </w:rPr>
        <w:t>section 203</w:t>
      </w:r>
      <w:r w:rsidR="00ED5167" w:rsidRPr="00595625">
        <w:rPr>
          <w:rFonts w:cs="Times New Roman"/>
          <w:spacing w:val="-2"/>
        </w:rPr>
        <w:t xml:space="preserve"> requires </w:t>
      </w:r>
      <w:r w:rsidR="00426A90" w:rsidRPr="00595625">
        <w:rPr>
          <w:rFonts w:cs="Times New Roman"/>
          <w:spacing w:val="-2"/>
        </w:rPr>
        <w:t>devices</w:t>
      </w:r>
      <w:r w:rsidR="00ED5167" w:rsidRPr="00595625">
        <w:rPr>
          <w:rFonts w:cs="Times New Roman"/>
          <w:spacing w:val="-2"/>
        </w:rPr>
        <w:t xml:space="preserve"> to “have the capability to decode and make available the transmission and delivery of video description services.”  The means of activating </w:t>
      </w:r>
      <w:r w:rsidR="003C70A7" w:rsidRPr="00595625">
        <w:rPr>
          <w:rFonts w:cs="Times New Roman"/>
          <w:spacing w:val="-2"/>
        </w:rPr>
        <w:t>that capability</w:t>
      </w:r>
      <w:r w:rsidR="00C021A1" w:rsidRPr="00595625">
        <w:rPr>
          <w:rFonts w:cs="Times New Roman"/>
          <w:spacing w:val="-2"/>
        </w:rPr>
        <w:t>, however,</w:t>
      </w:r>
      <w:r w:rsidR="003C70A7" w:rsidRPr="00595625">
        <w:rPr>
          <w:rFonts w:cs="Times New Roman"/>
          <w:spacing w:val="-2"/>
        </w:rPr>
        <w:t xml:space="preserve"> is addressed in section 204.  Given this critical distinction between the subject matter covered by </w:t>
      </w:r>
      <w:r w:rsidR="00CD6FAD" w:rsidRPr="00595625">
        <w:rPr>
          <w:rFonts w:cs="Times New Roman"/>
          <w:spacing w:val="-2"/>
        </w:rPr>
        <w:t>s</w:t>
      </w:r>
      <w:r w:rsidR="003C70A7" w:rsidRPr="00595625">
        <w:rPr>
          <w:rFonts w:cs="Times New Roman"/>
          <w:spacing w:val="-2"/>
        </w:rPr>
        <w:t xml:space="preserve">ection 203, on one hand, and </w:t>
      </w:r>
      <w:r w:rsidR="00CD6FAD" w:rsidRPr="00595625">
        <w:rPr>
          <w:rFonts w:cs="Times New Roman"/>
          <w:spacing w:val="-2"/>
        </w:rPr>
        <w:t>s</w:t>
      </w:r>
      <w:r w:rsidR="003C70A7" w:rsidRPr="00595625">
        <w:rPr>
          <w:rFonts w:cs="Times New Roman"/>
          <w:spacing w:val="-2"/>
        </w:rPr>
        <w:t xml:space="preserve">ections 204 and 205, on the other, it </w:t>
      </w:r>
      <w:r w:rsidR="003478EF" w:rsidRPr="00595625">
        <w:rPr>
          <w:rFonts w:cs="Times New Roman"/>
          <w:spacing w:val="-2"/>
        </w:rPr>
        <w:t xml:space="preserve">strains credulity to suggest that Congress hid the </w:t>
      </w:r>
      <w:r w:rsidR="003C70A7" w:rsidRPr="00595625">
        <w:rPr>
          <w:rFonts w:cs="Times New Roman"/>
          <w:spacing w:val="-2"/>
        </w:rPr>
        <w:t xml:space="preserve">mechanism </w:t>
      </w:r>
      <w:r w:rsidR="00C021A1" w:rsidRPr="00595625">
        <w:rPr>
          <w:rFonts w:cs="Times New Roman"/>
          <w:spacing w:val="-2"/>
        </w:rPr>
        <w:t xml:space="preserve">for activating audible emergency capability </w:t>
      </w:r>
      <w:r w:rsidR="003C70A7" w:rsidRPr="00595625">
        <w:rPr>
          <w:rFonts w:cs="Times New Roman"/>
          <w:spacing w:val="-2"/>
        </w:rPr>
        <w:t xml:space="preserve">in </w:t>
      </w:r>
      <w:r w:rsidR="00397421" w:rsidRPr="00595625">
        <w:rPr>
          <w:rFonts w:cs="Times New Roman"/>
          <w:spacing w:val="-2"/>
        </w:rPr>
        <w:t>s</w:t>
      </w:r>
      <w:r w:rsidR="003C70A7" w:rsidRPr="00595625">
        <w:rPr>
          <w:rFonts w:cs="Times New Roman"/>
          <w:spacing w:val="-2"/>
        </w:rPr>
        <w:t>ection 203.</w:t>
      </w:r>
    </w:p>
    <w:p w14:paraId="11662261" w14:textId="77777777" w:rsidR="00950148" w:rsidRPr="00595625" w:rsidRDefault="00950148" w:rsidP="00950148">
      <w:pPr>
        <w:spacing w:after="0"/>
        <w:ind w:firstLine="720"/>
        <w:rPr>
          <w:rFonts w:cs="Times New Roman"/>
          <w:spacing w:val="-2"/>
        </w:rPr>
      </w:pPr>
    </w:p>
    <w:p w14:paraId="16F18F23" w14:textId="1696A85D" w:rsidR="00BE2383" w:rsidRPr="00595625" w:rsidRDefault="003C70A7" w:rsidP="00950148">
      <w:pPr>
        <w:spacing w:after="0"/>
        <w:ind w:firstLine="720"/>
        <w:rPr>
          <w:rFonts w:cs="Times New Roman"/>
          <w:spacing w:val="-2"/>
        </w:rPr>
      </w:pPr>
      <w:r w:rsidRPr="00595625">
        <w:rPr>
          <w:rFonts w:cs="Times New Roman"/>
          <w:i/>
          <w:spacing w:val="-2"/>
        </w:rPr>
        <w:t>Second</w:t>
      </w:r>
      <w:r w:rsidRPr="00595625">
        <w:rPr>
          <w:rFonts w:cs="Times New Roman"/>
          <w:spacing w:val="-2"/>
        </w:rPr>
        <w:t xml:space="preserve">, the Commission’s </w:t>
      </w:r>
      <w:r w:rsidR="00C021A1" w:rsidRPr="00595625">
        <w:rPr>
          <w:rFonts w:cs="Times New Roman"/>
          <w:spacing w:val="-2"/>
        </w:rPr>
        <w:t>position</w:t>
      </w:r>
      <w:r w:rsidRPr="00595625">
        <w:rPr>
          <w:rFonts w:cs="Times New Roman"/>
          <w:spacing w:val="-2"/>
        </w:rPr>
        <w:t xml:space="preserve"> conf</w:t>
      </w:r>
      <w:r w:rsidR="002410F6" w:rsidRPr="00595625">
        <w:rPr>
          <w:rFonts w:cs="Times New Roman"/>
          <w:spacing w:val="-2"/>
        </w:rPr>
        <w:t>lates</w:t>
      </w:r>
      <w:r w:rsidRPr="00595625">
        <w:rPr>
          <w:rFonts w:cs="Times New Roman"/>
          <w:spacing w:val="-2"/>
        </w:rPr>
        <w:t xml:space="preserve"> the concept of an accessibility feature wi</w:t>
      </w:r>
      <w:r w:rsidR="00C021A1" w:rsidRPr="00595625">
        <w:rPr>
          <w:rFonts w:cs="Times New Roman"/>
          <w:spacing w:val="-2"/>
        </w:rPr>
        <w:t>th a mechanism for activating that</w:t>
      </w:r>
      <w:r w:rsidRPr="00595625">
        <w:rPr>
          <w:rFonts w:cs="Times New Roman"/>
          <w:spacing w:val="-2"/>
        </w:rPr>
        <w:t xml:space="preserve"> accessibility feature.  Section 203 requires </w:t>
      </w:r>
      <w:r w:rsidR="00426A90" w:rsidRPr="00595625">
        <w:rPr>
          <w:rFonts w:cs="Times New Roman"/>
          <w:spacing w:val="-2"/>
        </w:rPr>
        <w:t>devices</w:t>
      </w:r>
      <w:r w:rsidRPr="00595625">
        <w:rPr>
          <w:rFonts w:cs="Times New Roman"/>
          <w:spacing w:val="-2"/>
        </w:rPr>
        <w:t xml:space="preserve"> to “have the capability to decode and make available emergency information . . . in a manner that is accessible to individuals who are blind or visually impaired.”</w:t>
      </w:r>
      <w:r w:rsidR="00C021A1" w:rsidRPr="00595625">
        <w:rPr>
          <w:rStyle w:val="FootnoteReference"/>
          <w:rFonts w:cs="Times New Roman"/>
          <w:spacing w:val="-2"/>
        </w:rPr>
        <w:footnoteReference w:id="9"/>
      </w:r>
      <w:r w:rsidRPr="00595625">
        <w:rPr>
          <w:rFonts w:cs="Times New Roman"/>
          <w:spacing w:val="-2"/>
        </w:rPr>
        <w:t xml:space="preserve">  And </w:t>
      </w:r>
      <w:r w:rsidR="00F9516C" w:rsidRPr="00595625">
        <w:rPr>
          <w:rFonts w:cs="Times New Roman"/>
          <w:spacing w:val="-2"/>
        </w:rPr>
        <w:t xml:space="preserve">for purposes of the statute, </w:t>
      </w:r>
      <w:r w:rsidRPr="00595625">
        <w:rPr>
          <w:rFonts w:cs="Times New Roman"/>
          <w:spacing w:val="-2"/>
        </w:rPr>
        <w:t xml:space="preserve">emergency information that is presented </w:t>
      </w:r>
      <w:r w:rsidR="00C021A1" w:rsidRPr="00595625">
        <w:rPr>
          <w:rFonts w:cs="Times New Roman"/>
          <w:spacing w:val="-2"/>
        </w:rPr>
        <w:t xml:space="preserve">on a secondary audio stream is made </w:t>
      </w:r>
      <w:r w:rsidRPr="00595625">
        <w:rPr>
          <w:rFonts w:cs="Times New Roman"/>
          <w:spacing w:val="-2"/>
        </w:rPr>
        <w:t xml:space="preserve">accessible to those who are blind or visually impaired </w:t>
      </w:r>
      <w:r w:rsidR="00F11E4C" w:rsidRPr="00595625">
        <w:rPr>
          <w:rFonts w:cs="Times New Roman"/>
          <w:spacing w:val="-2"/>
        </w:rPr>
        <w:t>because it can be heard</w:t>
      </w:r>
      <w:r w:rsidRPr="00595625">
        <w:rPr>
          <w:rFonts w:cs="Times New Roman"/>
          <w:spacing w:val="-2"/>
        </w:rPr>
        <w:t xml:space="preserve">.  </w:t>
      </w:r>
      <w:r w:rsidR="002410F6" w:rsidRPr="00595625">
        <w:rPr>
          <w:rFonts w:cs="Times New Roman"/>
          <w:spacing w:val="-2"/>
        </w:rPr>
        <w:t>The CVAA, however, distinguishes between such an accessibility feature and the mechanism for activating it.  Section 204, for example, states that “control of appropriate built-in apparatus functions” must be “</w:t>
      </w:r>
      <w:r w:rsidR="002410F6" w:rsidRPr="00595625">
        <w:rPr>
          <w:rFonts w:cs="Times New Roman"/>
          <w:i/>
          <w:spacing w:val="-2"/>
        </w:rPr>
        <w:t xml:space="preserve">accessible </w:t>
      </w:r>
      <w:r w:rsidR="002410F6" w:rsidRPr="00595625">
        <w:rPr>
          <w:rFonts w:cs="Times New Roman"/>
          <w:spacing w:val="-2"/>
        </w:rPr>
        <w:t>and usable by individuals who are blind and visually impaired.”</w:t>
      </w:r>
      <w:r w:rsidR="00C021A1" w:rsidRPr="00595625">
        <w:rPr>
          <w:rStyle w:val="FootnoteReference"/>
          <w:rFonts w:cs="Times New Roman"/>
          <w:spacing w:val="-2"/>
        </w:rPr>
        <w:footnoteReference w:id="10"/>
      </w:r>
      <w:r w:rsidR="002410F6" w:rsidRPr="00595625">
        <w:rPr>
          <w:rFonts w:cs="Times New Roman"/>
          <w:spacing w:val="-2"/>
        </w:rPr>
        <w:t xml:space="preserve">  This </w:t>
      </w:r>
      <w:r w:rsidR="000A4F3A" w:rsidRPr="00595625">
        <w:rPr>
          <w:rFonts w:cs="Times New Roman"/>
          <w:spacing w:val="-2"/>
        </w:rPr>
        <w:t xml:space="preserve">might </w:t>
      </w:r>
      <w:r w:rsidR="002410F6" w:rsidRPr="00595625">
        <w:rPr>
          <w:rFonts w:cs="Times New Roman"/>
          <w:spacing w:val="-2"/>
        </w:rPr>
        <w:t xml:space="preserve">mean, </w:t>
      </w:r>
      <w:r w:rsidR="006F48BA" w:rsidRPr="00595625">
        <w:rPr>
          <w:rFonts w:cs="Times New Roman"/>
          <w:spacing w:val="-2"/>
        </w:rPr>
        <w:t>among other things</w:t>
      </w:r>
      <w:r w:rsidR="002410F6" w:rsidRPr="00595625">
        <w:rPr>
          <w:rFonts w:cs="Times New Roman"/>
          <w:spacing w:val="-2"/>
        </w:rPr>
        <w:t xml:space="preserve">, that you </w:t>
      </w:r>
      <w:r w:rsidR="001470B2" w:rsidRPr="00595625">
        <w:rPr>
          <w:rFonts w:cs="Times New Roman"/>
          <w:spacing w:val="-2"/>
        </w:rPr>
        <w:t>can</w:t>
      </w:r>
      <w:r w:rsidR="002410F6" w:rsidRPr="00595625">
        <w:rPr>
          <w:rFonts w:cs="Times New Roman"/>
          <w:spacing w:val="-2"/>
        </w:rPr>
        <w:t xml:space="preserve"> control the </w:t>
      </w:r>
      <w:r w:rsidR="00426A90" w:rsidRPr="00595625">
        <w:rPr>
          <w:rFonts w:cs="Times New Roman"/>
          <w:spacing w:val="-2"/>
        </w:rPr>
        <w:t>device’s</w:t>
      </w:r>
      <w:r w:rsidR="002410F6" w:rsidRPr="00595625">
        <w:rPr>
          <w:rFonts w:cs="Times New Roman"/>
          <w:spacing w:val="-2"/>
        </w:rPr>
        <w:t xml:space="preserve"> functions through voice commands.  Section 204 then goes on to say that a</w:t>
      </w:r>
      <w:r w:rsidR="00426A90" w:rsidRPr="00595625">
        <w:rPr>
          <w:rFonts w:cs="Times New Roman"/>
          <w:spacing w:val="-2"/>
        </w:rPr>
        <w:t xml:space="preserve"> device </w:t>
      </w:r>
      <w:r w:rsidR="002410F6" w:rsidRPr="00595625">
        <w:rPr>
          <w:rFonts w:cs="Times New Roman"/>
          <w:spacing w:val="-2"/>
        </w:rPr>
        <w:t>must include a mechanism reasonably comparable to a button, key, or icon, for activating closed captioning an</w:t>
      </w:r>
      <w:r w:rsidR="006E3521" w:rsidRPr="00595625">
        <w:rPr>
          <w:rFonts w:cs="Times New Roman"/>
          <w:spacing w:val="-2"/>
        </w:rPr>
        <w:t xml:space="preserve">d video description features.  </w:t>
      </w:r>
      <w:r w:rsidR="002410F6" w:rsidRPr="00595625">
        <w:rPr>
          <w:rFonts w:cs="Times New Roman"/>
          <w:spacing w:val="-2"/>
        </w:rPr>
        <w:t xml:space="preserve">But such a requirement would be superfluous if the mandate to make built-in functions “accessible” empowered the Commission to mandate a mechanism reasonably comparable to a button, key, or icon for </w:t>
      </w:r>
      <w:r w:rsidR="007712A2" w:rsidRPr="00595625">
        <w:rPr>
          <w:rFonts w:cs="Times New Roman"/>
          <w:spacing w:val="-2"/>
        </w:rPr>
        <w:t xml:space="preserve">activating those features.  Again, the accessibility feature </w:t>
      </w:r>
      <w:r w:rsidR="00F11E4C" w:rsidRPr="00595625">
        <w:rPr>
          <w:rFonts w:cs="Times New Roman"/>
          <w:spacing w:val="-2"/>
        </w:rPr>
        <w:t xml:space="preserve">itself </w:t>
      </w:r>
      <w:r w:rsidR="007712A2" w:rsidRPr="00595625">
        <w:rPr>
          <w:rFonts w:cs="Times New Roman"/>
          <w:spacing w:val="-2"/>
        </w:rPr>
        <w:t>and the mechanism for activating the accessibility feature are analytically distinct</w:t>
      </w:r>
      <w:r w:rsidR="002410F6" w:rsidRPr="00595625">
        <w:rPr>
          <w:rFonts w:cs="Times New Roman"/>
          <w:spacing w:val="-2"/>
        </w:rPr>
        <w:t xml:space="preserve"> </w:t>
      </w:r>
      <w:r w:rsidR="007712A2" w:rsidRPr="00595625">
        <w:rPr>
          <w:rFonts w:cs="Times New Roman"/>
          <w:spacing w:val="-2"/>
        </w:rPr>
        <w:t>under the statute.</w:t>
      </w:r>
      <w:r w:rsidR="00783174" w:rsidRPr="00595625">
        <w:rPr>
          <w:rStyle w:val="FootnoteReference"/>
          <w:rFonts w:cs="Times New Roman"/>
          <w:spacing w:val="-2"/>
        </w:rPr>
        <w:footnoteReference w:id="11"/>
      </w:r>
    </w:p>
    <w:p w14:paraId="76E6DAD5" w14:textId="77777777" w:rsidR="00950148" w:rsidRPr="00595625" w:rsidRDefault="00950148" w:rsidP="00950148">
      <w:pPr>
        <w:spacing w:after="0"/>
        <w:ind w:firstLine="720"/>
        <w:rPr>
          <w:rFonts w:cs="Times New Roman"/>
          <w:spacing w:val="-2"/>
        </w:rPr>
      </w:pPr>
    </w:p>
    <w:p w14:paraId="4C0CFB4B" w14:textId="695FD00E" w:rsidR="001F58C0" w:rsidRPr="00595625" w:rsidRDefault="007712A2" w:rsidP="00950148">
      <w:pPr>
        <w:spacing w:after="0"/>
        <w:ind w:firstLine="720"/>
        <w:rPr>
          <w:rFonts w:cs="Times New Roman"/>
          <w:spacing w:val="-2"/>
        </w:rPr>
      </w:pPr>
      <w:r w:rsidRPr="00595625">
        <w:rPr>
          <w:rFonts w:cs="Times New Roman"/>
          <w:i/>
          <w:spacing w:val="-2"/>
        </w:rPr>
        <w:t>Third</w:t>
      </w:r>
      <w:r w:rsidRPr="00595625">
        <w:rPr>
          <w:rFonts w:cs="Times New Roman"/>
          <w:spacing w:val="-2"/>
        </w:rPr>
        <w:t xml:space="preserve">, the Commission’s action today eviscerates the statutory distinction between the mechanism reasonably comparable to a button, key, or icon </w:t>
      </w:r>
      <w:r w:rsidR="00C021A1" w:rsidRPr="00595625">
        <w:rPr>
          <w:rFonts w:cs="Times New Roman"/>
          <w:spacing w:val="-2"/>
        </w:rPr>
        <w:t>required by</w:t>
      </w:r>
      <w:r w:rsidRPr="00595625">
        <w:rPr>
          <w:rFonts w:cs="Times New Roman"/>
          <w:spacing w:val="-2"/>
        </w:rPr>
        <w:t xml:space="preserve"> section 204 and the one </w:t>
      </w:r>
      <w:r w:rsidR="00C021A1" w:rsidRPr="00595625">
        <w:rPr>
          <w:rFonts w:cs="Times New Roman"/>
          <w:spacing w:val="-2"/>
        </w:rPr>
        <w:t>mandated</w:t>
      </w:r>
      <w:r w:rsidRPr="00595625">
        <w:rPr>
          <w:rFonts w:cs="Times New Roman"/>
          <w:spacing w:val="-2"/>
        </w:rPr>
        <w:t xml:space="preserve"> in section 205.  Recall that the mechanism mandated by section 204 must activate closed captioning and video description </w:t>
      </w:r>
      <w:r w:rsidR="00F11E4C" w:rsidRPr="00595625">
        <w:rPr>
          <w:rFonts w:cs="Times New Roman"/>
          <w:spacing w:val="-2"/>
        </w:rPr>
        <w:t>capabilities</w:t>
      </w:r>
      <w:r w:rsidRPr="00595625">
        <w:rPr>
          <w:rFonts w:cs="Times New Roman"/>
          <w:spacing w:val="-2"/>
        </w:rPr>
        <w:t xml:space="preserve">.  Therefore, requiring a mechanism reasonably comparable to a button, key, or icon to activate the secondary audio stream for emergency information for </w:t>
      </w:r>
      <w:r w:rsidR="00426A90" w:rsidRPr="00595625">
        <w:rPr>
          <w:rFonts w:cs="Times New Roman"/>
          <w:spacing w:val="-2"/>
        </w:rPr>
        <w:t>devices</w:t>
      </w:r>
      <w:r w:rsidRPr="00595625">
        <w:rPr>
          <w:rFonts w:cs="Times New Roman"/>
          <w:spacing w:val="-2"/>
        </w:rPr>
        <w:t xml:space="preserve"> covered by section 204 is </w:t>
      </w:r>
      <w:r w:rsidR="00C021A1" w:rsidRPr="00595625">
        <w:rPr>
          <w:rFonts w:cs="Times New Roman"/>
          <w:spacing w:val="-2"/>
        </w:rPr>
        <w:t>duplicative.  This is because the</w:t>
      </w:r>
      <w:r w:rsidRPr="00595625">
        <w:rPr>
          <w:rFonts w:cs="Times New Roman"/>
          <w:spacing w:val="-2"/>
        </w:rPr>
        <w:t xml:space="preserve"> mechanism that will activate video description </w:t>
      </w:r>
      <w:r w:rsidR="00C021A1" w:rsidRPr="00595625">
        <w:rPr>
          <w:rFonts w:cs="Times New Roman"/>
          <w:spacing w:val="-2"/>
        </w:rPr>
        <w:t>capability</w:t>
      </w:r>
      <w:r w:rsidRPr="00595625">
        <w:rPr>
          <w:rFonts w:cs="Times New Roman"/>
          <w:spacing w:val="-2"/>
        </w:rPr>
        <w:t xml:space="preserve"> will also activate the emergency information </w:t>
      </w:r>
      <w:r w:rsidR="00F11E4C" w:rsidRPr="00595625">
        <w:rPr>
          <w:rFonts w:cs="Times New Roman"/>
          <w:spacing w:val="-2"/>
        </w:rPr>
        <w:t xml:space="preserve">capability </w:t>
      </w:r>
      <w:r w:rsidRPr="00595625">
        <w:rPr>
          <w:rFonts w:cs="Times New Roman"/>
          <w:spacing w:val="-2"/>
        </w:rPr>
        <w:t xml:space="preserve">since both are found on the same secondary audio stream.  However, today’s item will have an impact on </w:t>
      </w:r>
      <w:r w:rsidR="00426A90" w:rsidRPr="00595625">
        <w:rPr>
          <w:rFonts w:cs="Times New Roman"/>
          <w:spacing w:val="-2"/>
        </w:rPr>
        <w:t xml:space="preserve">the separate set of </w:t>
      </w:r>
      <w:r w:rsidRPr="00595625">
        <w:rPr>
          <w:rFonts w:cs="Times New Roman"/>
          <w:spacing w:val="-2"/>
        </w:rPr>
        <w:t>devices covered by section 205.  This is because section 205 mandates that navigation devices have a mechanism reasonably comparable to a button, key, or icon for activating closed captioning</w:t>
      </w:r>
      <w:r w:rsidR="00C021A1" w:rsidRPr="00595625">
        <w:rPr>
          <w:rFonts w:cs="Times New Roman"/>
          <w:spacing w:val="-2"/>
        </w:rPr>
        <w:t xml:space="preserve"> capability</w:t>
      </w:r>
      <w:r w:rsidRPr="00595625">
        <w:rPr>
          <w:rFonts w:cs="Times New Roman"/>
          <w:spacing w:val="-2"/>
        </w:rPr>
        <w:t xml:space="preserve">, </w:t>
      </w:r>
      <w:r w:rsidRPr="00595625">
        <w:rPr>
          <w:rFonts w:cs="Times New Roman"/>
          <w:i/>
          <w:spacing w:val="-2"/>
        </w:rPr>
        <w:t>but not video description</w:t>
      </w:r>
      <w:r w:rsidRPr="00595625">
        <w:rPr>
          <w:rFonts w:cs="Times New Roman"/>
          <w:spacing w:val="-2"/>
        </w:rPr>
        <w:t xml:space="preserve">.  </w:t>
      </w:r>
      <w:r w:rsidR="00D13EBE" w:rsidRPr="00595625">
        <w:rPr>
          <w:rFonts w:cs="Times New Roman"/>
          <w:spacing w:val="-2"/>
        </w:rPr>
        <w:t>F</w:t>
      </w:r>
      <w:r w:rsidRPr="00595625">
        <w:rPr>
          <w:rFonts w:cs="Times New Roman"/>
          <w:spacing w:val="-2"/>
        </w:rPr>
        <w:t xml:space="preserve">ollowing today’s order, </w:t>
      </w:r>
      <w:r w:rsidR="00D13EBE" w:rsidRPr="00595625">
        <w:rPr>
          <w:rFonts w:cs="Times New Roman"/>
          <w:spacing w:val="-2"/>
        </w:rPr>
        <w:t xml:space="preserve">however, </w:t>
      </w:r>
      <w:r w:rsidRPr="00595625">
        <w:rPr>
          <w:rFonts w:cs="Times New Roman"/>
          <w:spacing w:val="-2"/>
        </w:rPr>
        <w:t>navigation devices will have to include a mechanism for activating the secondary audio stream for emergency information, and it just so happens that this same mechanism will</w:t>
      </w:r>
      <w:r w:rsidR="00F11E4C" w:rsidRPr="00595625">
        <w:rPr>
          <w:rFonts w:cs="Times New Roman"/>
          <w:spacing w:val="-2"/>
        </w:rPr>
        <w:t xml:space="preserve"> also</w:t>
      </w:r>
      <w:r w:rsidRPr="00595625">
        <w:rPr>
          <w:rFonts w:cs="Times New Roman"/>
          <w:spacing w:val="-2"/>
        </w:rPr>
        <w:t xml:space="preserve"> be able to activate the video description feature found on that same secondary audio stream.  </w:t>
      </w:r>
      <w:r w:rsidR="00D13EBE" w:rsidRPr="00595625">
        <w:rPr>
          <w:rFonts w:cs="Times New Roman"/>
          <w:spacing w:val="-2"/>
        </w:rPr>
        <w:t xml:space="preserve">The Commission is thus </w:t>
      </w:r>
      <w:r w:rsidR="00927B0B" w:rsidRPr="00595625">
        <w:rPr>
          <w:rFonts w:cs="Times New Roman"/>
          <w:spacing w:val="-2"/>
        </w:rPr>
        <w:t xml:space="preserve">effectively </w:t>
      </w:r>
      <w:r w:rsidR="00D13EBE" w:rsidRPr="00595625">
        <w:rPr>
          <w:rFonts w:cs="Times New Roman"/>
          <w:spacing w:val="-2"/>
        </w:rPr>
        <w:t>transform</w:t>
      </w:r>
      <w:r w:rsidR="00927B0B" w:rsidRPr="00595625">
        <w:rPr>
          <w:rFonts w:cs="Times New Roman"/>
          <w:spacing w:val="-2"/>
        </w:rPr>
        <w:t>ing</w:t>
      </w:r>
      <w:r w:rsidR="00D13EBE" w:rsidRPr="00595625">
        <w:rPr>
          <w:rFonts w:cs="Times New Roman"/>
          <w:spacing w:val="-2"/>
        </w:rPr>
        <w:t xml:space="preserve"> the mandate found in section 205</w:t>
      </w:r>
      <w:r w:rsidR="00C021A1" w:rsidRPr="00595625">
        <w:rPr>
          <w:rFonts w:cs="Times New Roman"/>
          <w:spacing w:val="-2"/>
        </w:rPr>
        <w:t xml:space="preserve"> </w:t>
      </w:r>
      <w:r w:rsidR="00D13EBE" w:rsidRPr="00595625">
        <w:rPr>
          <w:rFonts w:cs="Times New Roman"/>
          <w:spacing w:val="-2"/>
        </w:rPr>
        <w:t xml:space="preserve">to mirror </w:t>
      </w:r>
      <w:r w:rsidR="00927B0B" w:rsidRPr="00595625">
        <w:rPr>
          <w:rFonts w:cs="Times New Roman"/>
          <w:spacing w:val="-2"/>
        </w:rPr>
        <w:t xml:space="preserve">that of </w:t>
      </w:r>
      <w:r w:rsidR="00D13EBE" w:rsidRPr="00595625">
        <w:rPr>
          <w:rFonts w:cs="Times New Roman"/>
          <w:spacing w:val="-2"/>
        </w:rPr>
        <w:t>section 204</w:t>
      </w:r>
      <w:r w:rsidR="00F11E4C" w:rsidRPr="00595625">
        <w:rPr>
          <w:rFonts w:cs="Times New Roman"/>
          <w:spacing w:val="-2"/>
        </w:rPr>
        <w:t>,</w:t>
      </w:r>
      <w:r w:rsidR="00D13EBE" w:rsidRPr="00595625">
        <w:rPr>
          <w:rFonts w:cs="Times New Roman"/>
          <w:spacing w:val="-2"/>
        </w:rPr>
        <w:t xml:space="preserve"> notwithstanding the different language used in the two statutory provisions.  T</w:t>
      </w:r>
      <w:r w:rsidR="006E3521" w:rsidRPr="00595625">
        <w:rPr>
          <w:rFonts w:cs="Times New Roman"/>
          <w:spacing w:val="-2"/>
        </w:rPr>
        <w:t xml:space="preserve">his, in my view, is unlawful.  </w:t>
      </w:r>
      <w:r w:rsidR="00D13EBE" w:rsidRPr="00595625">
        <w:rPr>
          <w:rFonts w:cs="Times New Roman"/>
          <w:spacing w:val="-2"/>
        </w:rPr>
        <w:t xml:space="preserve">The Commission may not </w:t>
      </w:r>
      <w:r w:rsidR="00927B0B" w:rsidRPr="00595625">
        <w:rPr>
          <w:rFonts w:cs="Times New Roman"/>
          <w:spacing w:val="-2"/>
        </w:rPr>
        <w:t xml:space="preserve">slip through </w:t>
      </w:r>
      <w:r w:rsidR="00D13EBE" w:rsidRPr="00595625">
        <w:rPr>
          <w:rFonts w:cs="Times New Roman"/>
          <w:spacing w:val="-2"/>
        </w:rPr>
        <w:t>the back</w:t>
      </w:r>
      <w:r w:rsidR="00695762" w:rsidRPr="00595625">
        <w:rPr>
          <w:rFonts w:cs="Times New Roman"/>
          <w:spacing w:val="-2"/>
        </w:rPr>
        <w:t xml:space="preserve"> </w:t>
      </w:r>
      <w:r w:rsidR="00D13EBE" w:rsidRPr="00595625">
        <w:rPr>
          <w:rFonts w:cs="Times New Roman"/>
          <w:spacing w:val="-2"/>
        </w:rPr>
        <w:t xml:space="preserve">door what </w:t>
      </w:r>
      <w:r w:rsidR="00927B0B" w:rsidRPr="00595625">
        <w:rPr>
          <w:rFonts w:cs="Times New Roman"/>
          <w:spacing w:val="-2"/>
        </w:rPr>
        <w:t xml:space="preserve">Congress prevented it </w:t>
      </w:r>
      <w:r w:rsidR="00D13EBE" w:rsidRPr="00595625">
        <w:rPr>
          <w:rFonts w:cs="Times New Roman"/>
          <w:spacing w:val="-2"/>
        </w:rPr>
        <w:t>from</w:t>
      </w:r>
      <w:r w:rsidR="006E3521" w:rsidRPr="00595625">
        <w:rPr>
          <w:rFonts w:cs="Times New Roman"/>
          <w:spacing w:val="-2"/>
        </w:rPr>
        <w:t xml:space="preserve"> doing through the front door.</w:t>
      </w:r>
    </w:p>
    <w:p w14:paraId="6AF5E88A" w14:textId="77777777" w:rsidR="00950148" w:rsidRPr="00595625" w:rsidRDefault="00950148" w:rsidP="00950148">
      <w:pPr>
        <w:spacing w:after="0"/>
        <w:ind w:firstLine="720"/>
        <w:rPr>
          <w:rFonts w:cs="Times New Roman"/>
          <w:spacing w:val="-2"/>
        </w:rPr>
      </w:pPr>
    </w:p>
    <w:p w14:paraId="29115453" w14:textId="53BBE881" w:rsidR="00F11E4C" w:rsidRPr="00595625" w:rsidRDefault="00695762" w:rsidP="00950148">
      <w:pPr>
        <w:ind w:firstLine="720"/>
        <w:rPr>
          <w:rFonts w:cs="Times New Roman"/>
          <w:spacing w:val="-2"/>
        </w:rPr>
      </w:pPr>
      <w:r w:rsidRPr="00595625">
        <w:rPr>
          <w:rFonts w:cs="Times New Roman"/>
          <w:spacing w:val="-2"/>
        </w:rPr>
        <w:t xml:space="preserve">Turning from the rules to the Second Further Notice of Proposed Rulemaking, my view is once again </w:t>
      </w:r>
      <w:r w:rsidR="00C021A1" w:rsidRPr="00595625">
        <w:rPr>
          <w:rFonts w:cs="Times New Roman"/>
          <w:spacing w:val="-2"/>
        </w:rPr>
        <w:t>mixed</w:t>
      </w:r>
      <w:r w:rsidRPr="00595625">
        <w:rPr>
          <w:rFonts w:cs="Times New Roman"/>
          <w:spacing w:val="-2"/>
        </w:rPr>
        <w:t xml:space="preserve">.  I support asking for comment on whether the Commission should adopt rules governing how emergency information conveyed on secondary audio streams should be prioritized, and if so, how.  I similarly welcome whether we should reconsider whether our definition of emergency information should include school closings and changes in school bus schedules.  But </w:t>
      </w:r>
      <w:r w:rsidR="00927B0B" w:rsidRPr="00595625">
        <w:rPr>
          <w:rFonts w:cs="Times New Roman"/>
          <w:spacing w:val="-2"/>
        </w:rPr>
        <w:t xml:space="preserve">I respectfully dissent </w:t>
      </w:r>
      <w:r w:rsidRPr="00595625">
        <w:rPr>
          <w:rFonts w:cs="Times New Roman"/>
          <w:spacing w:val="-2"/>
        </w:rPr>
        <w:t xml:space="preserve">when it comes to seeking comment on whether we should require MVPDs to </w:t>
      </w:r>
      <w:r w:rsidR="00927B0B" w:rsidRPr="00595625">
        <w:rPr>
          <w:rFonts w:cs="Times New Roman"/>
          <w:spacing w:val="-2"/>
        </w:rPr>
        <w:t xml:space="preserve">supply </w:t>
      </w:r>
      <w:r w:rsidRPr="00595625">
        <w:rPr>
          <w:rFonts w:cs="Times New Roman"/>
          <w:spacing w:val="-2"/>
        </w:rPr>
        <w:t xml:space="preserve">customers with navigation devices that contain </w:t>
      </w:r>
      <w:r w:rsidR="00EA6430" w:rsidRPr="00595625">
        <w:rPr>
          <w:rFonts w:cs="Times New Roman"/>
          <w:spacing w:val="-2"/>
        </w:rPr>
        <w:t xml:space="preserve">a mechanism reasonably comparable to a button, key, or icon for accessing emergency information on the secondary audio stream and </w:t>
      </w:r>
      <w:r w:rsidR="00E01897" w:rsidRPr="00595625">
        <w:rPr>
          <w:rFonts w:cs="Times New Roman"/>
          <w:spacing w:val="-2"/>
        </w:rPr>
        <w:t xml:space="preserve">if </w:t>
      </w:r>
      <w:r w:rsidR="00EA6430" w:rsidRPr="00595625">
        <w:rPr>
          <w:rFonts w:cs="Times New Roman"/>
          <w:spacing w:val="-2"/>
        </w:rPr>
        <w:t xml:space="preserve">we should require MVPDs </w:t>
      </w:r>
      <w:r w:rsidR="00C021A1" w:rsidRPr="00595625">
        <w:rPr>
          <w:rFonts w:cs="Times New Roman"/>
          <w:spacing w:val="-2"/>
        </w:rPr>
        <w:t>to provide such a mechanism when</w:t>
      </w:r>
      <w:r w:rsidR="00EA6430" w:rsidRPr="00595625">
        <w:rPr>
          <w:rFonts w:cs="Times New Roman"/>
          <w:spacing w:val="-2"/>
        </w:rPr>
        <w:t xml:space="preserve"> they permit subscribers to view linear programming on tablets, smartphones, and similar devices.  For the reasons stated above, I cannot agree with </w:t>
      </w:r>
      <w:r w:rsidR="00394161" w:rsidRPr="00595625">
        <w:rPr>
          <w:rFonts w:cs="Times New Roman"/>
          <w:spacing w:val="-2"/>
        </w:rPr>
        <w:t xml:space="preserve">the </w:t>
      </w:r>
      <w:r w:rsidR="00914F12" w:rsidRPr="00595625">
        <w:rPr>
          <w:rFonts w:cs="Times New Roman"/>
          <w:spacing w:val="-2"/>
        </w:rPr>
        <w:t xml:space="preserve">item’s </w:t>
      </w:r>
      <w:r w:rsidR="00EA6430" w:rsidRPr="00595625">
        <w:rPr>
          <w:rFonts w:cs="Times New Roman"/>
          <w:spacing w:val="-2"/>
        </w:rPr>
        <w:t>claim that the Commission has the legal authori</w:t>
      </w:r>
      <w:r w:rsidR="006E3521" w:rsidRPr="00595625">
        <w:rPr>
          <w:rFonts w:cs="Times New Roman"/>
          <w:spacing w:val="-2"/>
        </w:rPr>
        <w:t>ty to implement such mandates.</w:t>
      </w:r>
    </w:p>
    <w:sectPr w:rsidR="00F11E4C" w:rsidRPr="005956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3975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306E8" w14:textId="77777777" w:rsidR="00E4593F" w:rsidRDefault="00E4593F" w:rsidP="00AE16ED">
      <w:pPr>
        <w:spacing w:after="0"/>
      </w:pPr>
      <w:r>
        <w:separator/>
      </w:r>
    </w:p>
  </w:endnote>
  <w:endnote w:type="continuationSeparator" w:id="0">
    <w:p w14:paraId="4307A59D" w14:textId="77777777" w:rsidR="00E4593F" w:rsidRDefault="00E4593F" w:rsidP="00AE16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C296" w14:textId="77777777" w:rsidR="0079314B" w:rsidRDefault="00793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0532" w14:textId="77777777" w:rsidR="0079314B" w:rsidRDefault="007931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675D" w14:textId="77777777" w:rsidR="0079314B" w:rsidRDefault="0079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EA30C" w14:textId="77777777" w:rsidR="00E4593F" w:rsidRDefault="00E4593F" w:rsidP="00AE16ED">
      <w:pPr>
        <w:spacing w:after="0"/>
      </w:pPr>
      <w:r>
        <w:separator/>
      </w:r>
    </w:p>
  </w:footnote>
  <w:footnote w:type="continuationSeparator" w:id="0">
    <w:p w14:paraId="6C87BD12" w14:textId="77777777" w:rsidR="00E4593F" w:rsidRDefault="00E4593F" w:rsidP="00AE16ED">
      <w:pPr>
        <w:spacing w:after="0"/>
      </w:pPr>
      <w:r>
        <w:continuationSeparator/>
      </w:r>
    </w:p>
  </w:footnote>
  <w:footnote w:id="1">
    <w:p w14:paraId="047BD9F0" w14:textId="4E313A19" w:rsidR="00272D87" w:rsidRPr="006E3521" w:rsidRDefault="00272D87" w:rsidP="006E3521">
      <w:pPr>
        <w:pStyle w:val="FootnoteText"/>
        <w:spacing w:after="120"/>
        <w:rPr>
          <w:rFonts w:cs="Times New Roman"/>
        </w:rPr>
      </w:pPr>
      <w:r w:rsidRPr="006E3521">
        <w:rPr>
          <w:rStyle w:val="FootnoteReference"/>
          <w:rFonts w:cs="Times New Roman"/>
        </w:rPr>
        <w:footnoteRef/>
      </w:r>
      <w:r w:rsidRPr="006E3521">
        <w:rPr>
          <w:rFonts w:cs="Times New Roman"/>
          <w:i/>
        </w:rPr>
        <w:t xml:space="preserve"> Accessible Emergency Information, and Apparatus Requirements for Emergency Information and Video Description:  Implementation of the Twenty-First Century Communications and Video Accessibility Act of 2010</w:t>
      </w:r>
      <w:r w:rsidRPr="006E3521">
        <w:rPr>
          <w:rFonts w:cs="Times New Roman"/>
        </w:rPr>
        <w:t xml:space="preserve">, MB Docket No. 12-108, Report and Order and Further Notice of Proposed Rulemaking, 28 FCC Rcd 4871, </w:t>
      </w:r>
      <w:r w:rsidR="00D9126C" w:rsidRPr="00183AF5">
        <w:rPr>
          <w:rFonts w:cs="Times New Roman"/>
        </w:rPr>
        <w:t>4971</w:t>
      </w:r>
      <w:r w:rsidRPr="006E3521">
        <w:rPr>
          <w:rFonts w:cs="Times New Roman"/>
        </w:rPr>
        <w:t xml:space="preserve"> (2013) (Statem</w:t>
      </w:r>
      <w:r>
        <w:rPr>
          <w:rFonts w:cs="Times New Roman"/>
        </w:rPr>
        <w:t>ent of Commissioner Ajit Pai).</w:t>
      </w:r>
    </w:p>
  </w:footnote>
  <w:footnote w:id="2">
    <w:p w14:paraId="1E648C07" w14:textId="77777777" w:rsidR="00272D87" w:rsidRPr="006E3521" w:rsidRDefault="00272D87" w:rsidP="006E3521">
      <w:pPr>
        <w:pStyle w:val="FootnoteText"/>
        <w:spacing w:after="120"/>
        <w:rPr>
          <w:rFonts w:cs="Times New Roman"/>
        </w:rPr>
      </w:pPr>
      <w:r w:rsidRPr="006E3521">
        <w:rPr>
          <w:rStyle w:val="FootnoteReference"/>
          <w:rFonts w:cs="Times New Roman"/>
        </w:rPr>
        <w:footnoteRef/>
      </w:r>
      <w:r w:rsidRPr="006E3521">
        <w:rPr>
          <w:rFonts w:cs="Times New Roman"/>
        </w:rPr>
        <w:t xml:space="preserve"> </w:t>
      </w:r>
      <w:r w:rsidRPr="006E3521">
        <w:rPr>
          <w:rFonts w:cs="Times New Roman"/>
          <w:i/>
        </w:rPr>
        <w:t>See</w:t>
      </w:r>
      <w:r w:rsidRPr="006E3521">
        <w:rPr>
          <w:rFonts w:cs="Times New Roman"/>
        </w:rPr>
        <w:t xml:space="preserve"> 47 U.S.C. § 303(aa)(3).</w:t>
      </w:r>
    </w:p>
  </w:footnote>
  <w:footnote w:id="3">
    <w:p w14:paraId="125CB918" w14:textId="77777777" w:rsidR="00272D87" w:rsidRPr="006E3521" w:rsidRDefault="00272D87" w:rsidP="006E3521">
      <w:pPr>
        <w:pStyle w:val="FootnoteText"/>
        <w:spacing w:after="120"/>
        <w:rPr>
          <w:rFonts w:cs="Times New Roman"/>
        </w:rPr>
      </w:pPr>
      <w:r w:rsidRPr="006E3521">
        <w:rPr>
          <w:rStyle w:val="FootnoteReference"/>
          <w:rFonts w:cs="Times New Roman"/>
        </w:rPr>
        <w:footnoteRef/>
      </w:r>
      <w:r w:rsidRPr="006E3521">
        <w:rPr>
          <w:rFonts w:cs="Times New Roman"/>
        </w:rPr>
        <w:t xml:space="preserve"> </w:t>
      </w:r>
      <w:r w:rsidRPr="006E3521">
        <w:rPr>
          <w:rFonts w:cs="Times New Roman"/>
          <w:i/>
        </w:rPr>
        <w:t>See</w:t>
      </w:r>
      <w:r w:rsidRPr="006E3521">
        <w:rPr>
          <w:rFonts w:cs="Times New Roman"/>
        </w:rPr>
        <w:t xml:space="preserve"> 47 U.S.C. § 303(bb)(2).</w:t>
      </w:r>
    </w:p>
  </w:footnote>
  <w:footnote w:id="4">
    <w:p w14:paraId="0A358B50" w14:textId="77777777" w:rsidR="00272D87" w:rsidRPr="006E3521" w:rsidRDefault="00272D87" w:rsidP="006E3521">
      <w:pPr>
        <w:pStyle w:val="FootnoteText"/>
        <w:spacing w:after="120"/>
        <w:rPr>
          <w:rFonts w:cs="Times New Roman"/>
        </w:rPr>
      </w:pPr>
      <w:r w:rsidRPr="006E3521">
        <w:rPr>
          <w:rStyle w:val="FootnoteReference"/>
          <w:rFonts w:cs="Times New Roman"/>
        </w:rPr>
        <w:footnoteRef/>
      </w:r>
      <w:r w:rsidRPr="006E3521">
        <w:rPr>
          <w:rFonts w:cs="Times New Roman"/>
        </w:rPr>
        <w:t xml:space="preserve"> </w:t>
      </w:r>
      <w:r w:rsidRPr="006E3521">
        <w:rPr>
          <w:rFonts w:cs="Times New Roman"/>
          <w:i/>
        </w:rPr>
        <w:t>See EchoStar Satellite L.L.C. v. FCC</w:t>
      </w:r>
      <w:r w:rsidRPr="006E3521">
        <w:rPr>
          <w:rFonts w:cs="Times New Roman"/>
        </w:rPr>
        <w:t xml:space="preserve">, 704 F.3d 992, 999 &amp; n.5 (D.C. Cir. 2013) (discussing the </w:t>
      </w:r>
      <w:r w:rsidRPr="006E3521">
        <w:rPr>
          <w:rFonts w:cs="Times New Roman"/>
          <w:i/>
        </w:rPr>
        <w:t>expressio unius</w:t>
      </w:r>
      <w:r w:rsidRPr="006E3521">
        <w:rPr>
          <w:rFonts w:cs="Times New Roman"/>
        </w:rPr>
        <w:t xml:space="preserve"> canon of statutory construction, which is “a canon of construction holding that to express or include one thing implies the exclusion of the other, or of the alternative” (</w:t>
      </w:r>
      <w:r w:rsidRPr="006E3521">
        <w:rPr>
          <w:rFonts w:cs="Times New Roman"/>
          <w:i/>
        </w:rPr>
        <w:t>quoting</w:t>
      </w:r>
      <w:r w:rsidRPr="006E3521">
        <w:rPr>
          <w:rFonts w:cs="Times New Roman"/>
        </w:rPr>
        <w:t xml:space="preserve"> BLACK’S LAW DICTIONARY 661 (9th ed. 2009))); </w:t>
      </w:r>
      <w:r w:rsidRPr="006E3521">
        <w:rPr>
          <w:rFonts w:cs="Times New Roman"/>
          <w:i/>
        </w:rPr>
        <w:t>National Ass’n of Broadcasters v. FCC</w:t>
      </w:r>
      <w:r w:rsidRPr="006E3521">
        <w:rPr>
          <w:rFonts w:cs="Times New Roman"/>
        </w:rPr>
        <w:t>, 569 F.3d 416, 421 (D.C. Cir. 2009) (stating “the general presumption that omission is intentional where Congress has referred to something in one subsection but not in another”).</w:t>
      </w:r>
    </w:p>
  </w:footnote>
  <w:footnote w:id="5">
    <w:p w14:paraId="432E3B61" w14:textId="77777777" w:rsidR="00272D87" w:rsidRPr="006E3521" w:rsidRDefault="00272D87" w:rsidP="006E3521">
      <w:pPr>
        <w:pStyle w:val="FootnoteText"/>
        <w:spacing w:after="120"/>
        <w:rPr>
          <w:rFonts w:cs="Times New Roman"/>
        </w:rPr>
      </w:pPr>
      <w:r w:rsidRPr="006E3521">
        <w:rPr>
          <w:rStyle w:val="FootnoteReference"/>
          <w:rFonts w:cs="Times New Roman"/>
        </w:rPr>
        <w:footnoteRef/>
      </w:r>
      <w:r w:rsidRPr="006E3521">
        <w:rPr>
          <w:rFonts w:cs="Times New Roman"/>
        </w:rPr>
        <w:t xml:space="preserve"> </w:t>
      </w:r>
      <w:r w:rsidRPr="006E3521">
        <w:rPr>
          <w:rFonts w:cs="Times New Roman"/>
          <w:i/>
        </w:rPr>
        <w:t>See</w:t>
      </w:r>
      <w:r w:rsidRPr="006E3521">
        <w:rPr>
          <w:rFonts w:cs="Times New Roman"/>
        </w:rPr>
        <w:t xml:space="preserve"> 47 U.S.C. § 303(U)(1)(c).</w:t>
      </w:r>
    </w:p>
  </w:footnote>
  <w:footnote w:id="6">
    <w:p w14:paraId="5FA8BE5F" w14:textId="77777777" w:rsidR="00272D87" w:rsidRPr="006E3521" w:rsidRDefault="00272D87" w:rsidP="006E3521">
      <w:pPr>
        <w:pStyle w:val="FootnoteText"/>
        <w:spacing w:after="120"/>
        <w:rPr>
          <w:rFonts w:cs="Times New Roman"/>
        </w:rPr>
      </w:pPr>
      <w:r w:rsidRPr="006E3521">
        <w:rPr>
          <w:rStyle w:val="FootnoteReference"/>
          <w:rFonts w:cs="Times New Roman"/>
        </w:rPr>
        <w:footnoteRef/>
      </w:r>
      <w:r w:rsidRPr="006E3521">
        <w:rPr>
          <w:rFonts w:cs="Times New Roman"/>
        </w:rPr>
        <w:t xml:space="preserve"> Pub. L. No. 111-260, §§ 204, 205, 124 Stat. 2751 (2010).</w:t>
      </w:r>
    </w:p>
  </w:footnote>
  <w:footnote w:id="7">
    <w:p w14:paraId="679C1CF3" w14:textId="77777777" w:rsidR="00272D87" w:rsidRPr="006E3521" w:rsidRDefault="00272D87" w:rsidP="006E3521">
      <w:pPr>
        <w:pStyle w:val="FootnoteText"/>
        <w:spacing w:after="120"/>
        <w:rPr>
          <w:rFonts w:cs="Times New Roman"/>
        </w:rPr>
      </w:pPr>
      <w:r w:rsidRPr="006E3521">
        <w:rPr>
          <w:rStyle w:val="FootnoteReference"/>
          <w:rFonts w:cs="Times New Roman"/>
        </w:rPr>
        <w:footnoteRef/>
      </w:r>
      <w:r w:rsidRPr="006E3521">
        <w:rPr>
          <w:rFonts w:cs="Times New Roman"/>
        </w:rPr>
        <w:t xml:space="preserve"> </w:t>
      </w:r>
      <w:r w:rsidRPr="006E3521">
        <w:rPr>
          <w:rFonts w:cs="Times New Roman"/>
          <w:i/>
        </w:rPr>
        <w:t>See Second Report and Order and Second Further Notice of Proposed Rulemaking</w:t>
      </w:r>
      <w:r w:rsidRPr="006E3521">
        <w:rPr>
          <w:rFonts w:cs="Times New Roman"/>
        </w:rPr>
        <w:t xml:space="preserve"> at para. 30.</w:t>
      </w:r>
    </w:p>
  </w:footnote>
  <w:footnote w:id="8">
    <w:p w14:paraId="6B0F7955" w14:textId="77777777" w:rsidR="00272D87" w:rsidRPr="006E3521" w:rsidRDefault="00272D87" w:rsidP="006E3521">
      <w:pPr>
        <w:pStyle w:val="FootnoteText"/>
        <w:spacing w:after="120"/>
        <w:rPr>
          <w:rFonts w:cs="Times New Roman"/>
        </w:rPr>
      </w:pPr>
      <w:r w:rsidRPr="006E3521">
        <w:rPr>
          <w:rStyle w:val="FootnoteReference"/>
          <w:rFonts w:cs="Times New Roman"/>
        </w:rPr>
        <w:footnoteRef/>
      </w:r>
      <w:r w:rsidRPr="006E3521">
        <w:rPr>
          <w:rFonts w:cs="Times New Roman"/>
        </w:rPr>
        <w:t xml:space="preserve"> Pub. L. No. 111-260, § 203, 124 Stat. 2751 (2010) (emphasis added). </w:t>
      </w:r>
    </w:p>
  </w:footnote>
  <w:footnote w:id="9">
    <w:p w14:paraId="4BAE90AA" w14:textId="481211F5" w:rsidR="00272D87" w:rsidRPr="006E3521" w:rsidRDefault="00272D87" w:rsidP="006E3521">
      <w:pPr>
        <w:pStyle w:val="FootnoteText"/>
        <w:spacing w:after="120"/>
        <w:rPr>
          <w:rFonts w:cs="Times New Roman"/>
        </w:rPr>
      </w:pPr>
      <w:r w:rsidRPr="006E3521">
        <w:rPr>
          <w:rStyle w:val="FootnoteReference"/>
          <w:rFonts w:cs="Times New Roman"/>
        </w:rPr>
        <w:footnoteRef/>
      </w:r>
      <w:r w:rsidRPr="006E3521">
        <w:rPr>
          <w:rFonts w:cs="Times New Roman"/>
        </w:rPr>
        <w:t xml:space="preserve"> </w:t>
      </w:r>
      <w:r w:rsidR="00394161" w:rsidRPr="00394161">
        <w:rPr>
          <w:rFonts w:cs="Times New Roman"/>
        </w:rPr>
        <w:t>See 47 U.S.C. § 303(U)(1)(c).</w:t>
      </w:r>
    </w:p>
  </w:footnote>
  <w:footnote w:id="10">
    <w:p w14:paraId="02F09B0F" w14:textId="77777777" w:rsidR="00272D87" w:rsidRPr="006E3521" w:rsidRDefault="00272D87" w:rsidP="006E3521">
      <w:pPr>
        <w:pStyle w:val="FootnoteText"/>
        <w:spacing w:after="120"/>
        <w:rPr>
          <w:rFonts w:cs="Times New Roman"/>
        </w:rPr>
      </w:pPr>
      <w:r w:rsidRPr="006E3521">
        <w:rPr>
          <w:rStyle w:val="FootnoteReference"/>
          <w:rFonts w:cs="Times New Roman"/>
        </w:rPr>
        <w:footnoteRef/>
      </w:r>
      <w:r w:rsidRPr="006E3521">
        <w:rPr>
          <w:rFonts w:cs="Times New Roman"/>
        </w:rPr>
        <w:t xml:space="preserve"> 47 U.S.C. § 303(aa)(1) (emphasis added).</w:t>
      </w:r>
    </w:p>
  </w:footnote>
  <w:footnote w:id="11">
    <w:p w14:paraId="637944FF" w14:textId="77777777" w:rsidR="00272D87" w:rsidRPr="006E3521" w:rsidRDefault="00272D87" w:rsidP="006E3521">
      <w:pPr>
        <w:pStyle w:val="FootnoteText"/>
        <w:spacing w:after="120"/>
        <w:rPr>
          <w:rFonts w:cs="Times New Roman"/>
        </w:rPr>
      </w:pPr>
      <w:r w:rsidRPr="006E3521">
        <w:rPr>
          <w:rStyle w:val="FootnoteReference"/>
          <w:rFonts w:cs="Times New Roman"/>
        </w:rPr>
        <w:footnoteRef/>
      </w:r>
      <w:r w:rsidRPr="006E3521">
        <w:rPr>
          <w:rFonts w:cs="Times New Roman"/>
        </w:rPr>
        <w:t xml:space="preserve"> To be sure, the Commission contends that Congress might not have been aware of the need for there to be a mechanism for activating emergency information capability because the Commission could have chosen to require emergency information to be audible on the primary audio stream.  </w:t>
      </w:r>
      <w:r w:rsidRPr="006E3521">
        <w:rPr>
          <w:rFonts w:cs="Times New Roman"/>
          <w:i/>
        </w:rPr>
        <w:t>Second Report and Order and Second Further Notice of Proposed Rulemaking</w:t>
      </w:r>
      <w:r w:rsidRPr="006E3521">
        <w:rPr>
          <w:rFonts w:cs="Times New Roman"/>
        </w:rPr>
        <w:t xml:space="preserve"> at para. 29.  But the Commission marshals no evidence in support of its fanciful theory</w:t>
      </w:r>
      <w:r>
        <w:rPr>
          <w:rFonts w:cs="Times New Roman"/>
        </w:rPr>
        <w:t>,</w:t>
      </w:r>
      <w:r w:rsidRPr="006E3521">
        <w:rPr>
          <w:rFonts w:cs="Times New Roman"/>
        </w:rPr>
        <w:t xml:space="preserve"> and the idea of requiring emergency information to be audible on the primary audio stream, where it would interrupt programming, was, in fact, never seriously </w:t>
      </w:r>
      <w:r>
        <w:rPr>
          <w:rFonts w:cs="Times New Roman"/>
        </w:rPr>
        <w:t>considered by the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2BFE" w14:textId="77777777" w:rsidR="0079314B" w:rsidRDefault="00793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90E4D" w14:textId="77777777" w:rsidR="0079314B" w:rsidRDefault="00793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FA1E" w14:textId="77777777" w:rsidR="0079314B" w:rsidRDefault="0079314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DF"/>
    <w:rsid w:val="0000316A"/>
    <w:rsid w:val="00077304"/>
    <w:rsid w:val="000A4F3A"/>
    <w:rsid w:val="000C382B"/>
    <w:rsid w:val="001023CA"/>
    <w:rsid w:val="001100D9"/>
    <w:rsid w:val="001470B2"/>
    <w:rsid w:val="00170169"/>
    <w:rsid w:val="00180EB1"/>
    <w:rsid w:val="00183AF5"/>
    <w:rsid w:val="0018538B"/>
    <w:rsid w:val="001C3873"/>
    <w:rsid w:val="001F58C0"/>
    <w:rsid w:val="00205822"/>
    <w:rsid w:val="00240527"/>
    <w:rsid w:val="002410F6"/>
    <w:rsid w:val="00272D87"/>
    <w:rsid w:val="00280DB7"/>
    <w:rsid w:val="00282510"/>
    <w:rsid w:val="00286453"/>
    <w:rsid w:val="0029184C"/>
    <w:rsid w:val="00325C0F"/>
    <w:rsid w:val="00340BB7"/>
    <w:rsid w:val="003478EF"/>
    <w:rsid w:val="0035702D"/>
    <w:rsid w:val="003778D6"/>
    <w:rsid w:val="00394161"/>
    <w:rsid w:val="00397421"/>
    <w:rsid w:val="003B403D"/>
    <w:rsid w:val="003C70A7"/>
    <w:rsid w:val="003E273E"/>
    <w:rsid w:val="00426A90"/>
    <w:rsid w:val="00480197"/>
    <w:rsid w:val="00491EFD"/>
    <w:rsid w:val="00497097"/>
    <w:rsid w:val="004B2778"/>
    <w:rsid w:val="004C7808"/>
    <w:rsid w:val="00516159"/>
    <w:rsid w:val="00550BFE"/>
    <w:rsid w:val="00555760"/>
    <w:rsid w:val="00572751"/>
    <w:rsid w:val="00595625"/>
    <w:rsid w:val="005B5E03"/>
    <w:rsid w:val="00604EDF"/>
    <w:rsid w:val="00664529"/>
    <w:rsid w:val="0067727E"/>
    <w:rsid w:val="006808F6"/>
    <w:rsid w:val="006864C1"/>
    <w:rsid w:val="00695762"/>
    <w:rsid w:val="006E3521"/>
    <w:rsid w:val="006F48BA"/>
    <w:rsid w:val="007434E3"/>
    <w:rsid w:val="00764DA1"/>
    <w:rsid w:val="007712A2"/>
    <w:rsid w:val="00783174"/>
    <w:rsid w:val="00783CE6"/>
    <w:rsid w:val="0079314B"/>
    <w:rsid w:val="007B678B"/>
    <w:rsid w:val="007D21AB"/>
    <w:rsid w:val="00830530"/>
    <w:rsid w:val="00843074"/>
    <w:rsid w:val="00843EE0"/>
    <w:rsid w:val="00880553"/>
    <w:rsid w:val="008A4E6B"/>
    <w:rsid w:val="00914F12"/>
    <w:rsid w:val="009270E1"/>
    <w:rsid w:val="00927B0B"/>
    <w:rsid w:val="00950148"/>
    <w:rsid w:val="009545F1"/>
    <w:rsid w:val="00984404"/>
    <w:rsid w:val="009D6A33"/>
    <w:rsid w:val="009E6827"/>
    <w:rsid w:val="009F6C3A"/>
    <w:rsid w:val="00A13440"/>
    <w:rsid w:val="00A51065"/>
    <w:rsid w:val="00AA7302"/>
    <w:rsid w:val="00AB1234"/>
    <w:rsid w:val="00AB402A"/>
    <w:rsid w:val="00AB55A3"/>
    <w:rsid w:val="00AD4C08"/>
    <w:rsid w:val="00AE16ED"/>
    <w:rsid w:val="00AF5B2F"/>
    <w:rsid w:val="00B56EE9"/>
    <w:rsid w:val="00B62CB6"/>
    <w:rsid w:val="00B65DD0"/>
    <w:rsid w:val="00BC71AA"/>
    <w:rsid w:val="00BE2383"/>
    <w:rsid w:val="00BE7666"/>
    <w:rsid w:val="00C021A1"/>
    <w:rsid w:val="00C7193D"/>
    <w:rsid w:val="00CA286D"/>
    <w:rsid w:val="00CD6FAD"/>
    <w:rsid w:val="00CF3F41"/>
    <w:rsid w:val="00D13EBE"/>
    <w:rsid w:val="00D4640D"/>
    <w:rsid w:val="00D9126C"/>
    <w:rsid w:val="00E01897"/>
    <w:rsid w:val="00E340F4"/>
    <w:rsid w:val="00E4593F"/>
    <w:rsid w:val="00E83582"/>
    <w:rsid w:val="00EA6430"/>
    <w:rsid w:val="00ED5167"/>
    <w:rsid w:val="00F11E4C"/>
    <w:rsid w:val="00F9516C"/>
    <w:rsid w:val="00FC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E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2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16ED"/>
    <w:pPr>
      <w:spacing w:after="0"/>
    </w:pPr>
    <w:rPr>
      <w:sz w:val="20"/>
      <w:szCs w:val="20"/>
    </w:rPr>
  </w:style>
  <w:style w:type="character" w:customStyle="1" w:styleId="FootnoteTextChar">
    <w:name w:val="Footnote Text Char"/>
    <w:basedOn w:val="DefaultParagraphFont"/>
    <w:link w:val="FootnoteText"/>
    <w:uiPriority w:val="99"/>
    <w:semiHidden/>
    <w:rsid w:val="00AE16ED"/>
    <w:rPr>
      <w:sz w:val="20"/>
      <w:szCs w:val="20"/>
    </w:rPr>
  </w:style>
  <w:style w:type="character" w:styleId="FootnoteReference">
    <w:name w:val="footnote reference"/>
    <w:basedOn w:val="DefaultParagraphFont"/>
    <w:uiPriority w:val="99"/>
    <w:semiHidden/>
    <w:unhideWhenUsed/>
    <w:rsid w:val="00AE16ED"/>
    <w:rPr>
      <w:vertAlign w:val="superscript"/>
    </w:rPr>
  </w:style>
  <w:style w:type="paragraph" w:styleId="BalloonText">
    <w:name w:val="Balloon Text"/>
    <w:basedOn w:val="Normal"/>
    <w:link w:val="BalloonTextChar"/>
    <w:uiPriority w:val="99"/>
    <w:semiHidden/>
    <w:unhideWhenUsed/>
    <w:rsid w:val="006808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F6"/>
    <w:rPr>
      <w:rFonts w:ascii="Tahoma" w:hAnsi="Tahoma" w:cs="Tahoma"/>
      <w:sz w:val="16"/>
      <w:szCs w:val="16"/>
    </w:rPr>
  </w:style>
  <w:style w:type="character" w:styleId="CommentReference">
    <w:name w:val="annotation reference"/>
    <w:basedOn w:val="DefaultParagraphFont"/>
    <w:uiPriority w:val="99"/>
    <w:semiHidden/>
    <w:unhideWhenUsed/>
    <w:rsid w:val="00325C0F"/>
    <w:rPr>
      <w:sz w:val="16"/>
      <w:szCs w:val="16"/>
    </w:rPr>
  </w:style>
  <w:style w:type="paragraph" w:styleId="CommentText">
    <w:name w:val="annotation text"/>
    <w:basedOn w:val="Normal"/>
    <w:link w:val="CommentTextChar"/>
    <w:uiPriority w:val="99"/>
    <w:semiHidden/>
    <w:unhideWhenUsed/>
    <w:rsid w:val="00325C0F"/>
    <w:rPr>
      <w:sz w:val="20"/>
      <w:szCs w:val="20"/>
    </w:rPr>
  </w:style>
  <w:style w:type="character" w:customStyle="1" w:styleId="CommentTextChar">
    <w:name w:val="Comment Text Char"/>
    <w:basedOn w:val="DefaultParagraphFont"/>
    <w:link w:val="CommentText"/>
    <w:uiPriority w:val="99"/>
    <w:semiHidden/>
    <w:rsid w:val="00325C0F"/>
    <w:rPr>
      <w:sz w:val="20"/>
      <w:szCs w:val="20"/>
    </w:rPr>
  </w:style>
  <w:style w:type="paragraph" w:styleId="CommentSubject">
    <w:name w:val="annotation subject"/>
    <w:basedOn w:val="CommentText"/>
    <w:next w:val="CommentText"/>
    <w:link w:val="CommentSubjectChar"/>
    <w:uiPriority w:val="99"/>
    <w:semiHidden/>
    <w:unhideWhenUsed/>
    <w:rsid w:val="00325C0F"/>
    <w:rPr>
      <w:b/>
      <w:bCs/>
    </w:rPr>
  </w:style>
  <w:style w:type="character" w:customStyle="1" w:styleId="CommentSubjectChar">
    <w:name w:val="Comment Subject Char"/>
    <w:basedOn w:val="CommentTextChar"/>
    <w:link w:val="CommentSubject"/>
    <w:uiPriority w:val="99"/>
    <w:semiHidden/>
    <w:rsid w:val="00325C0F"/>
    <w:rPr>
      <w:b/>
      <w:bCs/>
      <w:sz w:val="20"/>
      <w:szCs w:val="20"/>
    </w:rPr>
  </w:style>
  <w:style w:type="paragraph" w:styleId="Header">
    <w:name w:val="header"/>
    <w:basedOn w:val="Normal"/>
    <w:link w:val="HeaderChar"/>
    <w:uiPriority w:val="99"/>
    <w:unhideWhenUsed/>
    <w:rsid w:val="0079314B"/>
    <w:pPr>
      <w:tabs>
        <w:tab w:val="center" w:pos="4680"/>
        <w:tab w:val="right" w:pos="9360"/>
      </w:tabs>
      <w:spacing w:after="0"/>
    </w:pPr>
  </w:style>
  <w:style w:type="character" w:customStyle="1" w:styleId="HeaderChar">
    <w:name w:val="Header Char"/>
    <w:basedOn w:val="DefaultParagraphFont"/>
    <w:link w:val="Header"/>
    <w:uiPriority w:val="99"/>
    <w:rsid w:val="0079314B"/>
    <w:rPr>
      <w:rFonts w:ascii="Times New Roman" w:hAnsi="Times New Roman"/>
    </w:rPr>
  </w:style>
  <w:style w:type="paragraph" w:styleId="Footer">
    <w:name w:val="footer"/>
    <w:basedOn w:val="Normal"/>
    <w:link w:val="FooterChar"/>
    <w:uiPriority w:val="99"/>
    <w:unhideWhenUsed/>
    <w:rsid w:val="0079314B"/>
    <w:pPr>
      <w:tabs>
        <w:tab w:val="center" w:pos="4680"/>
        <w:tab w:val="right" w:pos="9360"/>
      </w:tabs>
      <w:spacing w:after="0"/>
    </w:pPr>
  </w:style>
  <w:style w:type="character" w:customStyle="1" w:styleId="FooterChar">
    <w:name w:val="Footer Char"/>
    <w:basedOn w:val="DefaultParagraphFont"/>
    <w:link w:val="Footer"/>
    <w:uiPriority w:val="99"/>
    <w:rsid w:val="0079314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2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16ED"/>
    <w:pPr>
      <w:spacing w:after="0"/>
    </w:pPr>
    <w:rPr>
      <w:sz w:val="20"/>
      <w:szCs w:val="20"/>
    </w:rPr>
  </w:style>
  <w:style w:type="character" w:customStyle="1" w:styleId="FootnoteTextChar">
    <w:name w:val="Footnote Text Char"/>
    <w:basedOn w:val="DefaultParagraphFont"/>
    <w:link w:val="FootnoteText"/>
    <w:uiPriority w:val="99"/>
    <w:semiHidden/>
    <w:rsid w:val="00AE16ED"/>
    <w:rPr>
      <w:sz w:val="20"/>
      <w:szCs w:val="20"/>
    </w:rPr>
  </w:style>
  <w:style w:type="character" w:styleId="FootnoteReference">
    <w:name w:val="footnote reference"/>
    <w:basedOn w:val="DefaultParagraphFont"/>
    <w:uiPriority w:val="99"/>
    <w:semiHidden/>
    <w:unhideWhenUsed/>
    <w:rsid w:val="00AE16ED"/>
    <w:rPr>
      <w:vertAlign w:val="superscript"/>
    </w:rPr>
  </w:style>
  <w:style w:type="paragraph" w:styleId="BalloonText">
    <w:name w:val="Balloon Text"/>
    <w:basedOn w:val="Normal"/>
    <w:link w:val="BalloonTextChar"/>
    <w:uiPriority w:val="99"/>
    <w:semiHidden/>
    <w:unhideWhenUsed/>
    <w:rsid w:val="006808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F6"/>
    <w:rPr>
      <w:rFonts w:ascii="Tahoma" w:hAnsi="Tahoma" w:cs="Tahoma"/>
      <w:sz w:val="16"/>
      <w:szCs w:val="16"/>
    </w:rPr>
  </w:style>
  <w:style w:type="character" w:styleId="CommentReference">
    <w:name w:val="annotation reference"/>
    <w:basedOn w:val="DefaultParagraphFont"/>
    <w:uiPriority w:val="99"/>
    <w:semiHidden/>
    <w:unhideWhenUsed/>
    <w:rsid w:val="00325C0F"/>
    <w:rPr>
      <w:sz w:val="16"/>
      <w:szCs w:val="16"/>
    </w:rPr>
  </w:style>
  <w:style w:type="paragraph" w:styleId="CommentText">
    <w:name w:val="annotation text"/>
    <w:basedOn w:val="Normal"/>
    <w:link w:val="CommentTextChar"/>
    <w:uiPriority w:val="99"/>
    <w:semiHidden/>
    <w:unhideWhenUsed/>
    <w:rsid w:val="00325C0F"/>
    <w:rPr>
      <w:sz w:val="20"/>
      <w:szCs w:val="20"/>
    </w:rPr>
  </w:style>
  <w:style w:type="character" w:customStyle="1" w:styleId="CommentTextChar">
    <w:name w:val="Comment Text Char"/>
    <w:basedOn w:val="DefaultParagraphFont"/>
    <w:link w:val="CommentText"/>
    <w:uiPriority w:val="99"/>
    <w:semiHidden/>
    <w:rsid w:val="00325C0F"/>
    <w:rPr>
      <w:sz w:val="20"/>
      <w:szCs w:val="20"/>
    </w:rPr>
  </w:style>
  <w:style w:type="paragraph" w:styleId="CommentSubject">
    <w:name w:val="annotation subject"/>
    <w:basedOn w:val="CommentText"/>
    <w:next w:val="CommentText"/>
    <w:link w:val="CommentSubjectChar"/>
    <w:uiPriority w:val="99"/>
    <w:semiHidden/>
    <w:unhideWhenUsed/>
    <w:rsid w:val="00325C0F"/>
    <w:rPr>
      <w:b/>
      <w:bCs/>
    </w:rPr>
  </w:style>
  <w:style w:type="character" w:customStyle="1" w:styleId="CommentSubjectChar">
    <w:name w:val="Comment Subject Char"/>
    <w:basedOn w:val="CommentTextChar"/>
    <w:link w:val="CommentSubject"/>
    <w:uiPriority w:val="99"/>
    <w:semiHidden/>
    <w:rsid w:val="00325C0F"/>
    <w:rPr>
      <w:b/>
      <w:bCs/>
      <w:sz w:val="20"/>
      <w:szCs w:val="20"/>
    </w:rPr>
  </w:style>
  <w:style w:type="paragraph" w:styleId="Header">
    <w:name w:val="header"/>
    <w:basedOn w:val="Normal"/>
    <w:link w:val="HeaderChar"/>
    <w:uiPriority w:val="99"/>
    <w:unhideWhenUsed/>
    <w:rsid w:val="0079314B"/>
    <w:pPr>
      <w:tabs>
        <w:tab w:val="center" w:pos="4680"/>
        <w:tab w:val="right" w:pos="9360"/>
      </w:tabs>
      <w:spacing w:after="0"/>
    </w:pPr>
  </w:style>
  <w:style w:type="character" w:customStyle="1" w:styleId="HeaderChar">
    <w:name w:val="Header Char"/>
    <w:basedOn w:val="DefaultParagraphFont"/>
    <w:link w:val="Header"/>
    <w:uiPriority w:val="99"/>
    <w:rsid w:val="0079314B"/>
    <w:rPr>
      <w:rFonts w:ascii="Times New Roman" w:hAnsi="Times New Roman"/>
    </w:rPr>
  </w:style>
  <w:style w:type="paragraph" w:styleId="Footer">
    <w:name w:val="footer"/>
    <w:basedOn w:val="Normal"/>
    <w:link w:val="FooterChar"/>
    <w:uiPriority w:val="99"/>
    <w:unhideWhenUsed/>
    <w:rsid w:val="0079314B"/>
    <w:pPr>
      <w:tabs>
        <w:tab w:val="center" w:pos="4680"/>
        <w:tab w:val="right" w:pos="9360"/>
      </w:tabs>
      <w:spacing w:after="0"/>
    </w:pPr>
  </w:style>
  <w:style w:type="character" w:customStyle="1" w:styleId="FooterChar">
    <w:name w:val="Footer Char"/>
    <w:basedOn w:val="DefaultParagraphFont"/>
    <w:link w:val="Footer"/>
    <w:uiPriority w:val="99"/>
    <w:rsid w:val="0079314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1491</Words>
  <Characters>8302</Characters>
  <Application>Microsoft Office Word</Application>
  <DocSecurity>0</DocSecurity>
  <Lines>118</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2015-05-21T19:03:00Z</dcterms:created>
  <dcterms:modified xsi:type="dcterms:W3CDTF">2015-05-21T19:03:00Z</dcterms:modified>
  <cp:category> </cp:category>
  <cp:contentStatus> </cp:contentStatus>
</cp:coreProperties>
</file>