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4362E9ED" w14:textId="77777777" w:rsidTr="006D5D22">
        <w:trPr>
          <w:trHeight w:val="2181"/>
        </w:trPr>
        <w:tc>
          <w:tcPr>
            <w:tcW w:w="8856" w:type="dxa"/>
          </w:tcPr>
          <w:p w14:paraId="53204EE8" w14:textId="77777777" w:rsidR="00FF232D" w:rsidRDefault="00B54640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5B308EA0" wp14:editId="70DC8191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7FEFB4" w14:textId="7DCD4081" w:rsidR="00426518" w:rsidRDefault="00426518" w:rsidP="00B57131">
            <w:pPr>
              <w:rPr>
                <w:b/>
                <w:bCs/>
              </w:rPr>
            </w:pPr>
          </w:p>
          <w:p w14:paraId="5C1B8290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266CB4AB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14:paraId="335BBC3E" w14:textId="77777777"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14:paraId="6151723C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0C984E3A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49FDC629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B04C29F" w14:textId="35BC0618" w:rsidR="00EB74E6" w:rsidRDefault="000E049E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730609">
              <w:rPr>
                <w:b/>
                <w:bCs/>
                <w:sz w:val="26"/>
                <w:szCs w:val="26"/>
              </w:rPr>
              <w:t xml:space="preserve">STRENGTHENS </w:t>
            </w:r>
            <w:r w:rsidR="00EB74E6">
              <w:rPr>
                <w:b/>
                <w:bCs/>
                <w:sz w:val="26"/>
                <w:szCs w:val="26"/>
              </w:rPr>
              <w:t xml:space="preserve">CONSUMER PROTECTIONS </w:t>
            </w:r>
          </w:p>
          <w:p w14:paraId="27A7EA7D" w14:textId="30AB3DC8" w:rsidR="000E049E" w:rsidRDefault="00EB74E6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AGAINST UNWANTED CALLS AND TEXTS</w:t>
            </w:r>
          </w:p>
          <w:p w14:paraId="6FDB7DD9" w14:textId="5E71CA1F" w:rsidR="00CC5E08" w:rsidRPr="008A3940" w:rsidRDefault="003009AE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Commission Responds to Requests </w:t>
            </w:r>
            <w:r w:rsidR="0034433F">
              <w:rPr>
                <w:b/>
                <w:bCs/>
                <w:i/>
              </w:rPr>
              <w:t>from Businesses</w:t>
            </w:r>
            <w:r>
              <w:rPr>
                <w:b/>
                <w:bCs/>
                <w:i/>
              </w:rPr>
              <w:t xml:space="preserve"> and</w:t>
            </w:r>
            <w:r w:rsidR="00E5189B">
              <w:rPr>
                <w:b/>
                <w:bCs/>
                <w:i/>
              </w:rPr>
              <w:t xml:space="preserve"> Attorneys General</w:t>
            </w:r>
            <w:r>
              <w:rPr>
                <w:b/>
                <w:bCs/>
                <w:i/>
              </w:rPr>
              <w:t xml:space="preserve"> </w:t>
            </w:r>
            <w:r w:rsidR="00AB07F2">
              <w:rPr>
                <w:b/>
                <w:bCs/>
                <w:i/>
              </w:rPr>
              <w:t>for Guidance on</w:t>
            </w:r>
            <w:r w:rsidR="00E5189B">
              <w:rPr>
                <w:b/>
                <w:bCs/>
                <w:i/>
              </w:rPr>
              <w:t xml:space="preserve"> </w:t>
            </w:r>
            <w:r w:rsidR="00EB74E6">
              <w:rPr>
                <w:b/>
                <w:bCs/>
                <w:i/>
              </w:rPr>
              <w:t>Roboc</w:t>
            </w:r>
            <w:r>
              <w:rPr>
                <w:b/>
                <w:bCs/>
                <w:i/>
              </w:rPr>
              <w:t xml:space="preserve">all Blocking, </w:t>
            </w:r>
            <w:r w:rsidR="00E5189B">
              <w:rPr>
                <w:b/>
                <w:bCs/>
                <w:i/>
              </w:rPr>
              <w:t xml:space="preserve">Autodialers, </w:t>
            </w:r>
            <w:r>
              <w:rPr>
                <w:b/>
                <w:bCs/>
                <w:i/>
              </w:rPr>
              <w:t>Recycled Phone Numbers and More</w:t>
            </w:r>
          </w:p>
          <w:p w14:paraId="5277CFC3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6D43B5BD" w14:textId="2A368C29" w:rsidR="002D234B" w:rsidRDefault="00FF1C0B" w:rsidP="002D234B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3009AE">
              <w:rPr>
                <w:sz w:val="22"/>
                <w:szCs w:val="22"/>
              </w:rPr>
              <w:t>June 18</w:t>
            </w:r>
            <w:r w:rsidR="00CC5E08" w:rsidRPr="008A3940">
              <w:rPr>
                <w:sz w:val="22"/>
                <w:szCs w:val="22"/>
              </w:rPr>
              <w:t>, 2015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2D234B">
              <w:rPr>
                <w:sz w:val="22"/>
                <w:szCs w:val="22"/>
              </w:rPr>
              <w:t>T</w:t>
            </w:r>
            <w:r w:rsidR="002D234B" w:rsidRPr="000E049E">
              <w:rPr>
                <w:sz w:val="22"/>
                <w:szCs w:val="22"/>
              </w:rPr>
              <w:t>he Federal Communications Commission today</w:t>
            </w:r>
            <w:r w:rsidR="002D234B">
              <w:rPr>
                <w:sz w:val="22"/>
                <w:szCs w:val="22"/>
              </w:rPr>
              <w:t xml:space="preserve"> adopted a </w:t>
            </w:r>
            <w:r w:rsidR="00171166">
              <w:rPr>
                <w:sz w:val="22"/>
                <w:szCs w:val="22"/>
              </w:rPr>
              <w:t>proposal</w:t>
            </w:r>
            <w:r w:rsidR="002D234B">
              <w:rPr>
                <w:sz w:val="22"/>
                <w:szCs w:val="22"/>
              </w:rPr>
              <w:t xml:space="preserve"> </w:t>
            </w:r>
            <w:r w:rsidR="002D234B" w:rsidRPr="00325C92">
              <w:rPr>
                <w:color w:val="292F33"/>
                <w:shd w:val="clear" w:color="auto" w:fill="FFFFFF"/>
              </w:rPr>
              <w:t>to protect consumers against unwanted robocalls</w:t>
            </w:r>
            <w:r w:rsidR="00927823">
              <w:rPr>
                <w:color w:val="292F33"/>
                <w:shd w:val="clear" w:color="auto" w:fill="FFFFFF"/>
              </w:rPr>
              <w:t xml:space="preserve"> and</w:t>
            </w:r>
            <w:r w:rsidR="002D234B" w:rsidRPr="00325C92">
              <w:rPr>
                <w:color w:val="292F33"/>
                <w:shd w:val="clear" w:color="auto" w:fill="FFFFFF"/>
              </w:rPr>
              <w:t xml:space="preserve"> spam texts</w:t>
            </w:r>
            <w:r w:rsidR="002D234B" w:rsidRPr="00325C92">
              <w:t>.</w:t>
            </w:r>
            <w:r w:rsidR="002D234B">
              <w:rPr>
                <w:sz w:val="22"/>
                <w:szCs w:val="22"/>
              </w:rPr>
              <w:t xml:space="preserve">  In a package of declaratory rulings, the Commission affirmed</w:t>
            </w:r>
            <w:r w:rsidR="00311ACD">
              <w:rPr>
                <w:sz w:val="22"/>
                <w:szCs w:val="22"/>
              </w:rPr>
              <w:t xml:space="preserve"> consumer</w:t>
            </w:r>
            <w:r w:rsidR="00E5189B">
              <w:rPr>
                <w:sz w:val="22"/>
                <w:szCs w:val="22"/>
              </w:rPr>
              <w:t>s</w:t>
            </w:r>
            <w:r w:rsidR="002D234B">
              <w:rPr>
                <w:sz w:val="22"/>
                <w:szCs w:val="22"/>
              </w:rPr>
              <w:t>’</w:t>
            </w:r>
            <w:r w:rsidR="00311ACD">
              <w:rPr>
                <w:sz w:val="22"/>
                <w:szCs w:val="22"/>
              </w:rPr>
              <w:t xml:space="preserve"> right</w:t>
            </w:r>
            <w:r w:rsidR="002D234B">
              <w:rPr>
                <w:sz w:val="22"/>
                <w:szCs w:val="22"/>
              </w:rPr>
              <w:t>s</w:t>
            </w:r>
            <w:r w:rsidR="00311ACD">
              <w:rPr>
                <w:sz w:val="22"/>
                <w:szCs w:val="22"/>
              </w:rPr>
              <w:t xml:space="preserve"> to control the calls they receive</w:t>
            </w:r>
            <w:r w:rsidR="00AB07F2">
              <w:rPr>
                <w:sz w:val="22"/>
                <w:szCs w:val="22"/>
              </w:rPr>
              <w:t xml:space="preserve">. </w:t>
            </w:r>
            <w:r w:rsidR="002D234B">
              <w:rPr>
                <w:sz w:val="22"/>
                <w:szCs w:val="22"/>
              </w:rPr>
              <w:t xml:space="preserve"> As part of this package, the Commission also made clear that telephone companies face no legal barriers to allowing consumers to choose to use robocall-blocking technology.</w:t>
            </w:r>
          </w:p>
          <w:p w14:paraId="6CB0FC68" w14:textId="77777777" w:rsidR="002D234B" w:rsidRDefault="002D234B" w:rsidP="002D234B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596A5543" w14:textId="6F930496" w:rsidR="00BD19E8" w:rsidRDefault="00D04956" w:rsidP="002D234B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rulings were informed by thousands of</w:t>
            </w:r>
            <w:r w:rsidR="007147AA">
              <w:rPr>
                <w:sz w:val="22"/>
                <w:szCs w:val="22"/>
              </w:rPr>
              <w:t xml:space="preserve"> consumer </w:t>
            </w:r>
            <w:r>
              <w:rPr>
                <w:sz w:val="22"/>
                <w:szCs w:val="22"/>
              </w:rPr>
              <w:t>complaints about robocalls the FCC receives each month</w:t>
            </w:r>
            <w:r w:rsidR="00311ACD">
              <w:rPr>
                <w:sz w:val="22"/>
                <w:szCs w:val="22"/>
              </w:rPr>
              <w:t>.</w:t>
            </w:r>
            <w:r w:rsidR="002D234B">
              <w:rPr>
                <w:sz w:val="22"/>
                <w:szCs w:val="22"/>
              </w:rPr>
              <w:t xml:space="preserve">  Complaints related to unwanted calls are the largest category of complaints received by the Commission, numbering more than 215,000 in 2014.</w:t>
            </w:r>
          </w:p>
          <w:p w14:paraId="5F55DAFB" w14:textId="77777777" w:rsidR="0034433F" w:rsidRDefault="0034433F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7BBEC1BF" w14:textId="2B2F2C24" w:rsidR="0034433F" w:rsidRDefault="0034433F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Today’s action </w:t>
            </w:r>
            <w:r w:rsidR="00D04956">
              <w:rPr>
                <w:sz w:val="22"/>
                <w:szCs w:val="22"/>
              </w:rPr>
              <w:t xml:space="preserve">addresses </w:t>
            </w:r>
            <w:r w:rsidR="00E5189B">
              <w:rPr>
                <w:sz w:val="22"/>
                <w:szCs w:val="22"/>
              </w:rPr>
              <w:t xml:space="preserve">almost </w:t>
            </w:r>
            <w:r w:rsidR="00AB07F2" w:rsidRPr="0034433F">
              <w:rPr>
                <w:sz w:val="22"/>
                <w:szCs w:val="22"/>
              </w:rPr>
              <w:t>two dozen petitions</w:t>
            </w:r>
            <w:r w:rsidR="00E5189B">
              <w:rPr>
                <w:sz w:val="22"/>
                <w:szCs w:val="22"/>
              </w:rPr>
              <w:t xml:space="preserve"> and other requests</w:t>
            </w:r>
            <w:r w:rsidR="00AB07F2" w:rsidRPr="0034433F">
              <w:rPr>
                <w:sz w:val="22"/>
                <w:szCs w:val="22"/>
              </w:rPr>
              <w:t xml:space="preserve"> that sought clarity on how the Commission </w:t>
            </w:r>
            <w:r w:rsidR="00E5189B">
              <w:rPr>
                <w:sz w:val="22"/>
                <w:szCs w:val="22"/>
              </w:rPr>
              <w:t xml:space="preserve">interprets </w:t>
            </w:r>
            <w:r w:rsidR="00AB07F2" w:rsidRPr="0034433F">
              <w:rPr>
                <w:sz w:val="22"/>
                <w:szCs w:val="22"/>
              </w:rPr>
              <w:t>the Telephone Consumer Protection Act (TCPA)</w:t>
            </w:r>
            <w:r w:rsidR="00D04956">
              <w:rPr>
                <w:sz w:val="22"/>
                <w:szCs w:val="22"/>
              </w:rPr>
              <w:t xml:space="preserve">, closing </w:t>
            </w:r>
            <w:r w:rsidR="00D04956" w:rsidRPr="0034433F">
              <w:rPr>
                <w:sz w:val="22"/>
                <w:szCs w:val="22"/>
              </w:rPr>
              <w:t>loopholes and strengthen</w:t>
            </w:r>
            <w:r w:rsidR="00D04956">
              <w:rPr>
                <w:sz w:val="22"/>
                <w:szCs w:val="22"/>
              </w:rPr>
              <w:t>ing</w:t>
            </w:r>
            <w:r w:rsidR="00D04956" w:rsidRPr="0034433F">
              <w:rPr>
                <w:sz w:val="22"/>
                <w:szCs w:val="22"/>
              </w:rPr>
              <w:t xml:space="preserve"> consumer protections already on the books</w:t>
            </w:r>
            <w:r w:rsidR="00D04956">
              <w:rPr>
                <w:sz w:val="22"/>
                <w:szCs w:val="22"/>
              </w:rPr>
              <w:t>.</w:t>
            </w:r>
            <w:r w:rsidR="00E5189B">
              <w:rPr>
                <w:sz w:val="22"/>
                <w:szCs w:val="22"/>
              </w:rPr>
              <w:t xml:space="preserve">  </w:t>
            </w:r>
            <w:r w:rsidR="00DE6E8F">
              <w:rPr>
                <w:sz w:val="22"/>
                <w:szCs w:val="22"/>
              </w:rPr>
              <w:t xml:space="preserve">The TCPA requires prior express consent for non-emergency autodialed, prerecorded, or artificial voice calls to wireless phone numbers, as well as for prerecorded telemarketing calls to residential wireline numbers.  </w:t>
            </w:r>
          </w:p>
          <w:p w14:paraId="601BB22C" w14:textId="77777777" w:rsidR="00AB07F2" w:rsidRDefault="00AB07F2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218F3081" w14:textId="4BBD3380" w:rsidR="00AB07F2" w:rsidRDefault="00D0495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rulings provide much needed clarity for consumers and businesses</w:t>
            </w:r>
            <w:r w:rsidR="00311ACD">
              <w:rPr>
                <w:sz w:val="22"/>
                <w:szCs w:val="22"/>
              </w:rPr>
              <w:t xml:space="preserve">. Highlights </w:t>
            </w:r>
            <w:r w:rsidR="003205ED">
              <w:rPr>
                <w:sz w:val="22"/>
                <w:szCs w:val="22"/>
              </w:rPr>
              <w:t xml:space="preserve">for consumers who use either </w:t>
            </w:r>
            <w:r w:rsidR="002D234B">
              <w:rPr>
                <w:sz w:val="22"/>
                <w:szCs w:val="22"/>
              </w:rPr>
              <w:t xml:space="preserve">landline </w:t>
            </w:r>
            <w:r w:rsidR="003205ED">
              <w:rPr>
                <w:sz w:val="22"/>
                <w:szCs w:val="22"/>
              </w:rPr>
              <w:t xml:space="preserve">or wireless phones </w:t>
            </w:r>
            <w:r w:rsidR="00311ACD">
              <w:rPr>
                <w:sz w:val="22"/>
                <w:szCs w:val="22"/>
              </w:rPr>
              <w:t>include</w:t>
            </w:r>
            <w:r>
              <w:rPr>
                <w:sz w:val="22"/>
                <w:szCs w:val="22"/>
              </w:rPr>
              <w:t xml:space="preserve">: </w:t>
            </w:r>
          </w:p>
          <w:p w14:paraId="0D449BA2" w14:textId="77777777" w:rsidR="00D04956" w:rsidRDefault="00D0495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36340F6A" w14:textId="69015B35" w:rsidR="00E5189B" w:rsidRPr="00AA0579" w:rsidRDefault="00E5189B" w:rsidP="00E5189B">
            <w:pPr>
              <w:pStyle w:val="ListParagraph"/>
              <w:numPr>
                <w:ilvl w:val="0"/>
                <w:numId w:val="4"/>
              </w:numPr>
              <w:spacing w:after="120"/>
              <w:ind w:left="360"/>
              <w:rPr>
                <w:sz w:val="22"/>
                <w:szCs w:val="22"/>
              </w:rPr>
            </w:pPr>
            <w:r>
              <w:rPr>
                <w:rFonts w:ascii="Times New Roman Bold" w:hAnsi="Times New Roman Bold"/>
                <w:sz w:val="22"/>
              </w:rPr>
              <w:t xml:space="preserve">Green Light for </w:t>
            </w:r>
            <w:r w:rsidR="002D234B">
              <w:rPr>
                <w:rFonts w:ascii="Times New Roman Bold" w:hAnsi="Times New Roman Bold"/>
                <w:sz w:val="22"/>
              </w:rPr>
              <w:t>‘</w:t>
            </w:r>
            <w:r>
              <w:rPr>
                <w:rFonts w:ascii="Times New Roman Bold" w:hAnsi="Times New Roman Bold"/>
                <w:sz w:val="22"/>
              </w:rPr>
              <w:t>Do Not Disturb</w:t>
            </w:r>
            <w:r w:rsidR="002D234B">
              <w:rPr>
                <w:rFonts w:ascii="Times New Roman Bold" w:hAnsi="Times New Roman Bold"/>
                <w:sz w:val="22"/>
              </w:rPr>
              <w:t>’</w:t>
            </w:r>
            <w:r w:rsidRPr="00AA0579">
              <w:rPr>
                <w:rFonts w:ascii="Times New Roman Bold" w:hAnsi="Times New Roman Bold"/>
                <w:sz w:val="22"/>
              </w:rPr>
              <w:t xml:space="preserve"> Technology </w:t>
            </w:r>
            <w:r w:rsidRPr="00AA0579">
              <w:rPr>
                <w:sz w:val="22"/>
              </w:rPr>
              <w:t xml:space="preserve">– Service providers can offer robocall-blocking technologies to consumers and implement market-based solutions that consumers can use to stop unwanted robocalls. </w:t>
            </w:r>
          </w:p>
          <w:p w14:paraId="1C13565E" w14:textId="77777777" w:rsidR="00AA0579" w:rsidRPr="00AA0579" w:rsidRDefault="00D04956" w:rsidP="00AA0579">
            <w:pPr>
              <w:pStyle w:val="ListParagraph"/>
              <w:numPr>
                <w:ilvl w:val="0"/>
                <w:numId w:val="4"/>
              </w:numPr>
              <w:spacing w:after="120"/>
              <w:ind w:left="360"/>
              <w:rPr>
                <w:sz w:val="22"/>
                <w:szCs w:val="22"/>
              </w:rPr>
            </w:pPr>
            <w:r w:rsidRPr="00AA0579">
              <w:rPr>
                <w:rFonts w:ascii="Times New Roman Bold" w:hAnsi="Times New Roman Bold"/>
                <w:sz w:val="22"/>
              </w:rPr>
              <w:t>Empower</w:t>
            </w:r>
            <w:r w:rsidR="00311ACD" w:rsidRPr="00AA0579">
              <w:rPr>
                <w:rFonts w:ascii="Times New Roman Bold" w:hAnsi="Times New Roman Bold"/>
                <w:sz w:val="22"/>
              </w:rPr>
              <w:t>ing</w:t>
            </w:r>
            <w:r w:rsidRPr="00AA0579">
              <w:rPr>
                <w:rFonts w:ascii="Times New Roman Bold" w:hAnsi="Times New Roman Bold"/>
                <w:sz w:val="22"/>
              </w:rPr>
              <w:t xml:space="preserve"> Consumers to Say ‘Stop’</w:t>
            </w:r>
            <w:r w:rsidRPr="00AA0579">
              <w:rPr>
                <w:sz w:val="22"/>
              </w:rPr>
              <w:t xml:space="preserve"> – Consumers have the right to revoke their consent to receive robocalls and robotexts in any reasonable way at any time. </w:t>
            </w:r>
          </w:p>
          <w:p w14:paraId="6BA41CCD" w14:textId="695EEECB" w:rsidR="00AA0579" w:rsidRPr="00DF0217" w:rsidRDefault="00D04956" w:rsidP="00AA0579">
            <w:pPr>
              <w:pStyle w:val="ListParagraph"/>
              <w:numPr>
                <w:ilvl w:val="0"/>
                <w:numId w:val="4"/>
              </w:numPr>
              <w:spacing w:after="120"/>
              <w:ind w:left="360"/>
              <w:rPr>
                <w:sz w:val="22"/>
                <w:szCs w:val="22"/>
              </w:rPr>
            </w:pPr>
            <w:r w:rsidRPr="00AA0579">
              <w:rPr>
                <w:rFonts w:ascii="Times New Roman Bold" w:hAnsi="Times New Roman Bold"/>
                <w:sz w:val="22"/>
              </w:rPr>
              <w:t>Reassigned Numbers Aren’t Loopholes</w:t>
            </w:r>
            <w:r w:rsidRPr="00AA0579">
              <w:rPr>
                <w:sz w:val="22"/>
              </w:rPr>
              <w:t xml:space="preserve"> –</w:t>
            </w:r>
            <w:r w:rsidR="00AA0579" w:rsidRPr="00AA0579">
              <w:rPr>
                <w:sz w:val="22"/>
              </w:rPr>
              <w:t xml:space="preserve"> </w:t>
            </w:r>
            <w:r w:rsidRPr="00AA0579">
              <w:rPr>
                <w:sz w:val="22"/>
              </w:rPr>
              <w:t xml:space="preserve">If a phone number has been reassigned, </w:t>
            </w:r>
            <w:r w:rsidR="00DF0217">
              <w:rPr>
                <w:sz w:val="22"/>
              </w:rPr>
              <w:t>companies</w:t>
            </w:r>
            <w:r w:rsidRPr="00AA0579">
              <w:rPr>
                <w:sz w:val="22"/>
              </w:rPr>
              <w:t xml:space="preserve"> must stop calling the number after one call</w:t>
            </w:r>
            <w:r w:rsidR="00311ACD" w:rsidRPr="00AA0579">
              <w:rPr>
                <w:sz w:val="22"/>
              </w:rPr>
              <w:t>.</w:t>
            </w:r>
          </w:p>
          <w:p w14:paraId="4BC6968E" w14:textId="77777777" w:rsidR="00DF0217" w:rsidRPr="00AA0579" w:rsidRDefault="00DF0217" w:rsidP="00DF0217">
            <w:pPr>
              <w:pStyle w:val="ListParagraph"/>
              <w:numPr>
                <w:ilvl w:val="0"/>
                <w:numId w:val="4"/>
              </w:numPr>
              <w:spacing w:after="120"/>
              <w:ind w:left="360"/>
              <w:rPr>
                <w:sz w:val="22"/>
                <w:szCs w:val="22"/>
              </w:rPr>
            </w:pPr>
            <w:r w:rsidRPr="00AA0579">
              <w:rPr>
                <w:b/>
                <w:sz w:val="22"/>
                <w:szCs w:val="22"/>
              </w:rPr>
              <w:t>Third-</w:t>
            </w:r>
            <w:r>
              <w:rPr>
                <w:b/>
                <w:sz w:val="22"/>
                <w:szCs w:val="22"/>
              </w:rPr>
              <w:t>P</w:t>
            </w:r>
            <w:r w:rsidRPr="00AA0579">
              <w:rPr>
                <w:b/>
                <w:sz w:val="22"/>
                <w:szCs w:val="22"/>
              </w:rPr>
              <w:t>arty Consent</w:t>
            </w:r>
            <w:r>
              <w:rPr>
                <w:sz w:val="22"/>
                <w:szCs w:val="22"/>
              </w:rPr>
              <w:t xml:space="preserve"> – A </w:t>
            </w:r>
            <w:r w:rsidRPr="00AA0579">
              <w:rPr>
                <w:sz w:val="22"/>
                <w:szCs w:val="22"/>
              </w:rPr>
              <w:t>consumer whose name is in the contacts list of an acquaintance’s phone does not</w:t>
            </w:r>
            <w:r>
              <w:rPr>
                <w:sz w:val="22"/>
                <w:szCs w:val="22"/>
              </w:rPr>
              <w:t xml:space="preserve"> </w:t>
            </w:r>
            <w:r w:rsidRPr="00AA0579">
              <w:rPr>
                <w:sz w:val="22"/>
                <w:szCs w:val="22"/>
              </w:rPr>
              <w:t>consent to receive robocalls from third-party applications downloaded by the acquaintance.</w:t>
            </w:r>
          </w:p>
          <w:p w14:paraId="504E9D74" w14:textId="72FB47E6" w:rsidR="003205ED" w:rsidRDefault="003205ED" w:rsidP="003205E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Additional highlights for wireless consumers include: </w:t>
            </w:r>
          </w:p>
          <w:p w14:paraId="2DDFD5E6" w14:textId="6332AC05" w:rsidR="003205ED" w:rsidRPr="005B69D5" w:rsidRDefault="002D234B" w:rsidP="00D66EEC">
            <w:pPr>
              <w:pStyle w:val="ListParagraph"/>
              <w:numPr>
                <w:ilvl w:val="0"/>
                <w:numId w:val="4"/>
              </w:numPr>
              <w:spacing w:after="120"/>
              <w:ind w:left="360"/>
              <w:rPr>
                <w:sz w:val="22"/>
                <w:szCs w:val="22"/>
              </w:rPr>
            </w:pPr>
            <w:r>
              <w:rPr>
                <w:rFonts w:ascii="Times New Roman Bold" w:hAnsi="Times New Roman Bold"/>
                <w:sz w:val="22"/>
              </w:rPr>
              <w:lastRenderedPageBreak/>
              <w:t xml:space="preserve">Affirming the Law’s </w:t>
            </w:r>
            <w:r w:rsidR="00DF0217" w:rsidRPr="00AA0579">
              <w:rPr>
                <w:rFonts w:ascii="Times New Roman Bold" w:hAnsi="Times New Roman Bold"/>
                <w:sz w:val="22"/>
              </w:rPr>
              <w:t>Defini</w:t>
            </w:r>
            <w:r w:rsidR="00A84715">
              <w:rPr>
                <w:rFonts w:ascii="Times New Roman Bold" w:hAnsi="Times New Roman Bold"/>
                <w:sz w:val="22"/>
              </w:rPr>
              <w:t>ti</w:t>
            </w:r>
            <w:r>
              <w:rPr>
                <w:rFonts w:ascii="Times New Roman Bold" w:hAnsi="Times New Roman Bold"/>
                <w:sz w:val="22"/>
              </w:rPr>
              <w:t>on of</w:t>
            </w:r>
            <w:r w:rsidR="00DF0217" w:rsidRPr="00AA0579">
              <w:rPr>
                <w:rFonts w:ascii="Times New Roman Bold" w:hAnsi="Times New Roman Bold"/>
                <w:sz w:val="22"/>
              </w:rPr>
              <w:t xml:space="preserve"> Autodialer</w:t>
            </w:r>
            <w:r w:rsidR="00DF0217" w:rsidRPr="00AA0579">
              <w:rPr>
                <w:sz w:val="22"/>
              </w:rPr>
              <w:t xml:space="preserve"> </w:t>
            </w:r>
            <w:r w:rsidR="00DF0217">
              <w:rPr>
                <w:sz w:val="22"/>
              </w:rPr>
              <w:t xml:space="preserve">– </w:t>
            </w:r>
            <w:r w:rsidR="00DF0217" w:rsidRPr="00DF0217">
              <w:rPr>
                <w:sz w:val="22"/>
              </w:rPr>
              <w:t xml:space="preserve">“Autodialer” is </w:t>
            </w:r>
            <w:r w:rsidR="00DF0217">
              <w:rPr>
                <w:sz w:val="22"/>
              </w:rPr>
              <w:t xml:space="preserve">defined </w:t>
            </w:r>
            <w:r>
              <w:rPr>
                <w:sz w:val="22"/>
              </w:rPr>
              <w:t xml:space="preserve">in the Act </w:t>
            </w:r>
            <w:r w:rsidR="00DF0217">
              <w:rPr>
                <w:sz w:val="22"/>
              </w:rPr>
              <w:t xml:space="preserve">as </w:t>
            </w:r>
            <w:r w:rsidR="00DF0217" w:rsidRPr="00DF0217">
              <w:rPr>
                <w:sz w:val="22"/>
              </w:rPr>
              <w:t xml:space="preserve">any technology with the </w:t>
            </w:r>
            <w:r w:rsidR="00DF0217" w:rsidRPr="005B69D5">
              <w:rPr>
                <w:i/>
                <w:sz w:val="22"/>
              </w:rPr>
              <w:t>capacity</w:t>
            </w:r>
            <w:r w:rsidR="00DF0217" w:rsidRPr="00DF0217">
              <w:rPr>
                <w:sz w:val="22"/>
              </w:rPr>
              <w:t xml:space="preserve"> to di</w:t>
            </w:r>
            <w:r w:rsidR="00DF0217">
              <w:rPr>
                <w:sz w:val="22"/>
              </w:rPr>
              <w:t xml:space="preserve">al random or sequential numbers. This definition </w:t>
            </w:r>
            <w:r w:rsidR="00DF0217" w:rsidRPr="00DF0217">
              <w:rPr>
                <w:sz w:val="22"/>
              </w:rPr>
              <w:t>ensures</w:t>
            </w:r>
            <w:r w:rsidR="00A77618">
              <w:rPr>
                <w:sz w:val="22"/>
              </w:rPr>
              <w:t xml:space="preserve"> that</w:t>
            </w:r>
            <w:r w:rsidR="00DF0217" w:rsidRPr="00DF0217">
              <w:rPr>
                <w:sz w:val="22"/>
              </w:rPr>
              <w:t xml:space="preserve"> </w:t>
            </w:r>
            <w:r w:rsidR="00DF0217" w:rsidRPr="00AA0579">
              <w:rPr>
                <w:sz w:val="22"/>
              </w:rPr>
              <w:t xml:space="preserve">robocallers cannot skirt consumer consent requirements through changes in calling technology design or by calling from a list of numbers. </w:t>
            </w:r>
          </w:p>
          <w:p w14:paraId="65AFC13B" w14:textId="29FE34D4" w:rsidR="00AA0579" w:rsidRDefault="00AA0579" w:rsidP="00AA0579">
            <w:pPr>
              <w:pStyle w:val="ListParagraph"/>
              <w:numPr>
                <w:ilvl w:val="0"/>
                <w:numId w:val="4"/>
              </w:numPr>
              <w:tabs>
                <w:tab w:val="left" w:pos="8640"/>
              </w:tabs>
              <w:spacing w:after="120"/>
              <w:ind w:left="360"/>
              <w:rPr>
                <w:sz w:val="22"/>
                <w:szCs w:val="22"/>
              </w:rPr>
            </w:pPr>
            <w:r w:rsidRPr="00AA0579">
              <w:rPr>
                <w:b/>
                <w:sz w:val="22"/>
                <w:szCs w:val="22"/>
              </w:rPr>
              <w:t xml:space="preserve">Text </w:t>
            </w:r>
            <w:r>
              <w:rPr>
                <w:b/>
                <w:sz w:val="22"/>
                <w:szCs w:val="22"/>
              </w:rPr>
              <w:t>M</w:t>
            </w:r>
            <w:r w:rsidRPr="00AA0579">
              <w:rPr>
                <w:b/>
                <w:sz w:val="22"/>
                <w:szCs w:val="22"/>
              </w:rPr>
              <w:t xml:space="preserve">essages as </w:t>
            </w:r>
            <w:r>
              <w:rPr>
                <w:b/>
                <w:sz w:val="22"/>
                <w:szCs w:val="22"/>
              </w:rPr>
              <w:t>C</w:t>
            </w:r>
            <w:r w:rsidRPr="00AA0579">
              <w:rPr>
                <w:b/>
                <w:sz w:val="22"/>
                <w:szCs w:val="22"/>
              </w:rPr>
              <w:t xml:space="preserve">alls </w:t>
            </w:r>
            <w:r>
              <w:rPr>
                <w:sz w:val="22"/>
                <w:szCs w:val="22"/>
              </w:rPr>
              <w:t xml:space="preserve">– </w:t>
            </w:r>
            <w:r w:rsidR="00BC5BAC">
              <w:rPr>
                <w:sz w:val="22"/>
                <w:szCs w:val="22"/>
              </w:rPr>
              <w:t>The Commission reaffirmed that c</w:t>
            </w:r>
            <w:r w:rsidRPr="00AA0579">
              <w:rPr>
                <w:sz w:val="22"/>
                <w:szCs w:val="22"/>
              </w:rPr>
              <w:t xml:space="preserve">onsumers are entitled to the same </w:t>
            </w:r>
            <w:r w:rsidR="009A179A">
              <w:rPr>
                <w:sz w:val="22"/>
                <w:szCs w:val="22"/>
              </w:rPr>
              <w:t xml:space="preserve">consent-based </w:t>
            </w:r>
            <w:r w:rsidRPr="00AA0579">
              <w:rPr>
                <w:sz w:val="22"/>
                <w:szCs w:val="22"/>
              </w:rPr>
              <w:t>protections for texts as they are for voice calls</w:t>
            </w:r>
            <w:r w:rsidR="00D23BD0">
              <w:rPr>
                <w:sz w:val="22"/>
                <w:szCs w:val="22"/>
              </w:rPr>
              <w:t xml:space="preserve"> to wireless numbers</w:t>
            </w:r>
            <w:r w:rsidRPr="00AA0579">
              <w:rPr>
                <w:sz w:val="22"/>
                <w:szCs w:val="22"/>
              </w:rPr>
              <w:t>.</w:t>
            </w:r>
          </w:p>
          <w:p w14:paraId="74455EA7" w14:textId="77777777" w:rsidR="00DF0217" w:rsidRDefault="00DF0217" w:rsidP="00DF0217">
            <w:pPr>
              <w:pStyle w:val="ListParagraph"/>
              <w:numPr>
                <w:ilvl w:val="0"/>
                <w:numId w:val="4"/>
              </w:numPr>
              <w:spacing w:after="120"/>
              <w:ind w:left="360"/>
              <w:rPr>
                <w:sz w:val="22"/>
                <w:szCs w:val="22"/>
              </w:rPr>
            </w:pPr>
            <w:r w:rsidRPr="00AA0579">
              <w:rPr>
                <w:b/>
                <w:sz w:val="22"/>
                <w:szCs w:val="22"/>
              </w:rPr>
              <w:t>Internet-to-</w:t>
            </w:r>
            <w:r>
              <w:rPr>
                <w:b/>
                <w:sz w:val="22"/>
                <w:szCs w:val="22"/>
              </w:rPr>
              <w:t>P</w:t>
            </w:r>
            <w:r w:rsidRPr="00AA0579">
              <w:rPr>
                <w:b/>
                <w:sz w:val="22"/>
                <w:szCs w:val="22"/>
              </w:rPr>
              <w:t xml:space="preserve">hone </w:t>
            </w:r>
            <w:r>
              <w:rPr>
                <w:b/>
                <w:sz w:val="22"/>
                <w:szCs w:val="22"/>
              </w:rPr>
              <w:t>T</w:t>
            </w:r>
            <w:r w:rsidRPr="00AA0579">
              <w:rPr>
                <w:b/>
                <w:sz w:val="22"/>
                <w:szCs w:val="22"/>
              </w:rPr>
              <w:t xml:space="preserve">ext </w:t>
            </w:r>
            <w:r>
              <w:rPr>
                <w:b/>
                <w:sz w:val="22"/>
                <w:szCs w:val="22"/>
              </w:rPr>
              <w:t>M</w:t>
            </w:r>
            <w:r w:rsidRPr="00AA0579">
              <w:rPr>
                <w:b/>
                <w:sz w:val="22"/>
                <w:szCs w:val="22"/>
              </w:rPr>
              <w:t>essages</w:t>
            </w:r>
            <w:r>
              <w:rPr>
                <w:sz w:val="22"/>
                <w:szCs w:val="22"/>
              </w:rPr>
              <w:t xml:space="preserve"> – E</w:t>
            </w:r>
            <w:r w:rsidRPr="00AA0579">
              <w:rPr>
                <w:sz w:val="22"/>
                <w:szCs w:val="22"/>
              </w:rPr>
              <w:t xml:space="preserve">quipment used to send Internet-to-phone text messages is an autodialer, so the caller must have </w:t>
            </w:r>
            <w:r>
              <w:rPr>
                <w:sz w:val="22"/>
                <w:szCs w:val="22"/>
              </w:rPr>
              <w:t>consumer consent</w:t>
            </w:r>
            <w:r w:rsidRPr="00AA0579">
              <w:rPr>
                <w:sz w:val="22"/>
                <w:szCs w:val="22"/>
              </w:rPr>
              <w:t xml:space="preserve"> before call</w:t>
            </w:r>
            <w:r>
              <w:rPr>
                <w:sz w:val="22"/>
                <w:szCs w:val="22"/>
              </w:rPr>
              <w:t>ing</w:t>
            </w:r>
            <w:r w:rsidRPr="00AA0579">
              <w:rPr>
                <w:sz w:val="22"/>
                <w:szCs w:val="22"/>
              </w:rPr>
              <w:t>.</w:t>
            </w:r>
          </w:p>
          <w:p w14:paraId="44664652" w14:textId="3E893C3C" w:rsidR="00AA0579" w:rsidRPr="00AA0579" w:rsidRDefault="00D23BD0" w:rsidP="00AA0579">
            <w:pPr>
              <w:pStyle w:val="ListParagraph"/>
              <w:numPr>
                <w:ilvl w:val="0"/>
                <w:numId w:val="4"/>
              </w:numPr>
              <w:spacing w:after="120"/>
              <w:ind w:left="360"/>
              <w:rPr>
                <w:sz w:val="22"/>
                <w:szCs w:val="22"/>
              </w:rPr>
            </w:pPr>
            <w:r>
              <w:rPr>
                <w:rFonts w:ascii="Times New Roman Bold" w:hAnsi="Times New Roman Bold"/>
                <w:sz w:val="22"/>
              </w:rPr>
              <w:t xml:space="preserve">Very </w:t>
            </w:r>
            <w:r w:rsidR="00D04956" w:rsidRPr="00AA0579">
              <w:rPr>
                <w:rFonts w:ascii="Times New Roman Bold" w:hAnsi="Times New Roman Bold"/>
                <w:sz w:val="22"/>
              </w:rPr>
              <w:t>Limited and Specific Exe</w:t>
            </w:r>
            <w:r w:rsidR="00CE25AB">
              <w:rPr>
                <w:rFonts w:ascii="Times New Roman Bold" w:hAnsi="Times New Roman Bold"/>
                <w:sz w:val="22"/>
              </w:rPr>
              <w:t>m</w:t>
            </w:r>
            <w:r w:rsidR="00D04956" w:rsidRPr="00AA0579">
              <w:rPr>
                <w:rFonts w:ascii="Times New Roman Bold" w:hAnsi="Times New Roman Bold"/>
                <w:sz w:val="22"/>
              </w:rPr>
              <w:t>ptions</w:t>
            </w:r>
            <w:r w:rsidR="00D04956" w:rsidRPr="00AA0579">
              <w:rPr>
                <w:sz w:val="22"/>
              </w:rPr>
              <w:t xml:space="preserve"> </w:t>
            </w:r>
            <w:r w:rsidR="00D04956" w:rsidRPr="00AA0579">
              <w:rPr>
                <w:rFonts w:ascii="Times New Roman Bold" w:hAnsi="Times New Roman Bold"/>
                <w:sz w:val="22"/>
              </w:rPr>
              <w:t>for Urgent Circumstances</w:t>
            </w:r>
            <w:r w:rsidR="00D04956" w:rsidRPr="00AA0579">
              <w:rPr>
                <w:sz w:val="22"/>
              </w:rPr>
              <w:t xml:space="preserve"> – </w:t>
            </w:r>
            <w:r w:rsidR="00311ACD" w:rsidRPr="00AA0579">
              <w:rPr>
                <w:sz w:val="22"/>
              </w:rPr>
              <w:t>Free calls or texts</w:t>
            </w:r>
            <w:r w:rsidR="00BC5BAC">
              <w:rPr>
                <w:sz w:val="22"/>
              </w:rPr>
              <w:t xml:space="preserve"> </w:t>
            </w:r>
            <w:r w:rsidR="00D04956" w:rsidRPr="00AA0579">
              <w:rPr>
                <w:sz w:val="22"/>
              </w:rPr>
              <w:t>to</w:t>
            </w:r>
            <w:r w:rsidR="00311ACD" w:rsidRPr="00AA0579">
              <w:rPr>
                <w:sz w:val="22"/>
              </w:rPr>
              <w:t xml:space="preserve"> </w:t>
            </w:r>
            <w:r w:rsidR="00D04956" w:rsidRPr="00AA0579">
              <w:rPr>
                <w:sz w:val="22"/>
              </w:rPr>
              <w:t>alert consumers to possible fraud on their bank accounts or remind them of important medication refills</w:t>
            </w:r>
            <w:r w:rsidR="00311ACD" w:rsidRPr="00AA0579">
              <w:rPr>
                <w:sz w:val="22"/>
              </w:rPr>
              <w:t>,</w:t>
            </w:r>
            <w:r w:rsidR="001B0235">
              <w:rPr>
                <w:sz w:val="22"/>
              </w:rPr>
              <w:t xml:space="preserve"> among other financial alerts or healthcare messages,</w:t>
            </w:r>
            <w:r w:rsidR="00D04956" w:rsidRPr="00AA0579">
              <w:rPr>
                <w:sz w:val="22"/>
              </w:rPr>
              <w:t xml:space="preserve"> </w:t>
            </w:r>
            <w:r w:rsidR="00311ACD" w:rsidRPr="00AA0579">
              <w:rPr>
                <w:sz w:val="22"/>
              </w:rPr>
              <w:t xml:space="preserve">are </w:t>
            </w:r>
            <w:r w:rsidR="00D04956" w:rsidRPr="00AA0579">
              <w:rPr>
                <w:sz w:val="22"/>
              </w:rPr>
              <w:t>allowed</w:t>
            </w:r>
            <w:r w:rsidR="001B0235">
              <w:rPr>
                <w:sz w:val="22"/>
              </w:rPr>
              <w:t xml:space="preserve"> without prior consent</w:t>
            </w:r>
            <w:r w:rsidR="00CD36D1" w:rsidRPr="00AA0579">
              <w:rPr>
                <w:sz w:val="22"/>
              </w:rPr>
              <w:t>, but</w:t>
            </w:r>
            <w:r w:rsidR="00311ACD" w:rsidRPr="00AA0579">
              <w:rPr>
                <w:sz w:val="22"/>
              </w:rPr>
              <w:t xml:space="preserve"> </w:t>
            </w:r>
            <w:r w:rsidR="007147AA">
              <w:rPr>
                <w:sz w:val="22"/>
              </w:rPr>
              <w:t xml:space="preserve">other types of </w:t>
            </w:r>
            <w:r w:rsidR="001B0235">
              <w:rPr>
                <w:sz w:val="22"/>
              </w:rPr>
              <w:t xml:space="preserve">financial or healthcare </w:t>
            </w:r>
            <w:r w:rsidR="007147AA">
              <w:rPr>
                <w:sz w:val="22"/>
              </w:rPr>
              <w:t xml:space="preserve">calls, such as </w:t>
            </w:r>
            <w:r w:rsidR="00311ACD" w:rsidRPr="00AA0579">
              <w:rPr>
                <w:sz w:val="22"/>
              </w:rPr>
              <w:t>marketing or debt collection calls</w:t>
            </w:r>
            <w:r w:rsidR="001B0235">
              <w:rPr>
                <w:sz w:val="22"/>
              </w:rPr>
              <w:t>,</w:t>
            </w:r>
            <w:r w:rsidR="00311ACD" w:rsidRPr="00AA0579">
              <w:rPr>
                <w:sz w:val="22"/>
              </w:rPr>
              <w:t xml:space="preserve"> are not allowed</w:t>
            </w:r>
            <w:r w:rsidR="009A179A">
              <w:rPr>
                <w:sz w:val="22"/>
              </w:rPr>
              <w:t xml:space="preserve"> under these</w:t>
            </w:r>
            <w:r w:rsidR="00CE25AB">
              <w:rPr>
                <w:sz w:val="22"/>
              </w:rPr>
              <w:t xml:space="preserve"> limited and very specific</w:t>
            </w:r>
            <w:r w:rsidR="009A179A">
              <w:rPr>
                <w:sz w:val="22"/>
              </w:rPr>
              <w:t xml:space="preserve"> exe</w:t>
            </w:r>
            <w:r w:rsidR="00CE25AB">
              <w:rPr>
                <w:sz w:val="22"/>
              </w:rPr>
              <w:t>m</w:t>
            </w:r>
            <w:r w:rsidR="009A179A">
              <w:rPr>
                <w:sz w:val="22"/>
              </w:rPr>
              <w:t>ptions</w:t>
            </w:r>
            <w:r w:rsidR="00311ACD" w:rsidRPr="00AA0579">
              <w:rPr>
                <w:sz w:val="22"/>
              </w:rPr>
              <w:t xml:space="preserve">.  </w:t>
            </w:r>
            <w:r w:rsidR="007147AA">
              <w:rPr>
                <w:sz w:val="22"/>
              </w:rPr>
              <w:t>Also, c</w:t>
            </w:r>
            <w:r w:rsidR="00AA0579">
              <w:rPr>
                <w:sz w:val="22"/>
              </w:rPr>
              <w:t>onsumers</w:t>
            </w:r>
            <w:r w:rsidR="00311ACD" w:rsidRPr="00AA0579">
              <w:rPr>
                <w:sz w:val="22"/>
              </w:rPr>
              <w:t xml:space="preserve"> </w:t>
            </w:r>
            <w:r w:rsidR="00D04956" w:rsidRPr="00AA0579">
              <w:rPr>
                <w:sz w:val="22"/>
              </w:rPr>
              <w:t xml:space="preserve">have the </w:t>
            </w:r>
            <w:r w:rsidR="00311ACD" w:rsidRPr="00AA0579">
              <w:rPr>
                <w:sz w:val="22"/>
              </w:rPr>
              <w:t>right</w:t>
            </w:r>
            <w:r w:rsidR="00D04956" w:rsidRPr="00AA0579">
              <w:rPr>
                <w:sz w:val="22"/>
              </w:rPr>
              <w:t xml:space="preserve"> to opt out</w:t>
            </w:r>
            <w:r w:rsidR="009A179A">
              <w:rPr>
                <w:sz w:val="22"/>
              </w:rPr>
              <w:t xml:space="preserve"> </w:t>
            </w:r>
            <w:r w:rsidR="007147AA">
              <w:rPr>
                <w:sz w:val="22"/>
              </w:rPr>
              <w:t xml:space="preserve">from </w:t>
            </w:r>
            <w:r w:rsidR="009A179A">
              <w:rPr>
                <w:sz w:val="22"/>
              </w:rPr>
              <w:t xml:space="preserve">these </w:t>
            </w:r>
            <w:r w:rsidR="00D04956" w:rsidRPr="00AA0579">
              <w:rPr>
                <w:sz w:val="22"/>
              </w:rPr>
              <w:t>permitted calls and texts</w:t>
            </w:r>
            <w:r w:rsidR="009A179A">
              <w:rPr>
                <w:sz w:val="22"/>
              </w:rPr>
              <w:t xml:space="preserve"> at any time</w:t>
            </w:r>
            <w:r w:rsidR="00D04956" w:rsidRPr="00AA0579">
              <w:rPr>
                <w:sz w:val="22"/>
              </w:rPr>
              <w:t xml:space="preserve">.  </w:t>
            </w:r>
          </w:p>
          <w:p w14:paraId="07BEDA75" w14:textId="31D88E5C" w:rsidR="00DC62C9" w:rsidRDefault="00DC62C9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8B289A">
              <w:rPr>
                <w:sz w:val="22"/>
                <w:szCs w:val="22"/>
              </w:rPr>
              <w:t xml:space="preserve">oday’s </w:t>
            </w:r>
            <w:r w:rsidR="00DF0217">
              <w:rPr>
                <w:sz w:val="22"/>
                <w:szCs w:val="22"/>
              </w:rPr>
              <w:t>actions</w:t>
            </w:r>
            <w:r w:rsidR="008B289A">
              <w:rPr>
                <w:sz w:val="22"/>
                <w:szCs w:val="22"/>
              </w:rPr>
              <w:t xml:space="preserve"> make no changes to t</w:t>
            </w:r>
            <w:r>
              <w:rPr>
                <w:sz w:val="22"/>
                <w:szCs w:val="22"/>
              </w:rPr>
              <w:t xml:space="preserve">he Do-Not-Call </w:t>
            </w:r>
            <w:r w:rsidR="009A179A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egistry</w:t>
            </w:r>
            <w:r w:rsidR="00120E2F">
              <w:rPr>
                <w:sz w:val="22"/>
                <w:szCs w:val="22"/>
              </w:rPr>
              <w:t>, which</w:t>
            </w:r>
            <w:r w:rsidR="009A179A">
              <w:rPr>
                <w:sz w:val="22"/>
                <w:szCs w:val="22"/>
              </w:rPr>
              <w:t xml:space="preserve"> </w:t>
            </w:r>
            <w:r w:rsidR="00120E2F">
              <w:rPr>
                <w:sz w:val="22"/>
                <w:szCs w:val="22"/>
              </w:rPr>
              <w:t xml:space="preserve">restricts </w:t>
            </w:r>
            <w:r w:rsidR="009A179A">
              <w:rPr>
                <w:sz w:val="22"/>
                <w:szCs w:val="22"/>
              </w:rPr>
              <w:t xml:space="preserve">unwanted </w:t>
            </w:r>
            <w:r w:rsidR="008B289A">
              <w:rPr>
                <w:sz w:val="22"/>
                <w:szCs w:val="22"/>
              </w:rPr>
              <w:t xml:space="preserve"> telemarketing calls, but </w:t>
            </w:r>
            <w:r w:rsidR="00120E2F">
              <w:rPr>
                <w:sz w:val="22"/>
                <w:szCs w:val="22"/>
              </w:rPr>
              <w:t>are intended to build on the Registry’s</w:t>
            </w:r>
            <w:r w:rsidR="008B289A">
              <w:rPr>
                <w:sz w:val="22"/>
                <w:szCs w:val="22"/>
              </w:rPr>
              <w:t xml:space="preserve"> effectiveness by closing loopholes </w:t>
            </w:r>
            <w:r w:rsidR="00120E2F">
              <w:rPr>
                <w:sz w:val="22"/>
                <w:szCs w:val="22"/>
              </w:rPr>
              <w:t>and ensuring that consumers are fully protected from unwanted calls, including those not covered by the Registry.</w:t>
            </w:r>
            <w:r>
              <w:rPr>
                <w:sz w:val="22"/>
                <w:szCs w:val="22"/>
              </w:rPr>
              <w:t xml:space="preserve">  </w:t>
            </w:r>
          </w:p>
          <w:p w14:paraId="7C220396" w14:textId="77777777" w:rsidR="008B289A" w:rsidRDefault="008B289A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601719AA" w14:textId="08BFDACA" w:rsidR="00D23BD0" w:rsidRDefault="00DF0217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taking action today, the Commission</w:t>
            </w:r>
            <w:r w:rsidRPr="00DF0217">
              <w:rPr>
                <w:sz w:val="22"/>
                <w:szCs w:val="22"/>
              </w:rPr>
              <w:t xml:space="preserve"> is embracing the opportunity afforded by </w:t>
            </w:r>
            <w:r>
              <w:rPr>
                <w:sz w:val="22"/>
                <w:szCs w:val="22"/>
              </w:rPr>
              <w:t>the</w:t>
            </w:r>
            <w:r w:rsidRPr="00DF0217">
              <w:rPr>
                <w:sz w:val="22"/>
                <w:szCs w:val="22"/>
              </w:rPr>
              <w:t xml:space="preserve"> </w:t>
            </w:r>
            <w:r w:rsidR="009A179A">
              <w:rPr>
                <w:sz w:val="22"/>
                <w:szCs w:val="22"/>
              </w:rPr>
              <w:t>2</w:t>
            </w:r>
            <w:r w:rsidR="00EF7DB4">
              <w:rPr>
                <w:sz w:val="22"/>
                <w:szCs w:val="22"/>
              </w:rPr>
              <w:t>1</w:t>
            </w:r>
            <w:r w:rsidR="00120E2F">
              <w:rPr>
                <w:sz w:val="22"/>
                <w:szCs w:val="22"/>
              </w:rPr>
              <w:t xml:space="preserve"> requests for</w:t>
            </w:r>
            <w:r w:rsidR="009A179A">
              <w:rPr>
                <w:sz w:val="22"/>
                <w:szCs w:val="22"/>
              </w:rPr>
              <w:t xml:space="preserve"> c</w:t>
            </w:r>
            <w:r w:rsidR="00120E2F">
              <w:rPr>
                <w:sz w:val="22"/>
                <w:szCs w:val="22"/>
              </w:rPr>
              <w:t>larification</w:t>
            </w:r>
            <w:r w:rsidR="009A179A">
              <w:rPr>
                <w:sz w:val="22"/>
                <w:szCs w:val="22"/>
              </w:rPr>
              <w:t xml:space="preserve"> of the law </w:t>
            </w:r>
            <w:r w:rsidRPr="00DF0217">
              <w:rPr>
                <w:sz w:val="22"/>
                <w:szCs w:val="22"/>
              </w:rPr>
              <w:t>to clearly stand with consumers against unwanted calls.</w:t>
            </w:r>
          </w:p>
          <w:p w14:paraId="5ACF1CA6" w14:textId="77777777" w:rsidR="00A142AB" w:rsidRDefault="00A142A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568AF474" w14:textId="3019CBF8" w:rsidR="00A142AB" w:rsidRDefault="00A142A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A142AB">
              <w:rPr>
                <w:sz w:val="22"/>
                <w:szCs w:val="22"/>
              </w:rPr>
              <w:t>Action by the Commission June 18, 2015 by Declaratory Ruling and Order (FCC 15-72).  Chairman Wheeler and Commissioner Clyburn, Commissioners Rosenworcel and O’Rielly approving and dissenting in part and Commissioner Pai dissenting.  Chairman Wheeler, Commissioners Clyburn, Rosenworcel, Pai and O’Rielly issuing statements.</w:t>
            </w:r>
          </w:p>
          <w:p w14:paraId="43E32C07" w14:textId="77777777" w:rsidR="00DF0217" w:rsidRDefault="00DF0217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3D5F76EC" w14:textId="77777777" w:rsidR="004F0F1F" w:rsidRPr="008A3940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14:paraId="12621234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57611FE5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44116736" w14:textId="77777777"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6AB16658" w14:textId="28B7C4B2" w:rsidR="00CC5E08" w:rsidRPr="00EE0E90" w:rsidRDefault="0001501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32B0351B" w14:textId="77777777" w:rsidR="00EE0E90" w:rsidRDefault="00EE0E90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2CF21F4E" w14:textId="77777777" w:rsidR="00EE0E90" w:rsidRPr="00986C92" w:rsidRDefault="00EE0E90" w:rsidP="00986C92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FCC. 515 F 2d 385 (D.C. Circ 1974).</w:t>
            </w:r>
          </w:p>
          <w:p w14:paraId="5FA7CCA6" w14:textId="77777777" w:rsidR="00EE0E90" w:rsidRPr="00E644FE" w:rsidRDefault="00EE0E90" w:rsidP="00142C13">
            <w:pPr>
              <w:ind w:left="360" w:right="49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07F2" w:rsidRPr="008F78D8" w14:paraId="6DC0340F" w14:textId="77777777" w:rsidTr="006D5D22">
        <w:trPr>
          <w:trHeight w:val="2181"/>
        </w:trPr>
        <w:tc>
          <w:tcPr>
            <w:tcW w:w="8856" w:type="dxa"/>
          </w:tcPr>
          <w:p w14:paraId="44B4F8F9" w14:textId="77777777" w:rsidR="00AB07F2" w:rsidRDefault="00AB07F2" w:rsidP="006A7D75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14:paraId="019A07DB" w14:textId="77777777" w:rsidR="004F0F1F" w:rsidRDefault="004F0F1F">
      <w:pPr>
        <w:rPr>
          <w:b/>
          <w:bCs/>
          <w:sz w:val="32"/>
          <w:szCs w:val="32"/>
        </w:rPr>
      </w:pPr>
    </w:p>
    <w:p w14:paraId="0D2C1F53" w14:textId="77777777"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9081E" w14:textId="77777777" w:rsidR="00C1623F" w:rsidRDefault="00C1623F" w:rsidP="00C1623F">
      <w:r>
        <w:separator/>
      </w:r>
    </w:p>
  </w:endnote>
  <w:endnote w:type="continuationSeparator" w:id="0">
    <w:p w14:paraId="6ECB53CE" w14:textId="77777777" w:rsidR="00C1623F" w:rsidRDefault="00C1623F" w:rsidP="00C1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887EF" w14:textId="77777777" w:rsidR="006F2BCA" w:rsidRDefault="006F2B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7212D" w14:textId="77777777" w:rsidR="006F2BCA" w:rsidRDefault="006F2B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B840" w14:textId="77777777" w:rsidR="006F2BCA" w:rsidRDefault="006F2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B2094" w14:textId="77777777" w:rsidR="00C1623F" w:rsidRDefault="00C1623F" w:rsidP="00C1623F">
      <w:r>
        <w:separator/>
      </w:r>
    </w:p>
  </w:footnote>
  <w:footnote w:type="continuationSeparator" w:id="0">
    <w:p w14:paraId="5708A0DF" w14:textId="77777777" w:rsidR="00C1623F" w:rsidRDefault="00C1623F" w:rsidP="00C16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EC2AE" w14:textId="77777777" w:rsidR="006F2BCA" w:rsidRDefault="006F2B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537DB" w14:textId="77777777" w:rsidR="006F2BCA" w:rsidRDefault="006F2B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9D990" w14:textId="77777777" w:rsidR="006F2BCA" w:rsidRDefault="006F2B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11AB0610"/>
    <w:multiLevelType w:val="hybridMultilevel"/>
    <w:tmpl w:val="E2BE50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6DDF63A5"/>
    <w:multiLevelType w:val="hybridMultilevel"/>
    <w:tmpl w:val="15861152"/>
    <w:lvl w:ilvl="0" w:tplc="C7407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1501F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0E2F"/>
    <w:rsid w:val="00123ED2"/>
    <w:rsid w:val="00125BE0"/>
    <w:rsid w:val="00142C13"/>
    <w:rsid w:val="00152776"/>
    <w:rsid w:val="00153222"/>
    <w:rsid w:val="001577D3"/>
    <w:rsid w:val="00171166"/>
    <w:rsid w:val="001733A6"/>
    <w:rsid w:val="001865A9"/>
    <w:rsid w:val="00187DB2"/>
    <w:rsid w:val="001919E5"/>
    <w:rsid w:val="001B0235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D234B"/>
    <w:rsid w:val="002E3F1D"/>
    <w:rsid w:val="002F31D0"/>
    <w:rsid w:val="00300359"/>
    <w:rsid w:val="003009AE"/>
    <w:rsid w:val="00311ACD"/>
    <w:rsid w:val="0031773E"/>
    <w:rsid w:val="003205ED"/>
    <w:rsid w:val="0034433F"/>
    <w:rsid w:val="00347716"/>
    <w:rsid w:val="003506E1"/>
    <w:rsid w:val="003727E3"/>
    <w:rsid w:val="00385A93"/>
    <w:rsid w:val="003910F1"/>
    <w:rsid w:val="00391458"/>
    <w:rsid w:val="003E42FC"/>
    <w:rsid w:val="003E5991"/>
    <w:rsid w:val="003F344A"/>
    <w:rsid w:val="00403FF0"/>
    <w:rsid w:val="0042046D"/>
    <w:rsid w:val="00425AEF"/>
    <w:rsid w:val="00426518"/>
    <w:rsid w:val="00427B06"/>
    <w:rsid w:val="00433FCA"/>
    <w:rsid w:val="00441F59"/>
    <w:rsid w:val="00444E07"/>
    <w:rsid w:val="00444FA9"/>
    <w:rsid w:val="00473E9C"/>
    <w:rsid w:val="00480099"/>
    <w:rsid w:val="0049279E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6D37"/>
    <w:rsid w:val="0050757F"/>
    <w:rsid w:val="00516AD2"/>
    <w:rsid w:val="00522090"/>
    <w:rsid w:val="00545DAE"/>
    <w:rsid w:val="005706FE"/>
    <w:rsid w:val="00571B83"/>
    <w:rsid w:val="00575A00"/>
    <w:rsid w:val="0058673C"/>
    <w:rsid w:val="005A7972"/>
    <w:rsid w:val="005B17E7"/>
    <w:rsid w:val="005B2643"/>
    <w:rsid w:val="005B69D5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1166"/>
    <w:rsid w:val="00665633"/>
    <w:rsid w:val="00674C86"/>
    <w:rsid w:val="0068015E"/>
    <w:rsid w:val="006861AB"/>
    <w:rsid w:val="00686B89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6F2BCA"/>
    <w:rsid w:val="00700556"/>
    <w:rsid w:val="007147AA"/>
    <w:rsid w:val="007167DD"/>
    <w:rsid w:val="0072478B"/>
    <w:rsid w:val="00730609"/>
    <w:rsid w:val="0073414D"/>
    <w:rsid w:val="0075235E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232A9"/>
    <w:rsid w:val="00830FC6"/>
    <w:rsid w:val="008322F1"/>
    <w:rsid w:val="00865EAA"/>
    <w:rsid w:val="00866F06"/>
    <w:rsid w:val="008728F5"/>
    <w:rsid w:val="008824C2"/>
    <w:rsid w:val="008960E4"/>
    <w:rsid w:val="008A3940"/>
    <w:rsid w:val="008B13C9"/>
    <w:rsid w:val="008B289A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27823"/>
    <w:rsid w:val="00961620"/>
    <w:rsid w:val="009734B6"/>
    <w:rsid w:val="0098096F"/>
    <w:rsid w:val="0098437A"/>
    <w:rsid w:val="00986C92"/>
    <w:rsid w:val="00993C47"/>
    <w:rsid w:val="009A179A"/>
    <w:rsid w:val="009B4B16"/>
    <w:rsid w:val="009E54A1"/>
    <w:rsid w:val="009F4E25"/>
    <w:rsid w:val="009F5B1F"/>
    <w:rsid w:val="00A142AB"/>
    <w:rsid w:val="00A35DFD"/>
    <w:rsid w:val="00A702DF"/>
    <w:rsid w:val="00A775A3"/>
    <w:rsid w:val="00A77618"/>
    <w:rsid w:val="00A81B5B"/>
    <w:rsid w:val="00A82FAD"/>
    <w:rsid w:val="00A84715"/>
    <w:rsid w:val="00A9673A"/>
    <w:rsid w:val="00A96EF2"/>
    <w:rsid w:val="00AA0579"/>
    <w:rsid w:val="00AA5C35"/>
    <w:rsid w:val="00AA5ED9"/>
    <w:rsid w:val="00AB07F2"/>
    <w:rsid w:val="00AC0A38"/>
    <w:rsid w:val="00AC4E0E"/>
    <w:rsid w:val="00AC517B"/>
    <w:rsid w:val="00AD0D19"/>
    <w:rsid w:val="00AD30BD"/>
    <w:rsid w:val="00AF051B"/>
    <w:rsid w:val="00B037A2"/>
    <w:rsid w:val="00B31870"/>
    <w:rsid w:val="00B320B8"/>
    <w:rsid w:val="00B35EE2"/>
    <w:rsid w:val="00B36DEF"/>
    <w:rsid w:val="00B54640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C5BAC"/>
    <w:rsid w:val="00BD19E8"/>
    <w:rsid w:val="00BD4273"/>
    <w:rsid w:val="00C1623F"/>
    <w:rsid w:val="00C432E4"/>
    <w:rsid w:val="00C67DA9"/>
    <w:rsid w:val="00C70C26"/>
    <w:rsid w:val="00C72001"/>
    <w:rsid w:val="00C772B7"/>
    <w:rsid w:val="00C80347"/>
    <w:rsid w:val="00CB7C1A"/>
    <w:rsid w:val="00CC5E08"/>
    <w:rsid w:val="00CD36D1"/>
    <w:rsid w:val="00CE25AB"/>
    <w:rsid w:val="00CF6860"/>
    <w:rsid w:val="00D02AC6"/>
    <w:rsid w:val="00D03F0C"/>
    <w:rsid w:val="00D04312"/>
    <w:rsid w:val="00D04956"/>
    <w:rsid w:val="00D16A7F"/>
    <w:rsid w:val="00D16AD2"/>
    <w:rsid w:val="00D22596"/>
    <w:rsid w:val="00D22691"/>
    <w:rsid w:val="00D23BD0"/>
    <w:rsid w:val="00D24C3D"/>
    <w:rsid w:val="00D46170"/>
    <w:rsid w:val="00D46CB1"/>
    <w:rsid w:val="00D66EEC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C62C9"/>
    <w:rsid w:val="00DD1750"/>
    <w:rsid w:val="00DE6E8F"/>
    <w:rsid w:val="00DF0217"/>
    <w:rsid w:val="00E349AA"/>
    <w:rsid w:val="00E36CA2"/>
    <w:rsid w:val="00E41390"/>
    <w:rsid w:val="00E41CA0"/>
    <w:rsid w:val="00E4366B"/>
    <w:rsid w:val="00E50A4A"/>
    <w:rsid w:val="00E5189B"/>
    <w:rsid w:val="00E606DE"/>
    <w:rsid w:val="00E644FE"/>
    <w:rsid w:val="00E72733"/>
    <w:rsid w:val="00E742FA"/>
    <w:rsid w:val="00E76816"/>
    <w:rsid w:val="00E831EC"/>
    <w:rsid w:val="00E83DBF"/>
    <w:rsid w:val="00E87C13"/>
    <w:rsid w:val="00E94CD9"/>
    <w:rsid w:val="00EA1A76"/>
    <w:rsid w:val="00EA290B"/>
    <w:rsid w:val="00EB74E6"/>
    <w:rsid w:val="00EE0E90"/>
    <w:rsid w:val="00EE2F79"/>
    <w:rsid w:val="00EE75ED"/>
    <w:rsid w:val="00EF3BCA"/>
    <w:rsid w:val="00EF7DB4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3E48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B66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qFormat/>
    <w:rsid w:val="00D04956"/>
    <w:pPr>
      <w:ind w:left="720"/>
    </w:pPr>
    <w:rPr>
      <w:rFonts w:eastAsia="ヒラギノ角ゴ Pro W3"/>
      <w:color w:val="000000"/>
      <w:sz w:val="24"/>
    </w:rPr>
  </w:style>
  <w:style w:type="character" w:styleId="CommentReference">
    <w:name w:val="annotation reference"/>
    <w:basedOn w:val="DefaultParagraphFont"/>
    <w:semiHidden/>
    <w:unhideWhenUsed/>
    <w:rsid w:val="00D23B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3B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3B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3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3BD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D23B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3BD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20E2F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C16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623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16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62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qFormat/>
    <w:rsid w:val="00D04956"/>
    <w:pPr>
      <w:ind w:left="720"/>
    </w:pPr>
    <w:rPr>
      <w:rFonts w:eastAsia="ヒラギノ角ゴ Pro W3"/>
      <w:color w:val="000000"/>
      <w:sz w:val="24"/>
    </w:rPr>
  </w:style>
  <w:style w:type="character" w:styleId="CommentReference">
    <w:name w:val="annotation reference"/>
    <w:basedOn w:val="DefaultParagraphFont"/>
    <w:semiHidden/>
    <w:unhideWhenUsed/>
    <w:rsid w:val="00D23B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3B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3B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3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3BD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D23B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3BD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20E2F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C16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623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16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62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3980</Characters>
  <Application>Microsoft Office Word</Application>
  <DocSecurity>0</DocSecurity>
  <Lines>82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4662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2015-06-18T15:02:00Z</cp:lastPrinted>
  <dcterms:created xsi:type="dcterms:W3CDTF">2015-06-19T16:08:00Z</dcterms:created>
  <dcterms:modified xsi:type="dcterms:W3CDTF">2015-06-19T16:08:00Z</dcterms:modified>
  <cp:category> </cp:category>
  <cp:contentStatus> </cp:contentStatus>
</cp:coreProperties>
</file>