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2F135" w14:textId="247809E0" w:rsidR="002D5128" w:rsidRPr="002E724C" w:rsidRDefault="00A41D48" w:rsidP="001A5706">
      <w:pPr>
        <w:spacing w:line="240" w:lineRule="auto"/>
        <w:rPr>
          <w:b/>
          <w:sz w:val="24"/>
          <w:szCs w:val="24"/>
        </w:rPr>
      </w:pPr>
      <w:bookmarkStart w:id="0" w:name="_GoBack"/>
      <w:bookmarkEnd w:id="0"/>
      <w:r>
        <w:rPr>
          <w:b/>
          <w:sz w:val="24"/>
          <w:szCs w:val="24"/>
        </w:rPr>
        <w:t xml:space="preserve">FACT SHEET: </w:t>
      </w:r>
      <w:r w:rsidRPr="002E724C">
        <w:rPr>
          <w:b/>
          <w:sz w:val="24"/>
          <w:szCs w:val="24"/>
        </w:rPr>
        <w:t>Chairman Wheeler’s Proposals</w:t>
      </w:r>
      <w:r>
        <w:rPr>
          <w:b/>
          <w:sz w:val="24"/>
          <w:szCs w:val="24"/>
        </w:rPr>
        <w:t xml:space="preserve"> to </w:t>
      </w:r>
      <w:r w:rsidR="00153DBF">
        <w:rPr>
          <w:b/>
          <w:sz w:val="24"/>
          <w:szCs w:val="24"/>
        </w:rPr>
        <w:t>Protect</w:t>
      </w:r>
      <w:r w:rsidR="005346A9" w:rsidRPr="002E724C">
        <w:rPr>
          <w:b/>
          <w:sz w:val="24"/>
          <w:szCs w:val="24"/>
        </w:rPr>
        <w:t xml:space="preserve"> Consumers</w:t>
      </w:r>
      <w:r w:rsidR="00153DBF">
        <w:rPr>
          <w:b/>
          <w:sz w:val="24"/>
          <w:szCs w:val="24"/>
        </w:rPr>
        <w:t xml:space="preserve"> </w:t>
      </w:r>
      <w:r>
        <w:rPr>
          <w:b/>
          <w:sz w:val="24"/>
          <w:szCs w:val="24"/>
        </w:rPr>
        <w:t xml:space="preserve">&amp; Promote </w:t>
      </w:r>
      <w:r w:rsidR="00153DBF">
        <w:rPr>
          <w:b/>
          <w:sz w:val="24"/>
          <w:szCs w:val="24"/>
        </w:rPr>
        <w:t>Competition and Public Safety</w:t>
      </w:r>
      <w:r>
        <w:rPr>
          <w:b/>
          <w:sz w:val="24"/>
          <w:szCs w:val="24"/>
        </w:rPr>
        <w:t xml:space="preserve"> </w:t>
      </w:r>
      <w:r w:rsidR="005346A9" w:rsidRPr="002E724C">
        <w:rPr>
          <w:b/>
          <w:sz w:val="24"/>
          <w:szCs w:val="24"/>
        </w:rPr>
        <w:t xml:space="preserve">in the </w:t>
      </w:r>
      <w:r w:rsidR="004C2476" w:rsidRPr="002E724C">
        <w:rPr>
          <w:b/>
          <w:sz w:val="24"/>
          <w:szCs w:val="24"/>
        </w:rPr>
        <w:t>Technology Transitions</w:t>
      </w:r>
    </w:p>
    <w:p w14:paraId="15BB637C" w14:textId="57136454" w:rsidR="00A41D48" w:rsidRDefault="0011092F" w:rsidP="001A5706">
      <w:pPr>
        <w:spacing w:line="240" w:lineRule="auto"/>
      </w:pPr>
      <w:r>
        <w:t xml:space="preserve">Phone and Internet providers </w:t>
      </w:r>
      <w:r w:rsidR="00806E1F">
        <w:t xml:space="preserve">are increasingly </w:t>
      </w:r>
      <w:r w:rsidR="00F35C07">
        <w:t xml:space="preserve">replacing </w:t>
      </w:r>
      <w:r w:rsidR="00B50BC8">
        <w:t xml:space="preserve">their </w:t>
      </w:r>
      <w:r w:rsidR="002F6EB9">
        <w:t xml:space="preserve">legacy </w:t>
      </w:r>
      <w:r w:rsidR="00B50BC8">
        <w:t>copper networ</w:t>
      </w:r>
      <w:r w:rsidR="00E1336A">
        <w:t>ks</w:t>
      </w:r>
      <w:r w:rsidR="00B50BC8">
        <w:t xml:space="preserve"> </w:t>
      </w:r>
      <w:r w:rsidR="00775B96">
        <w:t xml:space="preserve">with </w:t>
      </w:r>
      <w:r w:rsidR="002F6EB9">
        <w:t>next</w:t>
      </w:r>
      <w:r w:rsidR="00273ACB">
        <w:t>-</w:t>
      </w:r>
      <w:r w:rsidR="002F6EB9">
        <w:t xml:space="preserve">generation </w:t>
      </w:r>
      <w:r w:rsidR="00B50BC8">
        <w:t>networks</w:t>
      </w:r>
      <w:r w:rsidR="002F6EB9">
        <w:t xml:space="preserve"> that enable </w:t>
      </w:r>
      <w:r w:rsidR="00D27A13">
        <w:t xml:space="preserve">greater </w:t>
      </w:r>
      <w:r w:rsidR="002F6EB9">
        <w:t xml:space="preserve">broadband </w:t>
      </w:r>
      <w:r w:rsidR="00D27A13">
        <w:t>speeds, efficiency</w:t>
      </w:r>
      <w:r w:rsidR="00EF0F78">
        <w:t>,</w:t>
      </w:r>
      <w:r w:rsidR="00D27A13">
        <w:t xml:space="preserve"> capacity</w:t>
      </w:r>
      <w:r w:rsidR="0066772D">
        <w:t>,</w:t>
      </w:r>
      <w:r w:rsidR="00D27A13">
        <w:t xml:space="preserve"> </w:t>
      </w:r>
      <w:r w:rsidR="0079786D">
        <w:t xml:space="preserve">and a wealth of </w:t>
      </w:r>
      <w:r w:rsidR="00E1336A">
        <w:t>innovative</w:t>
      </w:r>
      <w:r w:rsidR="00D27A13">
        <w:t xml:space="preserve"> features</w:t>
      </w:r>
      <w:r w:rsidR="0079786D">
        <w:t xml:space="preserve">. </w:t>
      </w:r>
      <w:r w:rsidR="00E1336A">
        <w:t xml:space="preserve">But the FCC’s </w:t>
      </w:r>
      <w:r w:rsidR="00D27A13">
        <w:t>rules</w:t>
      </w:r>
      <w:r w:rsidR="00E1336A">
        <w:t xml:space="preserve"> </w:t>
      </w:r>
      <w:r w:rsidR="00BA0BBD">
        <w:t xml:space="preserve">have not kept pace and </w:t>
      </w:r>
      <w:r w:rsidR="002F6EB9">
        <w:t xml:space="preserve">do not </w:t>
      </w:r>
      <w:r w:rsidR="005C108B">
        <w:t>facilitat</w:t>
      </w:r>
      <w:r w:rsidR="002F6EB9">
        <w:t>e</w:t>
      </w:r>
      <w:r w:rsidR="005C108B">
        <w:t xml:space="preserve"> </w:t>
      </w:r>
      <w:r w:rsidR="00AD625A">
        <w:t xml:space="preserve">the </w:t>
      </w:r>
      <w:r w:rsidR="0079786D">
        <w:t>transitions now sweeping</w:t>
      </w:r>
      <w:r w:rsidR="00D27A13">
        <w:t xml:space="preserve"> across</w:t>
      </w:r>
      <w:r w:rsidR="0079786D">
        <w:t xml:space="preserve"> the industry. </w:t>
      </w:r>
    </w:p>
    <w:p w14:paraId="50E44B96" w14:textId="0289AA12" w:rsidR="0079786D" w:rsidRDefault="00AD625A" w:rsidP="001A5706">
      <w:pPr>
        <w:spacing w:line="240" w:lineRule="auto"/>
      </w:pPr>
      <w:r>
        <w:t xml:space="preserve">Today, Chairman Tom Wheeler </w:t>
      </w:r>
      <w:r w:rsidR="002F6EB9">
        <w:t xml:space="preserve">will circulate </w:t>
      </w:r>
      <w:r w:rsidR="000166DD">
        <w:t xml:space="preserve">two </w:t>
      </w:r>
      <w:r w:rsidR="002F6EB9">
        <w:t>item</w:t>
      </w:r>
      <w:r w:rsidR="000166DD">
        <w:t>s</w:t>
      </w:r>
      <w:r w:rsidR="002F6EB9">
        <w:t xml:space="preserve"> </w:t>
      </w:r>
      <w:r w:rsidR="0011092F">
        <w:t xml:space="preserve">to his fellow Commissioners </w:t>
      </w:r>
      <w:r w:rsidR="002F6EB9">
        <w:t>that would</w:t>
      </w:r>
      <w:r w:rsidR="00E46B2D">
        <w:t xml:space="preserve"> </w:t>
      </w:r>
      <w:r w:rsidR="0079786D">
        <w:t>updat</w:t>
      </w:r>
      <w:r w:rsidR="001701AB">
        <w:t>e</w:t>
      </w:r>
      <w:r w:rsidR="0079786D">
        <w:t xml:space="preserve"> the FCC’</w:t>
      </w:r>
      <w:r w:rsidR="00D27A13">
        <w:t>s rules to help deliver the promise of dynamic new network</w:t>
      </w:r>
      <w:r w:rsidR="00F76A48">
        <w:t>s and all their benefits while ensuring that</w:t>
      </w:r>
      <w:r w:rsidR="001701AB">
        <w:t xml:space="preserve"> cons</w:t>
      </w:r>
      <w:r w:rsidR="00E1336A">
        <w:t>umers</w:t>
      </w:r>
      <w:r w:rsidR="001142E2">
        <w:t xml:space="preserve">, businesses, governments, schools, libraries and hospitals </w:t>
      </w:r>
      <w:r w:rsidR="005C108B">
        <w:t xml:space="preserve">have a </w:t>
      </w:r>
      <w:r w:rsidR="001701AB">
        <w:t xml:space="preserve">voice </w:t>
      </w:r>
      <w:r w:rsidR="002F6EB9">
        <w:t>in that transition</w:t>
      </w:r>
      <w:r w:rsidR="00E1336A">
        <w:t>.</w:t>
      </w:r>
      <w:r w:rsidR="00DB4277">
        <w:t xml:space="preserve"> </w:t>
      </w:r>
      <w:r>
        <w:t xml:space="preserve"> </w:t>
      </w:r>
      <w:r w:rsidR="0011092F">
        <w:t>If adopted at the Commission Open Meeting on August 6, t</w:t>
      </w:r>
      <w:r>
        <w:t xml:space="preserve">hese </w:t>
      </w:r>
      <w:r w:rsidR="00DB4277">
        <w:t xml:space="preserve">clear </w:t>
      </w:r>
      <w:r>
        <w:t xml:space="preserve">rules </w:t>
      </w:r>
      <w:r w:rsidR="00DB4277">
        <w:t xml:space="preserve">of the road </w:t>
      </w:r>
      <w:r w:rsidR="00AD1496">
        <w:t xml:space="preserve">will give providers </w:t>
      </w:r>
      <w:r>
        <w:t>the</w:t>
      </w:r>
      <w:r w:rsidR="00AD1496">
        <w:t xml:space="preserve"> certainty they need to </w:t>
      </w:r>
      <w:r w:rsidR="001701AB">
        <w:t>invest</w:t>
      </w:r>
      <w:r>
        <w:t>, while protecting consumers, competition and public safety</w:t>
      </w:r>
      <w:r w:rsidR="00F76A48">
        <w:t>.</w:t>
      </w:r>
    </w:p>
    <w:p w14:paraId="61349487" w14:textId="77777777" w:rsidR="000166DD" w:rsidRPr="00A07391" w:rsidRDefault="000166DD" w:rsidP="001A5706">
      <w:pPr>
        <w:spacing w:after="0" w:line="240" w:lineRule="auto"/>
        <w:rPr>
          <w:b/>
          <w:i/>
        </w:rPr>
      </w:pPr>
      <w:r>
        <w:rPr>
          <w:b/>
          <w:i/>
        </w:rPr>
        <w:t>Protect Emergency Calling While Promoting Consumer Choice</w:t>
      </w:r>
    </w:p>
    <w:p w14:paraId="3664F546" w14:textId="648088B1" w:rsidR="000166DD" w:rsidRDefault="000166DD" w:rsidP="001A5706">
      <w:pPr>
        <w:tabs>
          <w:tab w:val="left" w:pos="360"/>
          <w:tab w:val="left" w:pos="720"/>
        </w:tabs>
        <w:spacing w:after="200" w:line="240" w:lineRule="auto"/>
        <w:contextualSpacing/>
      </w:pPr>
      <w:r>
        <w:t xml:space="preserve">First, the Chairman plans to circulate a Report </w:t>
      </w:r>
      <w:r w:rsidR="00273ACB">
        <w:t>and</w:t>
      </w:r>
      <w:r>
        <w:t xml:space="preserve"> Order that would</w:t>
      </w:r>
      <w:r w:rsidRPr="00BE09D1">
        <w:t xml:space="preserve"> help </w:t>
      </w:r>
      <w:r>
        <w:t>ensure consumers have</w:t>
      </w:r>
      <w:r w:rsidRPr="00BE09D1">
        <w:t xml:space="preserve"> the information </w:t>
      </w:r>
      <w:r>
        <w:t xml:space="preserve">and tools </w:t>
      </w:r>
      <w:r w:rsidRPr="00BE09D1">
        <w:t xml:space="preserve">necessary to </w:t>
      </w:r>
      <w:r>
        <w:t>maintain available communications</w:t>
      </w:r>
      <w:r w:rsidRPr="00BE09D1">
        <w:t xml:space="preserve"> </w:t>
      </w:r>
      <w:r>
        <w:t xml:space="preserve">at home </w:t>
      </w:r>
      <w:r w:rsidRPr="00BE09D1">
        <w:t xml:space="preserve">during </w:t>
      </w:r>
      <w:r>
        <w:t xml:space="preserve">an </w:t>
      </w:r>
      <w:r w:rsidRPr="00BE09D1">
        <w:t>emergenc</w:t>
      </w:r>
      <w:r>
        <w:t>y</w:t>
      </w:r>
      <w:r w:rsidRPr="00BE09D1">
        <w:t>.</w:t>
      </w:r>
      <w:r>
        <w:t xml:space="preserve"> </w:t>
      </w:r>
      <w:r w:rsidRPr="00BE09D1">
        <w:t>T</w:t>
      </w:r>
      <w:r>
        <w:t xml:space="preserve">raditional, copper-based </w:t>
      </w:r>
      <w:r w:rsidRPr="00BE09D1">
        <w:t>landline home phone service typically work</w:t>
      </w:r>
      <w:r>
        <w:t>s</w:t>
      </w:r>
      <w:r w:rsidRPr="00BE09D1">
        <w:t xml:space="preserve"> during electric outages</w:t>
      </w:r>
      <w:r>
        <w:t xml:space="preserve"> because the service provide</w:t>
      </w:r>
      <w:r w:rsidR="00691D68">
        <w:t>s</w:t>
      </w:r>
      <w:r>
        <w:t xml:space="preserve"> its own power</w:t>
      </w:r>
      <w:r w:rsidRPr="00BE09D1">
        <w:t xml:space="preserve">, </w:t>
      </w:r>
      <w:r>
        <w:t xml:space="preserve">but </w:t>
      </w:r>
      <w:r w:rsidRPr="00BE09D1">
        <w:t>modern substitutes usually need backup power to keep operating</w:t>
      </w:r>
      <w:r>
        <w:t xml:space="preserve"> during a power outage</w:t>
      </w:r>
      <w:r w:rsidRPr="00BE09D1">
        <w:t>.</w:t>
      </w:r>
      <w:r w:rsidR="00925B15">
        <w:t xml:space="preserve"> </w:t>
      </w:r>
      <w:r>
        <w:t>If adopted, t</w:t>
      </w:r>
      <w:r w:rsidRPr="00BE09D1">
        <w:t>he</w:t>
      </w:r>
      <w:r>
        <w:t>se</w:t>
      </w:r>
      <w:r w:rsidRPr="00BE09D1">
        <w:t xml:space="preserve"> rules would require providers of these substitutes</w:t>
      </w:r>
      <w:r w:rsidR="004D6326">
        <w:t>, such as a cable company’s bundled voice service</w:t>
      </w:r>
      <w:r w:rsidR="00273ACB">
        <w:t>,</w:t>
      </w:r>
      <w:r w:rsidRPr="00BE09D1">
        <w:t xml:space="preserve"> to offer consumers the </w:t>
      </w:r>
      <w:r w:rsidRPr="00A07391">
        <w:t>option</w:t>
      </w:r>
      <w:r w:rsidRPr="00FD3A02">
        <w:t xml:space="preserve"> </w:t>
      </w:r>
      <w:r w:rsidRPr="00BE09D1">
        <w:t xml:space="preserve">to buy </w:t>
      </w:r>
      <w:r>
        <w:t>backup</w:t>
      </w:r>
      <w:r w:rsidRPr="00BE09D1">
        <w:t xml:space="preserve"> power so they can use their </w:t>
      </w:r>
      <w:r>
        <w:t xml:space="preserve">home </w:t>
      </w:r>
      <w:r w:rsidRPr="00BE09D1">
        <w:t>phones during power outages</w:t>
      </w:r>
      <w:r>
        <w:t>.</w:t>
      </w:r>
    </w:p>
    <w:p w14:paraId="5A225DE3" w14:textId="77777777" w:rsidR="000166DD" w:rsidRDefault="000166DD" w:rsidP="001A5706">
      <w:pPr>
        <w:pStyle w:val="ListParagraph"/>
        <w:numPr>
          <w:ilvl w:val="0"/>
          <w:numId w:val="12"/>
        </w:numPr>
        <w:tabs>
          <w:tab w:val="left" w:pos="360"/>
          <w:tab w:val="left" w:pos="720"/>
        </w:tabs>
        <w:spacing w:line="240" w:lineRule="auto"/>
      </w:pPr>
      <w:r>
        <w:t>These p</w:t>
      </w:r>
      <w:r w:rsidRPr="008C7A1B">
        <w:t xml:space="preserve">roviders </w:t>
      </w:r>
      <w:r>
        <w:t>would be required to ensure that</w:t>
      </w:r>
      <w:r w:rsidRPr="008C7A1B">
        <w:t xml:space="preserve"> </w:t>
      </w:r>
      <w:r>
        <w:t xml:space="preserve">a technical solution for 8 hours of </w:t>
      </w:r>
      <w:r w:rsidRPr="008C7A1B">
        <w:t xml:space="preserve">standby backup power </w:t>
      </w:r>
      <w:r>
        <w:t>is available for consumers to</w:t>
      </w:r>
      <w:r w:rsidRPr="008C7A1B">
        <w:t xml:space="preserve"> purchase, </w:t>
      </w:r>
      <w:r>
        <w:t>either directly or</w:t>
      </w:r>
      <w:r w:rsidRPr="008C7A1B">
        <w:t xml:space="preserve"> from </w:t>
      </w:r>
      <w:r>
        <w:t xml:space="preserve">a third-party retailer, at the point of sale. </w:t>
      </w:r>
    </w:p>
    <w:p w14:paraId="7378B709" w14:textId="49A4FADF" w:rsidR="000166DD" w:rsidRDefault="000166DD" w:rsidP="001A5706">
      <w:pPr>
        <w:pStyle w:val="ListParagraph"/>
        <w:numPr>
          <w:ilvl w:val="0"/>
          <w:numId w:val="12"/>
        </w:numPr>
        <w:tabs>
          <w:tab w:val="left" w:pos="360"/>
          <w:tab w:val="left" w:pos="720"/>
        </w:tabs>
        <w:spacing w:line="240" w:lineRule="auto"/>
      </w:pPr>
      <w:r>
        <w:t>Within three years, providers would also be required to offer an option for 24 hours of standby backup power</w:t>
      </w:r>
      <w:r w:rsidR="00273ACB">
        <w:t>.</w:t>
      </w:r>
    </w:p>
    <w:p w14:paraId="7912D1D9" w14:textId="62B39CC6" w:rsidR="000166DD" w:rsidRDefault="000166DD" w:rsidP="001A5706">
      <w:pPr>
        <w:tabs>
          <w:tab w:val="left" w:pos="360"/>
          <w:tab w:val="left" w:pos="720"/>
        </w:tabs>
        <w:spacing w:line="240" w:lineRule="auto"/>
      </w:pPr>
      <w:r>
        <w:t xml:space="preserve">Importantly, the decision to purchase backup power from the provider would be up to consumers – they will not be forced to purchase equipment they do not want. </w:t>
      </w:r>
    </w:p>
    <w:p w14:paraId="41D8D2BD" w14:textId="3984749D" w:rsidR="000166DD" w:rsidRDefault="000166DD" w:rsidP="001A5706">
      <w:pPr>
        <w:tabs>
          <w:tab w:val="left" w:pos="360"/>
          <w:tab w:val="left" w:pos="720"/>
        </w:tabs>
        <w:spacing w:line="240" w:lineRule="auto"/>
        <w:contextualSpacing/>
      </w:pPr>
      <w:r>
        <w:t xml:space="preserve">The rules also would require providers to </w:t>
      </w:r>
      <w:r w:rsidRPr="00C54A8E">
        <w:t xml:space="preserve">inform </w:t>
      </w:r>
      <w:r>
        <w:t>both current and new customers about service</w:t>
      </w:r>
      <w:r w:rsidRPr="008B29EB">
        <w:t xml:space="preserve"> </w:t>
      </w:r>
      <w:r>
        <w:t>limitations during electric</w:t>
      </w:r>
      <w:r w:rsidRPr="008B29EB">
        <w:t xml:space="preserve"> outages and the steps they can take to add</w:t>
      </w:r>
      <w:r>
        <w:t>ress tho</w:t>
      </w:r>
      <w:r w:rsidRPr="008B29EB">
        <w:t>se risks</w:t>
      </w:r>
      <w:r>
        <w:t xml:space="preserve"> through backup power, including how to keep their service operational during a multi-day power outage.</w:t>
      </w:r>
      <w:r w:rsidR="00925B15">
        <w:t xml:space="preserve"> </w:t>
      </w:r>
      <w:r w:rsidRPr="00BE09D1">
        <w:t xml:space="preserve">This action </w:t>
      </w:r>
      <w:r>
        <w:t>would empower consumers to make informed choices and support their need for 911 service during emergencies.</w:t>
      </w:r>
    </w:p>
    <w:p w14:paraId="4CF3AA06" w14:textId="77777777" w:rsidR="00925B15" w:rsidRDefault="00925B15" w:rsidP="001A5706">
      <w:pPr>
        <w:tabs>
          <w:tab w:val="left" w:pos="360"/>
          <w:tab w:val="left" w:pos="720"/>
        </w:tabs>
        <w:spacing w:line="240" w:lineRule="auto"/>
        <w:contextualSpacing/>
      </w:pPr>
    </w:p>
    <w:p w14:paraId="3ACE90EE" w14:textId="1B59808C" w:rsidR="00925B15" w:rsidRDefault="00BB13A7" w:rsidP="001A5706">
      <w:pPr>
        <w:spacing w:line="240" w:lineRule="auto"/>
      </w:pPr>
      <w:r w:rsidRPr="001701AB">
        <w:rPr>
          <w:b/>
          <w:i/>
        </w:rPr>
        <w:t>Inform and Protect Consumers as Networks Change</w:t>
      </w:r>
      <w:r w:rsidR="000166DD">
        <w:rPr>
          <w:b/>
          <w:i/>
        </w:rPr>
        <w:br/>
      </w:r>
      <w:r w:rsidR="000166DD">
        <w:t>A</w:t>
      </w:r>
      <w:r w:rsidR="000166DD" w:rsidRPr="00ED1160">
        <w:t xml:space="preserve"> separate Report </w:t>
      </w:r>
      <w:r w:rsidR="00273ACB">
        <w:t>and</w:t>
      </w:r>
      <w:r w:rsidR="000166DD" w:rsidRPr="00ED1160">
        <w:t xml:space="preserve"> Order</w:t>
      </w:r>
      <w:r w:rsidR="00ED1160">
        <w:t>, Order on Reconsideration</w:t>
      </w:r>
      <w:r w:rsidR="000166DD" w:rsidRPr="00ED1160">
        <w:t xml:space="preserve"> and Further Notice of Proposed Rulemaking</w:t>
      </w:r>
      <w:r w:rsidR="000166DD">
        <w:t xml:space="preserve"> would</w:t>
      </w:r>
      <w:r w:rsidR="00ED1160">
        <w:t>, if adopted</w:t>
      </w:r>
      <w:r w:rsidR="000166DD">
        <w:t>:</w:t>
      </w:r>
    </w:p>
    <w:p w14:paraId="483B060C" w14:textId="53A53A8C" w:rsidR="00925B15" w:rsidRDefault="000166DD" w:rsidP="001A5706">
      <w:pPr>
        <w:spacing w:after="0" w:line="240" w:lineRule="auto"/>
        <w:rPr>
          <w:b/>
        </w:rPr>
      </w:pPr>
      <w:r>
        <w:rPr>
          <w:b/>
        </w:rPr>
        <w:t xml:space="preserve">Protect </w:t>
      </w:r>
      <w:r w:rsidR="002F6EB9">
        <w:rPr>
          <w:b/>
        </w:rPr>
        <w:t>consumers as</w:t>
      </w:r>
      <w:r w:rsidR="004C2476" w:rsidRPr="00ED1160">
        <w:rPr>
          <w:b/>
        </w:rPr>
        <w:t xml:space="preserve"> copper networks</w:t>
      </w:r>
      <w:r w:rsidR="002F6EB9">
        <w:rPr>
          <w:b/>
        </w:rPr>
        <w:t xml:space="preserve"> are replaced by next</w:t>
      </w:r>
      <w:r w:rsidR="00273ACB">
        <w:rPr>
          <w:b/>
        </w:rPr>
        <w:t>-</w:t>
      </w:r>
      <w:r w:rsidR="002F6EB9">
        <w:rPr>
          <w:b/>
        </w:rPr>
        <w:t>generation networks</w:t>
      </w:r>
    </w:p>
    <w:p w14:paraId="1B63E236" w14:textId="77777777" w:rsidR="00925B15" w:rsidRDefault="00925B15" w:rsidP="001A5706">
      <w:pPr>
        <w:spacing w:after="0" w:line="240" w:lineRule="auto"/>
        <w:rPr>
          <w:b/>
        </w:rPr>
      </w:pPr>
    </w:p>
    <w:p w14:paraId="695C2978" w14:textId="77777777" w:rsidR="001701AB" w:rsidRDefault="00372C58" w:rsidP="001A5706">
      <w:pPr>
        <w:pStyle w:val="ListParagraph"/>
        <w:numPr>
          <w:ilvl w:val="0"/>
          <w:numId w:val="2"/>
        </w:numPr>
        <w:spacing w:line="240" w:lineRule="auto"/>
      </w:pPr>
      <w:r>
        <w:t>Require</w:t>
      </w:r>
      <w:r w:rsidR="00DF5909">
        <w:t xml:space="preserve"> that c</w:t>
      </w:r>
      <w:r w:rsidR="003F724C">
        <w:t>onsumers</w:t>
      </w:r>
      <w:r w:rsidR="001701AB">
        <w:t xml:space="preserve"> be notified of </w:t>
      </w:r>
      <w:r w:rsidR="00420362">
        <w:t xml:space="preserve">plans to retire </w:t>
      </w:r>
      <w:r w:rsidR="00EF0F78">
        <w:t>copper networks</w:t>
      </w:r>
      <w:r w:rsidR="00EE45FF">
        <w:t xml:space="preserve">. </w:t>
      </w:r>
      <w:r w:rsidR="009E550A">
        <w:t xml:space="preserve"> </w:t>
      </w:r>
      <w:r w:rsidR="00EE45FF">
        <w:t>Notice would be required</w:t>
      </w:r>
      <w:r w:rsidR="009E550A">
        <w:t xml:space="preserve"> approximately</w:t>
      </w:r>
      <w:r>
        <w:t xml:space="preserve"> six months in advance</w:t>
      </w:r>
      <w:r w:rsidR="009E550A">
        <w:t xml:space="preserve"> for non-residential customers and three months in advance for residential customers.</w:t>
      </w:r>
    </w:p>
    <w:p w14:paraId="0FAFCE84" w14:textId="77777777" w:rsidR="00EF0F78" w:rsidRDefault="00EF0F78" w:rsidP="001A5706">
      <w:pPr>
        <w:pStyle w:val="ListParagraph"/>
        <w:numPr>
          <w:ilvl w:val="0"/>
          <w:numId w:val="2"/>
        </w:numPr>
        <w:spacing w:line="240" w:lineRule="auto"/>
      </w:pPr>
      <w:r>
        <w:t xml:space="preserve">Define “retirement” in such a way to prevent retirement </w:t>
      </w:r>
      <w:r w:rsidR="005C108B">
        <w:t xml:space="preserve">of networks </w:t>
      </w:r>
      <w:r>
        <w:t>by neglect</w:t>
      </w:r>
      <w:r w:rsidR="00683784">
        <w:t xml:space="preserve"> </w:t>
      </w:r>
      <w:r w:rsidR="002F6EB9">
        <w:t>(sometimes referred to as</w:t>
      </w:r>
      <w:r w:rsidR="00683784">
        <w:t xml:space="preserve"> “</w:t>
      </w:r>
      <w:r w:rsidR="00683784" w:rsidRPr="00A6325E">
        <w:rPr>
          <w:i/>
        </w:rPr>
        <w:t>de</w:t>
      </w:r>
      <w:r w:rsidR="00A6325E" w:rsidRPr="00A6325E">
        <w:rPr>
          <w:i/>
        </w:rPr>
        <w:t xml:space="preserve"> </w:t>
      </w:r>
      <w:r w:rsidR="00683784" w:rsidRPr="00A6325E">
        <w:rPr>
          <w:i/>
        </w:rPr>
        <w:t>facto</w:t>
      </w:r>
      <w:r w:rsidR="00683784">
        <w:t>” retirement</w:t>
      </w:r>
      <w:r w:rsidR="002F6EB9">
        <w:t>)</w:t>
      </w:r>
    </w:p>
    <w:p w14:paraId="66926356" w14:textId="77777777" w:rsidR="00DF5909" w:rsidRDefault="00683784" w:rsidP="001A5706">
      <w:pPr>
        <w:pStyle w:val="ListParagraph"/>
        <w:numPr>
          <w:ilvl w:val="0"/>
          <w:numId w:val="2"/>
        </w:numPr>
        <w:spacing w:line="240" w:lineRule="auto"/>
      </w:pPr>
      <w:r>
        <w:t xml:space="preserve">Require notice </w:t>
      </w:r>
      <w:r w:rsidR="009E550A">
        <w:t xml:space="preserve">to interconnecting carriers </w:t>
      </w:r>
      <w:r>
        <w:t xml:space="preserve">for retirement of all parts of the copper </w:t>
      </w:r>
      <w:r w:rsidR="00634FC6">
        <w:t>network that are c</w:t>
      </w:r>
      <w:r w:rsidR="00372C58">
        <w:t>ritical to</w:t>
      </w:r>
      <w:r w:rsidR="00DF5909">
        <w:t xml:space="preserve"> </w:t>
      </w:r>
      <w:r w:rsidR="009E550A">
        <w:t>providing their customers with service</w:t>
      </w:r>
    </w:p>
    <w:p w14:paraId="18F9BBBA" w14:textId="77777777" w:rsidR="00EF0F78" w:rsidRDefault="002F6EB9" w:rsidP="001A5706">
      <w:pPr>
        <w:pStyle w:val="ListParagraph"/>
        <w:numPr>
          <w:ilvl w:val="0"/>
          <w:numId w:val="2"/>
        </w:numPr>
        <w:spacing w:line="240" w:lineRule="auto"/>
      </w:pPr>
      <w:r>
        <w:t>R</w:t>
      </w:r>
      <w:r w:rsidR="00BA0BBD">
        <w:t xml:space="preserve">etain </w:t>
      </w:r>
      <w:r>
        <w:t xml:space="preserve">carrier </w:t>
      </w:r>
      <w:r w:rsidR="00BA0BBD">
        <w:t xml:space="preserve">flexibility to </w:t>
      </w:r>
      <w:r>
        <w:t xml:space="preserve">retire </w:t>
      </w:r>
      <w:r w:rsidR="00BA0BBD">
        <w:t xml:space="preserve">copper networks </w:t>
      </w:r>
      <w:r>
        <w:t xml:space="preserve">in favor of </w:t>
      </w:r>
      <w:r w:rsidR="00BA0BBD">
        <w:t>newer facilities</w:t>
      </w:r>
      <w:r>
        <w:t xml:space="preserve"> </w:t>
      </w:r>
      <w:r w:rsidR="00BA0BBD">
        <w:t xml:space="preserve">without prior Commission approval – </w:t>
      </w:r>
      <w:r w:rsidR="00EF0F78">
        <w:t>as long as no service is discontinued</w:t>
      </w:r>
      <w:r w:rsidR="009E550A">
        <w:t>, reduced, or impaired</w:t>
      </w:r>
    </w:p>
    <w:p w14:paraId="3FA38E1C" w14:textId="26C060EB" w:rsidR="00E070CF" w:rsidRDefault="00BA0BBD" w:rsidP="001A5706">
      <w:pPr>
        <w:spacing w:after="0" w:line="240" w:lineRule="auto"/>
        <w:rPr>
          <w:b/>
          <w:i/>
        </w:rPr>
      </w:pPr>
      <w:r w:rsidRPr="00ED1160">
        <w:rPr>
          <w:b/>
        </w:rPr>
        <w:t>Preserv</w:t>
      </w:r>
      <w:r w:rsidR="00ED1160">
        <w:rPr>
          <w:b/>
        </w:rPr>
        <w:t>e</w:t>
      </w:r>
      <w:r w:rsidRPr="00ED1160">
        <w:rPr>
          <w:b/>
        </w:rPr>
        <w:t xml:space="preserve"> Competitive Choices</w:t>
      </w:r>
    </w:p>
    <w:p w14:paraId="008FA337" w14:textId="77777777" w:rsidR="00153DBF" w:rsidRDefault="00E070CF" w:rsidP="001A5706">
      <w:pPr>
        <w:pStyle w:val="ListParagraph"/>
        <w:spacing w:after="0" w:line="240" w:lineRule="auto"/>
        <w:ind w:left="270"/>
      </w:pPr>
      <w:r>
        <w:t xml:space="preserve">Competitive providers often combine their own facilities with the last-mile </w:t>
      </w:r>
      <w:r w:rsidR="00262A14">
        <w:t xml:space="preserve">services </w:t>
      </w:r>
      <w:r w:rsidR="004B704E">
        <w:t>of</w:t>
      </w:r>
      <w:r>
        <w:t xml:space="preserve"> incumbent providers to reach </w:t>
      </w:r>
      <w:r w:rsidR="001142E2">
        <w:t xml:space="preserve">small and medium-sized </w:t>
      </w:r>
      <w:r>
        <w:t>businesses and institutions</w:t>
      </w:r>
      <w:r w:rsidR="001142E2">
        <w:t xml:space="preserve">, including </w:t>
      </w:r>
      <w:r>
        <w:t xml:space="preserve">schools, libraries, health care facilities, and government </w:t>
      </w:r>
      <w:r w:rsidR="001142E2">
        <w:t>offices.</w:t>
      </w:r>
      <w:r>
        <w:t xml:space="preserve">  However,</w:t>
      </w:r>
      <w:r w:rsidR="001142E2">
        <w:t xml:space="preserve"> </w:t>
      </w:r>
      <w:r w:rsidR="00262A14">
        <w:t xml:space="preserve">competitive carriers and the customers that depend on them face uncertainty as incumbent carriers prepare to stop offering some of these services. </w:t>
      </w:r>
      <w:r w:rsidR="00153DBF">
        <w:t xml:space="preserve"> </w:t>
      </w:r>
      <w:r w:rsidR="00153DBF">
        <w:rPr>
          <w:b/>
          <w:i/>
        </w:rPr>
        <w:t>T</w:t>
      </w:r>
      <w:r>
        <w:rPr>
          <w:b/>
          <w:i/>
        </w:rPr>
        <w:t>o preserve competition</w:t>
      </w:r>
      <w:r w:rsidR="001142E2">
        <w:rPr>
          <w:b/>
          <w:i/>
        </w:rPr>
        <w:t xml:space="preserve"> in the enterprise market,</w:t>
      </w:r>
      <w:r>
        <w:rPr>
          <w:b/>
          <w:i/>
        </w:rPr>
        <w:t xml:space="preserve"> </w:t>
      </w:r>
      <w:r>
        <w:t xml:space="preserve">the </w:t>
      </w:r>
      <w:r w:rsidR="00153DBF">
        <w:t xml:space="preserve">draft </w:t>
      </w:r>
      <w:r>
        <w:t xml:space="preserve">rules </w:t>
      </w:r>
      <w:r w:rsidR="00153DBF">
        <w:t xml:space="preserve">being circulated </w:t>
      </w:r>
      <w:r>
        <w:t>by the Chairman would</w:t>
      </w:r>
      <w:r w:rsidR="00153DBF">
        <w:t>:</w:t>
      </w:r>
    </w:p>
    <w:p w14:paraId="21751CB2" w14:textId="77777777" w:rsidR="00925B15" w:rsidRDefault="00925B15" w:rsidP="001A5706">
      <w:pPr>
        <w:pStyle w:val="ListParagraph"/>
        <w:spacing w:after="0" w:line="240" w:lineRule="auto"/>
        <w:ind w:left="270"/>
      </w:pPr>
    </w:p>
    <w:p w14:paraId="24DA967C" w14:textId="77777777" w:rsidR="00153DBF" w:rsidRDefault="00153DBF" w:rsidP="001A5706">
      <w:pPr>
        <w:pStyle w:val="ListParagraph"/>
        <w:numPr>
          <w:ilvl w:val="0"/>
          <w:numId w:val="13"/>
        </w:numPr>
        <w:spacing w:after="0" w:line="240" w:lineRule="auto"/>
      </w:pPr>
      <w:r>
        <w:t>R</w:t>
      </w:r>
      <w:r w:rsidR="00E070CF">
        <w:t>equire</w:t>
      </w:r>
      <w:r w:rsidR="001142E2">
        <w:t xml:space="preserve"> that replacement </w:t>
      </w:r>
      <w:r w:rsidR="00262A14">
        <w:t xml:space="preserve">services </w:t>
      </w:r>
      <w:r w:rsidR="00A6325E">
        <w:t>be offered to</w:t>
      </w:r>
      <w:r w:rsidR="00E070CF">
        <w:t xml:space="preserve"> competitive providers at</w:t>
      </w:r>
      <w:r w:rsidR="001C6FE5">
        <w:t xml:space="preserve"> rates, terms and conditions </w:t>
      </w:r>
      <w:r w:rsidR="00A6325E">
        <w:t xml:space="preserve">that are </w:t>
      </w:r>
      <w:r w:rsidR="009E550A">
        <w:t xml:space="preserve">reasonably </w:t>
      </w:r>
      <w:r w:rsidR="00A6325E">
        <w:t xml:space="preserve">comparable to those of the </w:t>
      </w:r>
      <w:r w:rsidR="00E070CF">
        <w:t xml:space="preserve">legacy </w:t>
      </w:r>
      <w:r w:rsidR="00262A14">
        <w:t>services</w:t>
      </w:r>
      <w:r w:rsidR="00E070CF">
        <w:t xml:space="preserve">. This would be an </w:t>
      </w:r>
      <w:r w:rsidR="00E070CF" w:rsidRPr="00E070CF">
        <w:rPr>
          <w:b/>
          <w:i/>
        </w:rPr>
        <w:t>interim measure</w:t>
      </w:r>
      <w:r w:rsidR="00E070CF">
        <w:t>, pending the completion of the FCC’s special access proceeding which is examining these issues more broadly</w:t>
      </w:r>
      <w:r w:rsidR="004B704E">
        <w:t>.</w:t>
      </w:r>
    </w:p>
    <w:p w14:paraId="70CBCC67" w14:textId="77777777" w:rsidR="00153DBF" w:rsidRDefault="00153DBF" w:rsidP="001A5706">
      <w:pPr>
        <w:pStyle w:val="ListParagraph"/>
        <w:numPr>
          <w:ilvl w:val="0"/>
          <w:numId w:val="13"/>
        </w:numPr>
        <w:spacing w:after="0" w:line="240" w:lineRule="auto"/>
      </w:pPr>
      <w:r>
        <w:t>C</w:t>
      </w:r>
      <w:r w:rsidR="00065E53">
        <w:t>larif</w:t>
      </w:r>
      <w:r>
        <w:t>y</w:t>
      </w:r>
      <w:r w:rsidR="00065E53">
        <w:t xml:space="preserve"> that a carrier </w:t>
      </w:r>
      <w:r>
        <w:t xml:space="preserve">that </w:t>
      </w:r>
      <w:r w:rsidR="00065E53">
        <w:t>plans to discontinue a service that has only c</w:t>
      </w:r>
      <w:r w:rsidR="00B208FE">
        <w:t>arrier customers</w:t>
      </w:r>
      <w:r w:rsidR="00065E53">
        <w:t xml:space="preserve"> must </w:t>
      </w:r>
      <w:r>
        <w:t xml:space="preserve">still </w:t>
      </w:r>
      <w:r w:rsidR="00065E53">
        <w:t>f</w:t>
      </w:r>
      <w:r w:rsidR="00ED159B">
        <w:t>ollow</w:t>
      </w:r>
      <w:r w:rsidR="00065E53">
        <w:t xml:space="preserve"> </w:t>
      </w:r>
      <w:r w:rsidR="00ED159B">
        <w:t xml:space="preserve">the statutory process </w:t>
      </w:r>
      <w:r w:rsidR="00065E53">
        <w:t xml:space="preserve">for discontinuance if the action </w:t>
      </w:r>
      <w:r w:rsidR="00ED159B">
        <w:t>would</w:t>
      </w:r>
      <w:r w:rsidR="009E550A">
        <w:t xml:space="preserve"> negatively</w:t>
      </w:r>
      <w:r w:rsidR="00B208FE">
        <w:t xml:space="preserve"> impact retail</w:t>
      </w:r>
      <w:r w:rsidR="00E5658C">
        <w:t xml:space="preserve"> users served by those carrier customers.</w:t>
      </w:r>
      <w:r w:rsidR="00ED159B" w:rsidRPr="00ED159B">
        <w:t xml:space="preserve"> </w:t>
      </w:r>
      <w:r w:rsidR="00ED159B">
        <w:t xml:space="preserve"> While </w:t>
      </w:r>
      <w:r w:rsidR="00ED159B" w:rsidRPr="00ED159B">
        <w:t>a carrier’s discontinuation of a wholesale service may not always discontinue</w:t>
      </w:r>
      <w:r w:rsidR="00ED159B">
        <w:t xml:space="preserve"> service to retail end users, the</w:t>
      </w:r>
      <w:r w:rsidR="00ED159B" w:rsidRPr="00ED159B">
        <w:t xml:space="preserve"> carrier </w:t>
      </w:r>
      <w:r w:rsidR="00ED159B">
        <w:t xml:space="preserve">still </w:t>
      </w:r>
      <w:r w:rsidR="00ED159B" w:rsidRPr="00ED159B">
        <w:t xml:space="preserve">must undertake a meaningful evaluation </w:t>
      </w:r>
      <w:r w:rsidR="00ED159B">
        <w:t>to determine whether the statutory discontinuance process is triggered</w:t>
      </w:r>
      <w:r w:rsidR="00ED159B" w:rsidRPr="00ED159B">
        <w:t xml:space="preserve">.  </w:t>
      </w:r>
    </w:p>
    <w:p w14:paraId="556D7A33" w14:textId="77777777" w:rsidR="00153DBF" w:rsidRDefault="00153DBF" w:rsidP="001A5706">
      <w:pPr>
        <w:spacing w:after="0" w:line="240" w:lineRule="auto"/>
      </w:pPr>
    </w:p>
    <w:p w14:paraId="63F5D29D" w14:textId="3D52ECCA" w:rsidR="00153DBF" w:rsidRPr="00ED1160" w:rsidRDefault="00153DBF" w:rsidP="001A5706">
      <w:pPr>
        <w:spacing w:after="0" w:line="240" w:lineRule="auto"/>
        <w:rPr>
          <w:b/>
        </w:rPr>
      </w:pPr>
      <w:r w:rsidRPr="00ED1160">
        <w:rPr>
          <w:b/>
        </w:rPr>
        <w:t>Evaluat</w:t>
      </w:r>
      <w:r w:rsidR="00ED1160">
        <w:rPr>
          <w:b/>
        </w:rPr>
        <w:t>e</w:t>
      </w:r>
      <w:r w:rsidRPr="00ED1160">
        <w:rPr>
          <w:b/>
        </w:rPr>
        <w:t xml:space="preserve"> Whether New Services Will Meet Consumer Needs</w:t>
      </w:r>
    </w:p>
    <w:p w14:paraId="689DB3F0" w14:textId="77777777" w:rsidR="00153DBF" w:rsidRDefault="00153DBF" w:rsidP="001A5706">
      <w:pPr>
        <w:spacing w:line="240" w:lineRule="auto"/>
        <w:ind w:left="360"/>
      </w:pPr>
      <w:r>
        <w:t>Section 214 of the Communications Act requires that carriers receive FCC approval before they discontinue, reduce or impair a service.  However, the FCC has never codified the criteria used to evaluate and compare replacement and legacy services. The item tentatively concludes that both consumers and industry would be served by clarifying these standards, and seeks comment on criteria which include:</w:t>
      </w:r>
    </w:p>
    <w:p w14:paraId="050CF567" w14:textId="6CBAD893" w:rsidR="00153DBF" w:rsidRDefault="00153DBF" w:rsidP="001A5706">
      <w:pPr>
        <w:pStyle w:val="ListParagraph"/>
        <w:numPr>
          <w:ilvl w:val="0"/>
          <w:numId w:val="10"/>
        </w:numPr>
        <w:spacing w:line="240" w:lineRule="auto"/>
      </w:pPr>
      <w:r>
        <w:t>Support for 911 services and call centers</w:t>
      </w:r>
    </w:p>
    <w:p w14:paraId="5D2F2385" w14:textId="77777777" w:rsidR="00153DBF" w:rsidRDefault="00153DBF" w:rsidP="001A5706">
      <w:pPr>
        <w:pStyle w:val="ListParagraph"/>
        <w:numPr>
          <w:ilvl w:val="0"/>
          <w:numId w:val="10"/>
        </w:numPr>
        <w:spacing w:line="240" w:lineRule="auto"/>
      </w:pPr>
      <w:r>
        <w:t>Network capacity and reliability</w:t>
      </w:r>
    </w:p>
    <w:p w14:paraId="74727A82" w14:textId="77777777" w:rsidR="00153DBF" w:rsidRDefault="00153DBF" w:rsidP="001A5706">
      <w:pPr>
        <w:pStyle w:val="ListParagraph"/>
        <w:numPr>
          <w:ilvl w:val="0"/>
          <w:numId w:val="10"/>
        </w:numPr>
        <w:spacing w:line="240" w:lineRule="auto"/>
      </w:pPr>
      <w:r>
        <w:t xml:space="preserve">Quality of both voice service and Internet access </w:t>
      </w:r>
    </w:p>
    <w:p w14:paraId="66D2BB38" w14:textId="77777777" w:rsidR="00153DBF" w:rsidRDefault="00153DBF" w:rsidP="001A5706">
      <w:pPr>
        <w:pStyle w:val="ListParagraph"/>
        <w:numPr>
          <w:ilvl w:val="0"/>
          <w:numId w:val="10"/>
        </w:numPr>
        <w:spacing w:line="240" w:lineRule="auto"/>
      </w:pPr>
      <w:r>
        <w:t>Interoperability with devices and services, such as alarm services and medical monitoring</w:t>
      </w:r>
    </w:p>
    <w:p w14:paraId="3D65460F" w14:textId="77777777" w:rsidR="00153DBF" w:rsidRDefault="00153DBF" w:rsidP="001A5706">
      <w:pPr>
        <w:pStyle w:val="ListParagraph"/>
        <w:numPr>
          <w:ilvl w:val="0"/>
          <w:numId w:val="10"/>
        </w:numPr>
        <w:spacing w:line="240" w:lineRule="auto"/>
      </w:pPr>
      <w:r>
        <w:t>Access for people with disabilities, including compatibility with assistive technologies</w:t>
      </w:r>
    </w:p>
    <w:p w14:paraId="713D8ACF" w14:textId="77777777" w:rsidR="00153DBF" w:rsidRDefault="00153DBF" w:rsidP="001A5706">
      <w:pPr>
        <w:pStyle w:val="ListParagraph"/>
        <w:numPr>
          <w:ilvl w:val="0"/>
          <w:numId w:val="10"/>
        </w:numPr>
        <w:spacing w:line="240" w:lineRule="auto"/>
      </w:pPr>
      <w:r>
        <w:t xml:space="preserve">Network security in </w:t>
      </w:r>
      <w:r w:rsidRPr="00871664">
        <w:t>any IP-supported network</w:t>
      </w:r>
      <w:r>
        <w:t xml:space="preserve"> that is comparable to the legacy network</w:t>
      </w:r>
    </w:p>
    <w:p w14:paraId="33164972" w14:textId="6A29A5B0" w:rsidR="00936CAF" w:rsidRDefault="00153DBF" w:rsidP="001A5706">
      <w:pPr>
        <w:pStyle w:val="ListParagraph"/>
        <w:numPr>
          <w:ilvl w:val="0"/>
          <w:numId w:val="10"/>
        </w:numPr>
        <w:spacing w:after="100" w:afterAutospacing="1" w:line="240" w:lineRule="auto"/>
      </w:pPr>
      <w:r>
        <w:t xml:space="preserve">Coverage throughout the service area, either by the substitute network </w:t>
      </w:r>
      <w:r w:rsidRPr="007E6751">
        <w:t xml:space="preserve">or via </w:t>
      </w:r>
      <w:r>
        <w:t>service from other provider</w:t>
      </w:r>
    </w:p>
    <w:sectPr w:rsidR="00936CAF" w:rsidSect="001A5706">
      <w:headerReference w:type="even" r:id="rId8"/>
      <w:headerReference w:type="default" r:id="rId9"/>
      <w:footerReference w:type="even" r:id="rId10"/>
      <w:footerReference w:type="default" r:id="rId11"/>
      <w:headerReference w:type="first" r:id="rId12"/>
      <w:footerReference w:type="first" r:id="rId13"/>
      <w:pgSz w:w="12240" w:h="15840"/>
      <w:pgMar w:top="153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6612" w14:textId="77777777" w:rsidR="00620FBD" w:rsidRDefault="00620FBD" w:rsidP="00F35C07">
      <w:pPr>
        <w:spacing w:after="0" w:line="240" w:lineRule="auto"/>
      </w:pPr>
      <w:r>
        <w:separator/>
      </w:r>
    </w:p>
  </w:endnote>
  <w:endnote w:type="continuationSeparator" w:id="0">
    <w:p w14:paraId="7190D49C" w14:textId="77777777" w:rsidR="00620FBD" w:rsidRDefault="00620FBD" w:rsidP="00F3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1F5E" w14:textId="77777777" w:rsidR="00B052C4" w:rsidRDefault="00B05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068244"/>
      <w:docPartObj>
        <w:docPartGallery w:val="Page Numbers (Bottom of Page)"/>
        <w:docPartUnique/>
      </w:docPartObj>
    </w:sdtPr>
    <w:sdtEndPr>
      <w:rPr>
        <w:noProof/>
      </w:rPr>
    </w:sdtEndPr>
    <w:sdtContent>
      <w:p w14:paraId="614806D6" w14:textId="77777777" w:rsidR="00A41D48" w:rsidRDefault="00A41D48">
        <w:pPr>
          <w:pStyle w:val="Footer"/>
          <w:jc w:val="center"/>
        </w:pPr>
        <w:r>
          <w:fldChar w:fldCharType="begin"/>
        </w:r>
        <w:r>
          <w:instrText xml:space="preserve"> PAGE   \* MERGEFORMAT </w:instrText>
        </w:r>
        <w:r>
          <w:fldChar w:fldCharType="separate"/>
        </w:r>
        <w:r w:rsidR="007E1B70">
          <w:rPr>
            <w:noProof/>
          </w:rPr>
          <w:t>1</w:t>
        </w:r>
        <w:r>
          <w:rPr>
            <w:noProof/>
          </w:rPr>
          <w:fldChar w:fldCharType="end"/>
        </w:r>
      </w:p>
    </w:sdtContent>
  </w:sdt>
  <w:p w14:paraId="233B1E61" w14:textId="77777777" w:rsidR="00A41D48" w:rsidRDefault="00A41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C67D" w14:textId="77777777" w:rsidR="00B052C4" w:rsidRDefault="00B05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0BDD5" w14:textId="77777777" w:rsidR="00620FBD" w:rsidRDefault="00620FBD" w:rsidP="00F35C07">
      <w:pPr>
        <w:spacing w:after="0" w:line="240" w:lineRule="auto"/>
      </w:pPr>
      <w:r>
        <w:separator/>
      </w:r>
    </w:p>
  </w:footnote>
  <w:footnote w:type="continuationSeparator" w:id="0">
    <w:p w14:paraId="6307C26D" w14:textId="77777777" w:rsidR="00620FBD" w:rsidRDefault="00620FBD" w:rsidP="00F35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D6A8" w14:textId="77777777" w:rsidR="00B052C4" w:rsidRDefault="00B05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22EB" w14:textId="77777777" w:rsidR="00B052C4" w:rsidRDefault="00B05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21A5" w14:textId="77777777" w:rsidR="00B052C4" w:rsidRDefault="00B05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CD8"/>
    <w:multiLevelType w:val="hybridMultilevel"/>
    <w:tmpl w:val="C31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78E6"/>
    <w:multiLevelType w:val="hybridMultilevel"/>
    <w:tmpl w:val="A62212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B0E3E1E"/>
    <w:multiLevelType w:val="hybridMultilevel"/>
    <w:tmpl w:val="AA7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D4160"/>
    <w:multiLevelType w:val="hybridMultilevel"/>
    <w:tmpl w:val="697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C6BF0"/>
    <w:multiLevelType w:val="hybridMultilevel"/>
    <w:tmpl w:val="B354382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2AD30D65"/>
    <w:multiLevelType w:val="hybridMultilevel"/>
    <w:tmpl w:val="1AF810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2B621750"/>
    <w:multiLevelType w:val="hybridMultilevel"/>
    <w:tmpl w:val="29A8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D346A"/>
    <w:multiLevelType w:val="hybridMultilevel"/>
    <w:tmpl w:val="132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4340C"/>
    <w:multiLevelType w:val="hybridMultilevel"/>
    <w:tmpl w:val="CF0EE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86BA1"/>
    <w:multiLevelType w:val="hybridMultilevel"/>
    <w:tmpl w:val="76900B5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4C081616"/>
    <w:multiLevelType w:val="hybridMultilevel"/>
    <w:tmpl w:val="E35A98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57CC018F"/>
    <w:multiLevelType w:val="hybridMultilevel"/>
    <w:tmpl w:val="D31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955865"/>
    <w:multiLevelType w:val="hybridMultilevel"/>
    <w:tmpl w:val="DC3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0"/>
  </w:num>
  <w:num w:numId="6">
    <w:abstractNumId w:val="11"/>
  </w:num>
  <w:num w:numId="7">
    <w:abstractNumId w:val="10"/>
  </w:num>
  <w:num w:numId="8">
    <w:abstractNumId w:val="5"/>
  </w:num>
  <w:num w:numId="9">
    <w:abstractNumId w:val="2"/>
  </w:num>
  <w:num w:numId="10">
    <w:abstractNumId w:val="3"/>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AF"/>
    <w:rsid w:val="000166DD"/>
    <w:rsid w:val="00041DD1"/>
    <w:rsid w:val="00065E53"/>
    <w:rsid w:val="00091D68"/>
    <w:rsid w:val="0011092F"/>
    <w:rsid w:val="001142E2"/>
    <w:rsid w:val="00153DBF"/>
    <w:rsid w:val="001701AB"/>
    <w:rsid w:val="001A5706"/>
    <w:rsid w:val="001C6FE5"/>
    <w:rsid w:val="001D2627"/>
    <w:rsid w:val="00262A14"/>
    <w:rsid w:val="00273ACB"/>
    <w:rsid w:val="002B4AAA"/>
    <w:rsid w:val="002D5128"/>
    <w:rsid w:val="002D64FC"/>
    <w:rsid w:val="002E1EF5"/>
    <w:rsid w:val="002E724C"/>
    <w:rsid w:val="002F6EB9"/>
    <w:rsid w:val="00372C58"/>
    <w:rsid w:val="00376D03"/>
    <w:rsid w:val="0039467A"/>
    <w:rsid w:val="003F724C"/>
    <w:rsid w:val="00420362"/>
    <w:rsid w:val="004670CB"/>
    <w:rsid w:val="0048072F"/>
    <w:rsid w:val="004B6C55"/>
    <w:rsid w:val="004B704E"/>
    <w:rsid w:val="004C2476"/>
    <w:rsid w:val="004D6326"/>
    <w:rsid w:val="004E1692"/>
    <w:rsid w:val="005346A9"/>
    <w:rsid w:val="005C108B"/>
    <w:rsid w:val="0060247A"/>
    <w:rsid w:val="00620FBD"/>
    <w:rsid w:val="00634FC6"/>
    <w:rsid w:val="0066772D"/>
    <w:rsid w:val="00683784"/>
    <w:rsid w:val="00691D68"/>
    <w:rsid w:val="0070202C"/>
    <w:rsid w:val="007133D0"/>
    <w:rsid w:val="00762756"/>
    <w:rsid w:val="00775B96"/>
    <w:rsid w:val="00782B26"/>
    <w:rsid w:val="0079786D"/>
    <w:rsid w:val="007E1B70"/>
    <w:rsid w:val="007E6070"/>
    <w:rsid w:val="007E6751"/>
    <w:rsid w:val="008048D5"/>
    <w:rsid w:val="00806E1F"/>
    <w:rsid w:val="00925B15"/>
    <w:rsid w:val="00936CAF"/>
    <w:rsid w:val="00944C63"/>
    <w:rsid w:val="009538F1"/>
    <w:rsid w:val="009E550A"/>
    <w:rsid w:val="00A34376"/>
    <w:rsid w:val="00A41D48"/>
    <w:rsid w:val="00A6325E"/>
    <w:rsid w:val="00AD1496"/>
    <w:rsid w:val="00AD625A"/>
    <w:rsid w:val="00AE640D"/>
    <w:rsid w:val="00B052C4"/>
    <w:rsid w:val="00B208FE"/>
    <w:rsid w:val="00B50BC8"/>
    <w:rsid w:val="00B51EB4"/>
    <w:rsid w:val="00B84AA4"/>
    <w:rsid w:val="00BA0BBD"/>
    <w:rsid w:val="00BB13A7"/>
    <w:rsid w:val="00C25A6B"/>
    <w:rsid w:val="00D20B4C"/>
    <w:rsid w:val="00D27A13"/>
    <w:rsid w:val="00D62EF5"/>
    <w:rsid w:val="00D7560C"/>
    <w:rsid w:val="00D84A13"/>
    <w:rsid w:val="00DA6AEE"/>
    <w:rsid w:val="00DB4277"/>
    <w:rsid w:val="00DC7A95"/>
    <w:rsid w:val="00DD24D6"/>
    <w:rsid w:val="00DF5909"/>
    <w:rsid w:val="00E070CF"/>
    <w:rsid w:val="00E1336A"/>
    <w:rsid w:val="00E1415B"/>
    <w:rsid w:val="00E46B2D"/>
    <w:rsid w:val="00E5658C"/>
    <w:rsid w:val="00E753A8"/>
    <w:rsid w:val="00ED1160"/>
    <w:rsid w:val="00ED159B"/>
    <w:rsid w:val="00EE45FF"/>
    <w:rsid w:val="00EF0F78"/>
    <w:rsid w:val="00F35C07"/>
    <w:rsid w:val="00F62538"/>
    <w:rsid w:val="00F76A48"/>
    <w:rsid w:val="00FA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4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AF"/>
    <w:pPr>
      <w:spacing w:after="200" w:line="276" w:lineRule="auto"/>
      <w:ind w:left="720"/>
      <w:contextualSpacing/>
    </w:p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F35C0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F35C07"/>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
    <w:rsid w:val="00F35C07"/>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C2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6B"/>
  </w:style>
  <w:style w:type="paragraph" w:styleId="Footer">
    <w:name w:val="footer"/>
    <w:basedOn w:val="Normal"/>
    <w:link w:val="FooterChar"/>
    <w:uiPriority w:val="99"/>
    <w:unhideWhenUsed/>
    <w:rsid w:val="00C2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6B"/>
  </w:style>
  <w:style w:type="character" w:styleId="CommentReference">
    <w:name w:val="annotation reference"/>
    <w:basedOn w:val="DefaultParagraphFont"/>
    <w:uiPriority w:val="99"/>
    <w:semiHidden/>
    <w:unhideWhenUsed/>
    <w:rsid w:val="007E6751"/>
    <w:rPr>
      <w:sz w:val="16"/>
      <w:szCs w:val="16"/>
    </w:rPr>
  </w:style>
  <w:style w:type="paragraph" w:styleId="CommentText">
    <w:name w:val="annotation text"/>
    <w:basedOn w:val="Normal"/>
    <w:link w:val="CommentTextChar"/>
    <w:uiPriority w:val="99"/>
    <w:semiHidden/>
    <w:unhideWhenUsed/>
    <w:rsid w:val="007E67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E67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6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092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092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AF"/>
    <w:pPr>
      <w:spacing w:after="200" w:line="276" w:lineRule="auto"/>
      <w:ind w:left="720"/>
      <w:contextualSpacing/>
    </w:p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F35C0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F35C07"/>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
    <w:rsid w:val="00F35C07"/>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C2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6B"/>
  </w:style>
  <w:style w:type="paragraph" w:styleId="Footer">
    <w:name w:val="footer"/>
    <w:basedOn w:val="Normal"/>
    <w:link w:val="FooterChar"/>
    <w:uiPriority w:val="99"/>
    <w:unhideWhenUsed/>
    <w:rsid w:val="00C2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6B"/>
  </w:style>
  <w:style w:type="character" w:styleId="CommentReference">
    <w:name w:val="annotation reference"/>
    <w:basedOn w:val="DefaultParagraphFont"/>
    <w:uiPriority w:val="99"/>
    <w:semiHidden/>
    <w:unhideWhenUsed/>
    <w:rsid w:val="007E6751"/>
    <w:rPr>
      <w:sz w:val="16"/>
      <w:szCs w:val="16"/>
    </w:rPr>
  </w:style>
  <w:style w:type="paragraph" w:styleId="CommentText">
    <w:name w:val="annotation text"/>
    <w:basedOn w:val="Normal"/>
    <w:link w:val="CommentTextChar"/>
    <w:uiPriority w:val="99"/>
    <w:semiHidden/>
    <w:unhideWhenUsed/>
    <w:rsid w:val="007E67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E67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6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092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09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4917</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2015-07-10T15:56:00Z</dcterms:created>
  <dcterms:modified xsi:type="dcterms:W3CDTF">2015-07-10T15:56:00Z</dcterms:modified>
  <cp:category> </cp:category>
  <cp:contentStatus> </cp:contentStatus>
</cp:coreProperties>
</file>