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627FBE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A42BBD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87</w:t>
            </w:r>
          </w:p>
          <w:p w:rsidR="00FF232D" w:rsidRPr="008A3940" w:rsidRDefault="00A42BBD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cecilia.sulhoff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42BBD" w:rsidRPr="00A42BBD" w:rsidRDefault="00A42BBD" w:rsidP="00A42BBD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42BBD">
              <w:rPr>
                <w:b/>
                <w:bCs/>
                <w:sz w:val="22"/>
                <w:szCs w:val="22"/>
              </w:rPr>
              <w:t>FCC REFORMS COMPETITIVE BIDDING RULES</w:t>
            </w:r>
            <w:r w:rsidR="00FD5111">
              <w:rPr>
                <w:b/>
                <w:bCs/>
                <w:sz w:val="22"/>
                <w:szCs w:val="22"/>
              </w:rPr>
              <w:t xml:space="preserve"> </w:t>
            </w:r>
            <w:r w:rsidR="0002769F">
              <w:rPr>
                <w:b/>
                <w:bCs/>
                <w:sz w:val="22"/>
                <w:szCs w:val="22"/>
              </w:rPr>
              <w:t xml:space="preserve">FOR </w:t>
            </w:r>
            <w:r w:rsidR="00FD5111">
              <w:rPr>
                <w:b/>
                <w:bCs/>
                <w:sz w:val="22"/>
                <w:szCs w:val="22"/>
              </w:rPr>
              <w:t>SPECTRUM AUCTIONS</w:t>
            </w:r>
          </w:p>
          <w:p w:rsidR="0052452E" w:rsidRDefault="0002769F" w:rsidP="00A42BBD">
            <w:pPr>
              <w:tabs>
                <w:tab w:val="left" w:pos="8625"/>
              </w:tabs>
              <w:jc w:val="center"/>
              <w:rPr>
                <w:i/>
                <w:sz w:val="22"/>
                <w:szCs w:val="22"/>
              </w:rPr>
            </w:pPr>
            <w:r w:rsidRPr="0002769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453026">
              <w:rPr>
                <w:bCs/>
                <w:i/>
                <w:sz w:val="22"/>
                <w:szCs w:val="22"/>
              </w:rPr>
              <w:t>M</w:t>
            </w:r>
            <w:r w:rsidRPr="0052452E">
              <w:rPr>
                <w:bCs/>
                <w:i/>
                <w:sz w:val="22"/>
                <w:szCs w:val="22"/>
              </w:rPr>
              <w:t xml:space="preserve">odernizes rules to prevent gaming and </w:t>
            </w:r>
            <w:r w:rsidRPr="0052452E">
              <w:rPr>
                <w:i/>
                <w:sz w:val="22"/>
                <w:szCs w:val="22"/>
              </w:rPr>
              <w:t xml:space="preserve">provide flexibility for eligible small </w:t>
            </w:r>
          </w:p>
          <w:p w:rsidR="00933E99" w:rsidRPr="0052452E" w:rsidRDefault="0002769F" w:rsidP="0052452E">
            <w:pPr>
              <w:tabs>
                <w:tab w:val="left" w:pos="8625"/>
              </w:tabs>
              <w:jc w:val="center"/>
              <w:rPr>
                <w:i/>
                <w:sz w:val="22"/>
                <w:szCs w:val="22"/>
              </w:rPr>
            </w:pPr>
            <w:r w:rsidRPr="0052452E">
              <w:rPr>
                <w:i/>
                <w:sz w:val="22"/>
                <w:szCs w:val="22"/>
              </w:rPr>
              <w:t xml:space="preserve">businesses and rural service providers  </w:t>
            </w:r>
            <w:r w:rsidR="00A42BBD" w:rsidRPr="0052452E">
              <w:rPr>
                <w:bCs/>
                <w:i/>
                <w:color w:val="F2F2F2" w:themeColor="background1" w:themeShade="F2"/>
                <w:sz w:val="28"/>
                <w:szCs w:val="32"/>
              </w:rPr>
              <w:t>—</w:t>
            </w:r>
          </w:p>
          <w:p w:rsidR="00A42BBD" w:rsidRPr="00A42BBD" w:rsidRDefault="00A42BBD" w:rsidP="00A42BBD">
            <w:pPr>
              <w:tabs>
                <w:tab w:val="left" w:pos="8625"/>
              </w:tabs>
              <w:rPr>
                <w:b/>
                <w:bCs/>
                <w:i/>
                <w:sz w:val="22"/>
                <w:szCs w:val="22"/>
              </w:rPr>
            </w:pPr>
          </w:p>
          <w:p w:rsidR="00A42BBD" w:rsidRPr="00C72279" w:rsidRDefault="00FF1C0B" w:rsidP="00A42BBD">
            <w:pPr>
              <w:rPr>
                <w:sz w:val="22"/>
                <w:szCs w:val="22"/>
              </w:rPr>
            </w:pPr>
            <w:r w:rsidRPr="00C72279">
              <w:rPr>
                <w:sz w:val="22"/>
                <w:szCs w:val="22"/>
              </w:rPr>
              <w:t xml:space="preserve">WASHINGTON, </w:t>
            </w:r>
            <w:r w:rsidR="00933E99" w:rsidRPr="00C72279">
              <w:rPr>
                <w:sz w:val="22"/>
                <w:szCs w:val="22"/>
              </w:rPr>
              <w:t>July</w:t>
            </w:r>
            <w:r w:rsidR="000E049E" w:rsidRPr="00C72279">
              <w:rPr>
                <w:sz w:val="22"/>
                <w:szCs w:val="22"/>
              </w:rPr>
              <w:t xml:space="preserve"> </w:t>
            </w:r>
            <w:r w:rsidR="00A42BBD" w:rsidRPr="00064D11">
              <w:rPr>
                <w:sz w:val="22"/>
                <w:szCs w:val="22"/>
              </w:rPr>
              <w:t>16</w:t>
            </w:r>
            <w:r w:rsidR="00D34C29" w:rsidRPr="006A1FF5">
              <w:rPr>
                <w:sz w:val="22"/>
                <w:szCs w:val="22"/>
              </w:rPr>
              <w:t>,</w:t>
            </w:r>
            <w:r w:rsidR="00CC5E08" w:rsidRPr="006A1FF5">
              <w:rPr>
                <w:sz w:val="22"/>
                <w:szCs w:val="22"/>
              </w:rPr>
              <w:t xml:space="preserve"> 2015</w:t>
            </w:r>
            <w:r w:rsidR="002B1013" w:rsidRPr="00FD5111">
              <w:rPr>
                <w:sz w:val="22"/>
                <w:szCs w:val="22"/>
              </w:rPr>
              <w:t xml:space="preserve"> –</w:t>
            </w:r>
            <w:r w:rsidR="00933E99" w:rsidRPr="00FD5111">
              <w:rPr>
                <w:color w:val="000000"/>
                <w:sz w:val="22"/>
                <w:szCs w:val="22"/>
              </w:rPr>
              <w:t xml:space="preserve"> </w:t>
            </w:r>
            <w:r w:rsidR="00A42BBD" w:rsidRPr="00FD5111">
              <w:rPr>
                <w:sz w:val="22"/>
                <w:szCs w:val="22"/>
              </w:rPr>
              <w:t xml:space="preserve">The Federal Communications Commission </w:t>
            </w:r>
            <w:r w:rsidR="0094533D">
              <w:rPr>
                <w:sz w:val="22"/>
                <w:szCs w:val="22"/>
              </w:rPr>
              <w:t>adopted</w:t>
            </w:r>
            <w:r w:rsidR="0094533D" w:rsidRPr="00FD5111">
              <w:rPr>
                <w:sz w:val="22"/>
                <w:szCs w:val="22"/>
              </w:rPr>
              <w:t xml:space="preserve"> </w:t>
            </w:r>
            <w:r w:rsidR="00A42BBD" w:rsidRPr="00FD5111">
              <w:rPr>
                <w:sz w:val="22"/>
                <w:szCs w:val="22"/>
              </w:rPr>
              <w:t xml:space="preserve">a Report and Order today </w:t>
            </w:r>
            <w:r w:rsidR="00A42BBD" w:rsidRPr="00C72279">
              <w:rPr>
                <w:sz w:val="22"/>
                <w:szCs w:val="22"/>
              </w:rPr>
              <w:t xml:space="preserve">that modernizes and reforms </w:t>
            </w:r>
            <w:r w:rsidR="00B775A0" w:rsidRPr="00C72279">
              <w:rPr>
                <w:sz w:val="22"/>
                <w:szCs w:val="22"/>
              </w:rPr>
              <w:t xml:space="preserve">policies </w:t>
            </w:r>
            <w:r w:rsidR="0094533D">
              <w:rPr>
                <w:sz w:val="22"/>
                <w:szCs w:val="22"/>
              </w:rPr>
              <w:t>designed</w:t>
            </w:r>
            <w:r w:rsidR="0094533D" w:rsidRPr="00C72279">
              <w:rPr>
                <w:sz w:val="22"/>
                <w:szCs w:val="22"/>
              </w:rPr>
              <w:t xml:space="preserve"> </w:t>
            </w:r>
            <w:r w:rsidR="00B775A0" w:rsidRPr="00C72279">
              <w:rPr>
                <w:sz w:val="22"/>
                <w:szCs w:val="22"/>
              </w:rPr>
              <w:t xml:space="preserve">to </w:t>
            </w:r>
            <w:r w:rsidR="0094533D">
              <w:rPr>
                <w:sz w:val="22"/>
                <w:szCs w:val="22"/>
              </w:rPr>
              <w:t xml:space="preserve">facilitate </w:t>
            </w:r>
            <w:r w:rsidR="00B775A0" w:rsidRPr="00C72279">
              <w:rPr>
                <w:sz w:val="22"/>
                <w:szCs w:val="22"/>
              </w:rPr>
              <w:t>small business</w:t>
            </w:r>
            <w:r w:rsidR="0094533D">
              <w:rPr>
                <w:sz w:val="22"/>
                <w:szCs w:val="22"/>
              </w:rPr>
              <w:t xml:space="preserve">’ ability to </w:t>
            </w:r>
            <w:r w:rsidR="00B775A0" w:rsidRPr="00C72279">
              <w:rPr>
                <w:sz w:val="22"/>
                <w:szCs w:val="22"/>
              </w:rPr>
              <w:t xml:space="preserve">participate in spectrum auctions and the wireless marketplace. These policies are </w:t>
            </w:r>
            <w:r w:rsidR="0094533D">
              <w:rPr>
                <w:sz w:val="22"/>
                <w:szCs w:val="22"/>
              </w:rPr>
              <w:t>commonly</w:t>
            </w:r>
            <w:r w:rsidR="0094533D" w:rsidRPr="00C72279">
              <w:rPr>
                <w:sz w:val="22"/>
                <w:szCs w:val="22"/>
              </w:rPr>
              <w:t xml:space="preserve"> </w:t>
            </w:r>
            <w:r w:rsidR="00B775A0" w:rsidRPr="00C72279">
              <w:rPr>
                <w:sz w:val="22"/>
                <w:szCs w:val="22"/>
              </w:rPr>
              <w:t xml:space="preserve">known as the </w:t>
            </w:r>
            <w:r w:rsidR="0094533D">
              <w:rPr>
                <w:sz w:val="22"/>
                <w:szCs w:val="22"/>
              </w:rPr>
              <w:t>Designated Entity Rules</w:t>
            </w:r>
            <w:r w:rsidR="00B775A0" w:rsidRPr="00C72279">
              <w:rPr>
                <w:sz w:val="22"/>
                <w:szCs w:val="22"/>
              </w:rPr>
              <w:t>.</w:t>
            </w:r>
            <w:r w:rsidR="00A42BBD" w:rsidRPr="00C72279">
              <w:rPr>
                <w:sz w:val="22"/>
                <w:szCs w:val="22"/>
              </w:rPr>
              <w:t xml:space="preserve">  </w:t>
            </w:r>
          </w:p>
          <w:p w:rsidR="00A42BBD" w:rsidRPr="00C72279" w:rsidRDefault="00A42BBD" w:rsidP="00A42BBD">
            <w:pPr>
              <w:rPr>
                <w:sz w:val="22"/>
                <w:szCs w:val="22"/>
              </w:rPr>
            </w:pPr>
          </w:p>
          <w:p w:rsidR="00B775A0" w:rsidRPr="00C72279" w:rsidRDefault="00A42BBD" w:rsidP="00A42BBD">
            <w:pPr>
              <w:rPr>
                <w:sz w:val="22"/>
                <w:szCs w:val="22"/>
              </w:rPr>
            </w:pPr>
            <w:r w:rsidRPr="006A1FF5">
              <w:rPr>
                <w:sz w:val="22"/>
                <w:szCs w:val="22"/>
              </w:rPr>
              <w:t xml:space="preserve">The Report and Order adopts common sense reforms </w:t>
            </w:r>
            <w:r w:rsidRPr="00FD5111">
              <w:rPr>
                <w:sz w:val="22"/>
                <w:szCs w:val="22"/>
              </w:rPr>
              <w:t>to ensure that eligible small businesses and rural service providers are the true recipients of bidding credits</w:t>
            </w:r>
            <w:r w:rsidRPr="00C72279">
              <w:rPr>
                <w:sz w:val="22"/>
                <w:szCs w:val="22"/>
              </w:rPr>
              <w:t xml:space="preserve">. </w:t>
            </w:r>
            <w:r w:rsidR="00453026">
              <w:rPr>
                <w:sz w:val="22"/>
                <w:szCs w:val="22"/>
              </w:rPr>
              <w:t xml:space="preserve"> In addition, the Order </w:t>
            </w:r>
            <w:r w:rsidR="00453026" w:rsidRPr="00C72279">
              <w:rPr>
                <w:sz w:val="22"/>
                <w:szCs w:val="22"/>
              </w:rPr>
              <w:t>provides greater flexibility to smaller companies and rural service providers to build wireless businesses that can spur additional investment in, and bring greater choice to</w:t>
            </w:r>
            <w:r w:rsidR="00453026">
              <w:rPr>
                <w:sz w:val="22"/>
                <w:szCs w:val="22"/>
              </w:rPr>
              <w:t>,</w:t>
            </w:r>
            <w:r w:rsidR="00453026" w:rsidRPr="00C72279">
              <w:rPr>
                <w:sz w:val="22"/>
                <w:szCs w:val="22"/>
              </w:rPr>
              <w:t xml:space="preserve"> consumers and businesses across the country. </w:t>
            </w:r>
            <w:r w:rsidR="00453026" w:rsidRPr="00064D11">
              <w:rPr>
                <w:sz w:val="22"/>
                <w:szCs w:val="22"/>
              </w:rPr>
              <w:t xml:space="preserve"> </w:t>
            </w:r>
          </w:p>
          <w:p w:rsidR="00B775A0" w:rsidRPr="00C72279" w:rsidRDefault="00B775A0" w:rsidP="00A42BBD">
            <w:pPr>
              <w:rPr>
                <w:sz w:val="22"/>
                <w:szCs w:val="22"/>
              </w:rPr>
            </w:pPr>
          </w:p>
          <w:p w:rsidR="00B775A0" w:rsidRPr="00061789" w:rsidRDefault="00B775A0" w:rsidP="0052452E">
            <w:pPr>
              <w:rPr>
                <w:sz w:val="22"/>
                <w:szCs w:val="22"/>
              </w:rPr>
            </w:pPr>
            <w:r w:rsidRPr="000462F2">
              <w:rPr>
                <w:sz w:val="22"/>
                <w:szCs w:val="22"/>
              </w:rPr>
              <w:t xml:space="preserve">With today’s action, the Commission is taking </w:t>
            </w:r>
            <w:r w:rsidR="000462F2">
              <w:rPr>
                <w:sz w:val="22"/>
                <w:szCs w:val="22"/>
              </w:rPr>
              <w:t xml:space="preserve">the following </w:t>
            </w:r>
            <w:r w:rsidRPr="000462F2">
              <w:rPr>
                <w:sz w:val="22"/>
                <w:szCs w:val="22"/>
              </w:rPr>
              <w:t>steps</w:t>
            </w:r>
            <w:r w:rsidR="00B817FA" w:rsidRPr="000462F2">
              <w:rPr>
                <w:sz w:val="22"/>
                <w:szCs w:val="22"/>
              </w:rPr>
              <w:t xml:space="preserve"> </w:t>
            </w:r>
            <w:r w:rsidRPr="000462F2">
              <w:rPr>
                <w:sz w:val="22"/>
                <w:szCs w:val="22"/>
              </w:rPr>
              <w:t>to provide small businesses</w:t>
            </w:r>
            <w:r w:rsidR="00C72279" w:rsidRPr="000462F2">
              <w:rPr>
                <w:sz w:val="22"/>
                <w:szCs w:val="22"/>
              </w:rPr>
              <w:t>—</w:t>
            </w:r>
            <w:r w:rsidRPr="000462F2">
              <w:rPr>
                <w:sz w:val="22"/>
                <w:szCs w:val="22"/>
              </w:rPr>
              <w:t>including enterprises owned by women and minorities</w:t>
            </w:r>
            <w:r w:rsidR="00C72279" w:rsidRPr="000462F2">
              <w:rPr>
                <w:sz w:val="22"/>
                <w:szCs w:val="22"/>
              </w:rPr>
              <w:t xml:space="preserve">— </w:t>
            </w:r>
            <w:r w:rsidR="000462F2" w:rsidRPr="000462F2">
              <w:rPr>
                <w:sz w:val="22"/>
                <w:szCs w:val="22"/>
              </w:rPr>
              <w:t xml:space="preserve">with </w:t>
            </w:r>
            <w:r w:rsidRPr="000462F2">
              <w:rPr>
                <w:sz w:val="22"/>
                <w:szCs w:val="22"/>
              </w:rPr>
              <w:t>a better on-ramp into the wireless industry</w:t>
            </w:r>
            <w:r w:rsidR="000462F2" w:rsidRPr="000462F2">
              <w:rPr>
                <w:sz w:val="22"/>
                <w:szCs w:val="22"/>
              </w:rPr>
              <w:t xml:space="preserve">, to increase the </w:t>
            </w:r>
            <w:r w:rsidR="000462F2" w:rsidRPr="00061789">
              <w:rPr>
                <w:sz w:val="22"/>
                <w:szCs w:val="22"/>
              </w:rPr>
              <w:t xml:space="preserve">participation of rural service providers in future auctions </w:t>
            </w:r>
            <w:r w:rsidRPr="000462F2">
              <w:rPr>
                <w:sz w:val="22"/>
                <w:szCs w:val="22"/>
              </w:rPr>
              <w:t>and to eliminate outdated rules that no longer reflect the developments in today’s wireless marketplace:</w:t>
            </w:r>
          </w:p>
          <w:p w:rsidR="00B775A0" w:rsidRPr="0052452E" w:rsidRDefault="00B775A0" w:rsidP="00A42BBD">
            <w:pPr>
              <w:rPr>
                <w:sz w:val="22"/>
                <w:szCs w:val="22"/>
              </w:rPr>
            </w:pPr>
          </w:p>
          <w:p w:rsidR="00A42BBD" w:rsidRPr="00C72279" w:rsidRDefault="00A42BBD" w:rsidP="00A42BBD">
            <w:pPr>
              <w:pStyle w:val="ParaNum"/>
              <w:numPr>
                <w:ilvl w:val="0"/>
                <w:numId w:val="3"/>
              </w:numPr>
              <w:rPr>
                <w:szCs w:val="22"/>
              </w:rPr>
            </w:pPr>
            <w:r w:rsidRPr="00C72279">
              <w:rPr>
                <w:szCs w:val="22"/>
              </w:rPr>
              <w:t>Elimination of the attributable material relationship rule that limit</w:t>
            </w:r>
            <w:r w:rsidR="000462F2">
              <w:rPr>
                <w:szCs w:val="22"/>
              </w:rPr>
              <w:t>ed</w:t>
            </w:r>
            <w:r w:rsidRPr="00C72279">
              <w:rPr>
                <w:szCs w:val="22"/>
              </w:rPr>
              <w:t xml:space="preserve"> the amount of spectrum a small business c</w:t>
            </w:r>
            <w:r w:rsidR="000462F2">
              <w:rPr>
                <w:szCs w:val="22"/>
              </w:rPr>
              <w:t>ould</w:t>
            </w:r>
            <w:r w:rsidRPr="00C72279">
              <w:rPr>
                <w:szCs w:val="22"/>
              </w:rPr>
              <w:t xml:space="preserve"> lease in order to provide small businesses the flexibility to leverage leasing and other spectrum use agreements to gain access to capital and operational experience</w:t>
            </w:r>
            <w:r w:rsidR="000462F2">
              <w:rPr>
                <w:szCs w:val="22"/>
              </w:rPr>
              <w:t>.</w:t>
            </w:r>
          </w:p>
          <w:p w:rsidR="00A42BBD" w:rsidRPr="00C72279" w:rsidRDefault="00A42BBD" w:rsidP="00A42BBD">
            <w:pPr>
              <w:pStyle w:val="ParaNum"/>
              <w:numPr>
                <w:ilvl w:val="0"/>
                <w:numId w:val="3"/>
              </w:numPr>
              <w:tabs>
                <w:tab w:val="left" w:pos="-1890"/>
              </w:tabs>
              <w:suppressAutoHyphens/>
              <w:rPr>
                <w:szCs w:val="22"/>
              </w:rPr>
            </w:pPr>
            <w:r w:rsidRPr="00C72279">
              <w:rPr>
                <w:szCs w:val="22"/>
              </w:rPr>
              <w:t xml:space="preserve">Adoption of a first ever 15 percent bidding credit for qualifying service providers that provide commercial communications services to a customer base of fewer than 250,000 combined wireless, wireline, broadband, and cable subscribers and serve predominantly rural areas.  </w:t>
            </w:r>
          </w:p>
          <w:p w:rsidR="00A42BBD" w:rsidRPr="00C72279" w:rsidRDefault="00A42BBD" w:rsidP="0052452E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52452E">
              <w:rPr>
                <w:sz w:val="22"/>
                <w:szCs w:val="22"/>
              </w:rPr>
              <w:t>Establishment of a first ever cap on the total amount of bidding credits that a small business or rural service provider can receive in any particular auction.</w:t>
            </w:r>
            <w:r w:rsidR="00B775A0" w:rsidRPr="0052452E">
              <w:rPr>
                <w:sz w:val="22"/>
                <w:szCs w:val="22"/>
              </w:rPr>
              <w:t xml:space="preserve"> </w:t>
            </w:r>
            <w:r w:rsidR="00B775A0" w:rsidRPr="00C72279">
              <w:rPr>
                <w:snapToGrid w:val="0"/>
                <w:kern w:val="28"/>
                <w:sz w:val="22"/>
                <w:szCs w:val="22"/>
              </w:rPr>
              <w:t>The cap will vary on a service-by-service</w:t>
            </w:r>
            <w:r w:rsidR="00C72279">
              <w:rPr>
                <w:snapToGrid w:val="0"/>
                <w:kern w:val="28"/>
                <w:sz w:val="22"/>
                <w:szCs w:val="22"/>
              </w:rPr>
              <w:t xml:space="preserve"> and auction-by-auction</w:t>
            </w:r>
            <w:r w:rsidR="00B775A0" w:rsidRPr="00C72279">
              <w:rPr>
                <w:snapToGrid w:val="0"/>
                <w:kern w:val="28"/>
                <w:sz w:val="22"/>
                <w:szCs w:val="22"/>
              </w:rPr>
              <w:t xml:space="preserve"> basis</w:t>
            </w:r>
            <w:r w:rsidR="00C72279" w:rsidRPr="00C72279">
              <w:rPr>
                <w:snapToGrid w:val="0"/>
                <w:kern w:val="28"/>
                <w:sz w:val="22"/>
                <w:szCs w:val="22"/>
              </w:rPr>
              <w:t>.</w:t>
            </w:r>
            <w:r w:rsidRPr="0052452E">
              <w:rPr>
                <w:sz w:val="22"/>
                <w:szCs w:val="22"/>
              </w:rPr>
              <w:t xml:space="preserve"> For the Incentive Auction, the Report and Order adopts a cap of</w:t>
            </w:r>
            <w:r w:rsidR="00B817FA">
              <w:rPr>
                <w:sz w:val="22"/>
                <w:szCs w:val="22"/>
              </w:rPr>
              <w:t xml:space="preserve"> </w:t>
            </w:r>
            <w:r w:rsidRPr="0052452E">
              <w:rPr>
                <w:sz w:val="22"/>
                <w:szCs w:val="22"/>
              </w:rPr>
              <w:t xml:space="preserve">$150 million for small businesses and a $10 million ceiling on the overall amount that any entity—either a small business or rural service provider—can receive in </w:t>
            </w:r>
            <w:r w:rsidR="00DB024C">
              <w:rPr>
                <w:sz w:val="22"/>
                <w:szCs w:val="22"/>
              </w:rPr>
              <w:t>smaller</w:t>
            </w:r>
            <w:r w:rsidRPr="0052452E">
              <w:rPr>
                <w:sz w:val="22"/>
                <w:szCs w:val="22"/>
              </w:rPr>
              <w:t xml:space="preserve"> markets.</w:t>
            </w:r>
          </w:p>
          <w:p w:rsidR="00C72279" w:rsidRPr="0002769F" w:rsidRDefault="00C72279" w:rsidP="0052452E">
            <w:pPr>
              <w:pStyle w:val="ListParagraph"/>
              <w:rPr>
                <w:szCs w:val="22"/>
              </w:rPr>
            </w:pPr>
          </w:p>
          <w:p w:rsidR="00C72279" w:rsidRPr="00DF6CB6" w:rsidRDefault="00A42BBD">
            <w:pPr>
              <w:pStyle w:val="ParaNum"/>
              <w:numPr>
                <w:ilvl w:val="0"/>
                <w:numId w:val="3"/>
              </w:numPr>
              <w:tabs>
                <w:tab w:val="left" w:pos="-1890"/>
              </w:tabs>
              <w:suppressAutoHyphens/>
              <w:rPr>
                <w:szCs w:val="22"/>
              </w:rPr>
            </w:pPr>
            <w:r w:rsidRPr="00C72279">
              <w:rPr>
                <w:szCs w:val="22"/>
              </w:rPr>
              <w:t>Modifications to the Commission’s attribution rules to guard against unjust enrichment.</w:t>
            </w:r>
          </w:p>
          <w:p w:rsidR="00A42BBD" w:rsidRPr="00C72279" w:rsidRDefault="00A42BBD" w:rsidP="00A42BBD">
            <w:pPr>
              <w:pStyle w:val="ParaNum"/>
              <w:numPr>
                <w:ilvl w:val="0"/>
                <w:numId w:val="3"/>
              </w:numPr>
              <w:tabs>
                <w:tab w:val="left" w:pos="-1890"/>
              </w:tabs>
              <w:suppressAutoHyphens/>
              <w:rPr>
                <w:szCs w:val="22"/>
              </w:rPr>
            </w:pPr>
            <w:r w:rsidRPr="00C72279">
              <w:rPr>
                <w:szCs w:val="22"/>
              </w:rPr>
              <w:lastRenderedPageBreak/>
              <w:t>Amendment of the competitive bidding rules to prohibit joint bidding and multiple applications by one party as well as parties with common controlling interests except in limited circumstances.</w:t>
            </w:r>
          </w:p>
          <w:p w:rsidR="00933E99" w:rsidRPr="00C72279" w:rsidRDefault="00933E99" w:rsidP="00933E99">
            <w:pPr>
              <w:rPr>
                <w:sz w:val="22"/>
                <w:szCs w:val="22"/>
              </w:rPr>
            </w:pPr>
          </w:p>
          <w:p w:rsidR="0083399B" w:rsidRDefault="0083399B" w:rsidP="0083399B">
            <w:pPr>
              <w:rPr>
                <w:sz w:val="22"/>
                <w:szCs w:val="22"/>
              </w:rPr>
            </w:pPr>
            <w:r>
              <w:t>Action by the Commission July 16, 2015 by Report and Order, Order on Reconsideration, Third Order on Reconsideration and a Third Report and Order (FCC 15-80).  Chairman Wheeler, Commissioners Clyburn, and Rosenworcel.  Commissioner O’Rielly and Pai dissenting.  Chairman Wheeler, Commissioners Clyburn, Rosenworcel, Pai and O’Rielly issuing statements.</w:t>
            </w:r>
          </w:p>
          <w:p w:rsidR="00933E99" w:rsidRPr="00C72279" w:rsidRDefault="00933E99" w:rsidP="00933E99">
            <w:pPr>
              <w:rPr>
                <w:snapToGrid w:val="0"/>
                <w:sz w:val="22"/>
                <w:szCs w:val="22"/>
              </w:rPr>
            </w:pPr>
          </w:p>
          <w:p w:rsidR="00933E99" w:rsidRPr="00C72279" w:rsidRDefault="00933E99" w:rsidP="00933E99">
            <w:pPr>
              <w:pStyle w:val="PlainText"/>
              <w:jc w:val="center"/>
              <w:rPr>
                <w:snapToGrid w:val="0"/>
              </w:rPr>
            </w:pPr>
            <w:r w:rsidRPr="00C72279">
              <w:t>-FCC-</w:t>
            </w:r>
          </w:p>
          <w:p w:rsidR="00BD19E8" w:rsidRPr="00C72279" w:rsidRDefault="00BD19E8" w:rsidP="00E349AA">
            <w:pPr>
              <w:jc w:val="both"/>
              <w:rPr>
                <w:rStyle w:val="Hyperlink"/>
                <w:sz w:val="22"/>
                <w:szCs w:val="22"/>
              </w:rPr>
            </w:pPr>
          </w:p>
          <w:p w:rsidR="004F0F1F" w:rsidRPr="00C72279" w:rsidRDefault="00F708E3" w:rsidP="0083399B">
            <w:pPr>
              <w:jc w:val="center"/>
              <w:rPr>
                <w:sz w:val="22"/>
                <w:szCs w:val="22"/>
              </w:rPr>
            </w:pPr>
            <w:r w:rsidRPr="0052452E">
              <w:rPr>
                <w:sz w:val="22"/>
                <w:szCs w:val="22"/>
              </w:rPr>
              <w:t>###</w:t>
            </w:r>
          </w:p>
          <w:p w:rsidR="00E644FE" w:rsidRPr="006B0A70" w:rsidRDefault="00E644FE" w:rsidP="0083399B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83399B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8339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EE0E90" w:rsidRDefault="001353FC" w:rsidP="0083399B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CC" w:rsidRDefault="003B45CC" w:rsidP="003B45CC">
      <w:r>
        <w:separator/>
      </w:r>
    </w:p>
  </w:endnote>
  <w:endnote w:type="continuationSeparator" w:id="0">
    <w:p w:rsidR="003B45CC" w:rsidRDefault="003B45CC" w:rsidP="003B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CC" w:rsidRDefault="003B4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CC" w:rsidRDefault="003B4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CC" w:rsidRDefault="003B4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CC" w:rsidRDefault="003B45CC" w:rsidP="003B45CC">
      <w:r>
        <w:separator/>
      </w:r>
    </w:p>
  </w:footnote>
  <w:footnote w:type="continuationSeparator" w:id="0">
    <w:p w:rsidR="003B45CC" w:rsidRDefault="003B45CC" w:rsidP="003B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CC" w:rsidRDefault="003B4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CC" w:rsidRDefault="003B45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CC" w:rsidRDefault="003B4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7BB45CC"/>
    <w:multiLevelType w:val="hybridMultilevel"/>
    <w:tmpl w:val="5F70BA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77CC563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2769F"/>
    <w:rsid w:val="000311FC"/>
    <w:rsid w:val="00040127"/>
    <w:rsid w:val="000462F2"/>
    <w:rsid w:val="00061789"/>
    <w:rsid w:val="00064D11"/>
    <w:rsid w:val="00081232"/>
    <w:rsid w:val="00091E65"/>
    <w:rsid w:val="00096D4A"/>
    <w:rsid w:val="000A38EA"/>
    <w:rsid w:val="000A463C"/>
    <w:rsid w:val="000C1E47"/>
    <w:rsid w:val="000C26F3"/>
    <w:rsid w:val="000E049E"/>
    <w:rsid w:val="0010799B"/>
    <w:rsid w:val="00117DB2"/>
    <w:rsid w:val="00123ED2"/>
    <w:rsid w:val="00125BE0"/>
    <w:rsid w:val="001353FC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B45CC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53026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452E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7FBE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A1FF5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3399B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03C6"/>
    <w:rsid w:val="00933E99"/>
    <w:rsid w:val="0094533D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26C2B"/>
    <w:rsid w:val="00A35DFD"/>
    <w:rsid w:val="00A42BBD"/>
    <w:rsid w:val="00A702DF"/>
    <w:rsid w:val="00A775A3"/>
    <w:rsid w:val="00A81B5B"/>
    <w:rsid w:val="00A82FAD"/>
    <w:rsid w:val="00A95690"/>
    <w:rsid w:val="00A9673A"/>
    <w:rsid w:val="00A96EF2"/>
    <w:rsid w:val="00AA5C35"/>
    <w:rsid w:val="00AA5ED9"/>
    <w:rsid w:val="00AC0A38"/>
    <w:rsid w:val="00AC4E0E"/>
    <w:rsid w:val="00AC517B"/>
    <w:rsid w:val="00AD0D19"/>
    <w:rsid w:val="00AE1412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775A0"/>
    <w:rsid w:val="00B817FA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2279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4C29"/>
    <w:rsid w:val="00D46CB1"/>
    <w:rsid w:val="00D723F0"/>
    <w:rsid w:val="00D8133F"/>
    <w:rsid w:val="00D95B05"/>
    <w:rsid w:val="00D97E2D"/>
    <w:rsid w:val="00DA103D"/>
    <w:rsid w:val="00DA45D3"/>
    <w:rsid w:val="00DA4772"/>
    <w:rsid w:val="00DB024C"/>
    <w:rsid w:val="00DB2667"/>
    <w:rsid w:val="00DB67B7"/>
    <w:rsid w:val="00DC15A9"/>
    <w:rsid w:val="00DC40AA"/>
    <w:rsid w:val="00DD1750"/>
    <w:rsid w:val="00DF6CB6"/>
    <w:rsid w:val="00E349AA"/>
    <w:rsid w:val="00E41390"/>
    <w:rsid w:val="00E41CA0"/>
    <w:rsid w:val="00E4366B"/>
    <w:rsid w:val="00E50A4A"/>
    <w:rsid w:val="00E52EC8"/>
    <w:rsid w:val="00E606DE"/>
    <w:rsid w:val="00E620BC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2A45"/>
    <w:rsid w:val="00FC6C29"/>
    <w:rsid w:val="00FD5111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933E99"/>
    <w:rPr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933E99"/>
    <w:rPr>
      <w:sz w:val="22"/>
      <w:szCs w:val="22"/>
    </w:rPr>
  </w:style>
  <w:style w:type="paragraph" w:styleId="BodyText">
    <w:name w:val="Body Text"/>
    <w:basedOn w:val="Normal"/>
    <w:link w:val="BodyTextChar"/>
    <w:rsid w:val="00A42BBD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42BBD"/>
    <w:rPr>
      <w:sz w:val="22"/>
    </w:rPr>
  </w:style>
  <w:style w:type="paragraph" w:customStyle="1" w:styleId="ParaNum">
    <w:name w:val="ParaNum"/>
    <w:basedOn w:val="Normal"/>
    <w:link w:val="ParaNumChar1"/>
    <w:rsid w:val="00A42BBD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character" w:customStyle="1" w:styleId="ParaNumChar1">
    <w:name w:val="ParaNum Char1"/>
    <w:link w:val="ParaNum"/>
    <w:rsid w:val="00A42BBD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B775A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72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22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E14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1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14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1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412"/>
    <w:rPr>
      <w:b/>
      <w:bCs/>
    </w:rPr>
  </w:style>
  <w:style w:type="paragraph" w:styleId="Header">
    <w:name w:val="header"/>
    <w:basedOn w:val="Normal"/>
    <w:link w:val="HeaderChar"/>
    <w:unhideWhenUsed/>
    <w:rsid w:val="003B4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45C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4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45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933E99"/>
    <w:rPr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933E99"/>
    <w:rPr>
      <w:sz w:val="22"/>
      <w:szCs w:val="22"/>
    </w:rPr>
  </w:style>
  <w:style w:type="paragraph" w:styleId="BodyText">
    <w:name w:val="Body Text"/>
    <w:basedOn w:val="Normal"/>
    <w:link w:val="BodyTextChar"/>
    <w:rsid w:val="00A42BBD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42BBD"/>
    <w:rPr>
      <w:sz w:val="22"/>
    </w:rPr>
  </w:style>
  <w:style w:type="paragraph" w:customStyle="1" w:styleId="ParaNum">
    <w:name w:val="ParaNum"/>
    <w:basedOn w:val="Normal"/>
    <w:link w:val="ParaNumChar1"/>
    <w:rsid w:val="00A42BBD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character" w:customStyle="1" w:styleId="ParaNumChar1">
    <w:name w:val="ParaNum Char1"/>
    <w:link w:val="ParaNum"/>
    <w:rsid w:val="00A42BBD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B775A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72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22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E14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1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14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1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412"/>
    <w:rPr>
      <w:b/>
      <w:bCs/>
    </w:rPr>
  </w:style>
  <w:style w:type="paragraph" w:styleId="Header">
    <w:name w:val="header"/>
    <w:basedOn w:val="Normal"/>
    <w:link w:val="HeaderChar"/>
    <w:unhideWhenUsed/>
    <w:rsid w:val="003B4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45C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4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45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2860</Characters>
  <Application>Microsoft Office Word</Application>
  <DocSecurity>0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2015-07-16T16:59:00Z</dcterms:created>
  <dcterms:modified xsi:type="dcterms:W3CDTF">2015-07-16T16:59:00Z</dcterms:modified>
  <cp:category> </cp:category>
  <cp:contentStatus> </cp:contentStatus>
</cp:coreProperties>
</file>