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F6354" w14:textId="77777777" w:rsidR="002E5F53" w:rsidRDefault="00565BEB" w:rsidP="002E5F53">
      <w:pPr>
        <w:rPr>
          <w:b/>
        </w:rPr>
      </w:pPr>
      <w:bookmarkStart w:id="0" w:name="_GoBack"/>
      <w:bookmarkEnd w:id="0"/>
      <w:r>
        <w:rPr>
          <w:b/>
        </w:rPr>
        <w:t xml:space="preserve">FACT SHEET: </w:t>
      </w:r>
      <w:r w:rsidR="0086750D">
        <w:rPr>
          <w:b/>
        </w:rPr>
        <w:t>FCC ADOPTS</w:t>
      </w:r>
      <w:r w:rsidR="00CE3D8C">
        <w:rPr>
          <w:b/>
        </w:rPr>
        <w:t xml:space="preserve"> </w:t>
      </w:r>
      <w:r w:rsidR="00E705CB">
        <w:rPr>
          <w:b/>
        </w:rPr>
        <w:t xml:space="preserve">COMPETITIVE BIDDING </w:t>
      </w:r>
      <w:r w:rsidR="0086750D">
        <w:rPr>
          <w:b/>
        </w:rPr>
        <w:t xml:space="preserve">REPORT &amp; ORDER </w:t>
      </w:r>
      <w:r w:rsidR="00E705CB">
        <w:rPr>
          <w:b/>
        </w:rPr>
        <w:t>TO REFORM AUCTION RULES</w:t>
      </w:r>
      <w:r w:rsidR="00CF5F3E">
        <w:rPr>
          <w:b/>
        </w:rPr>
        <w:t xml:space="preserve"> AND</w:t>
      </w:r>
      <w:r w:rsidR="00E705CB">
        <w:rPr>
          <w:b/>
        </w:rPr>
        <w:t xml:space="preserve"> </w:t>
      </w:r>
      <w:r w:rsidR="00B662F0">
        <w:rPr>
          <w:b/>
        </w:rPr>
        <w:t>SAFEGU</w:t>
      </w:r>
      <w:r w:rsidR="00E705CB">
        <w:rPr>
          <w:b/>
        </w:rPr>
        <w:t>ARD SMALL BUSINESS BENEFITS</w:t>
      </w:r>
    </w:p>
    <w:p w14:paraId="3D123980" w14:textId="77777777" w:rsidR="00CF5F3E" w:rsidRPr="00E705CB" w:rsidRDefault="0086750D" w:rsidP="002E5F53">
      <w:pPr>
        <w:spacing w:line="240" w:lineRule="auto"/>
        <w:rPr>
          <w:b/>
        </w:rPr>
      </w:pPr>
      <w:r>
        <w:rPr>
          <w:b/>
          <w:i/>
        </w:rPr>
        <w:t>Reforms</w:t>
      </w:r>
      <w:r w:rsidRPr="002E3D9F">
        <w:rPr>
          <w:b/>
          <w:i/>
        </w:rPr>
        <w:t xml:space="preserve"> </w:t>
      </w:r>
      <w:r w:rsidR="002E3D9F" w:rsidRPr="002E3D9F">
        <w:rPr>
          <w:b/>
          <w:i/>
        </w:rPr>
        <w:t>Will Prevent Abuse; Empower Rural Carriers to Compete in Spectrum Auctions</w:t>
      </w:r>
    </w:p>
    <w:p w14:paraId="7F34AEE0" w14:textId="488DF66C" w:rsidR="00565BEB" w:rsidRPr="00B07217" w:rsidRDefault="00407B36">
      <w:pPr>
        <w:rPr>
          <w:b/>
          <w:i/>
        </w:rPr>
      </w:pPr>
      <w:r>
        <w:rPr>
          <w:i/>
        </w:rPr>
        <w:t>Today, the FCC voted to adopt balanced rules that will</w:t>
      </w:r>
      <w:r w:rsidR="00565BEB">
        <w:rPr>
          <w:i/>
        </w:rPr>
        <w:t xml:space="preserve"> modernize the Commission’s approach to small business participation in wireless spectrum auctions, also known as the competitive bidding rules. </w:t>
      </w:r>
      <w:r w:rsidR="00E705CB">
        <w:rPr>
          <w:i/>
        </w:rPr>
        <w:t xml:space="preserve">The Commission initiated a </w:t>
      </w:r>
      <w:hyperlink r:id="rId8" w:history="1">
        <w:r w:rsidR="00E705CB" w:rsidRPr="00B07217">
          <w:rPr>
            <w:rStyle w:val="Hyperlink"/>
            <w:i/>
          </w:rPr>
          <w:t>proceeding</w:t>
        </w:r>
      </w:hyperlink>
      <w:r w:rsidR="00E705CB">
        <w:rPr>
          <w:i/>
        </w:rPr>
        <w:t xml:space="preserve"> in October 2014 </w:t>
      </w:r>
      <w:r w:rsidR="007632DC">
        <w:rPr>
          <w:i/>
        </w:rPr>
        <w:t xml:space="preserve">to </w:t>
      </w:r>
      <w:r w:rsidR="00E705CB">
        <w:rPr>
          <w:i/>
        </w:rPr>
        <w:t xml:space="preserve">revisit its competitive </w:t>
      </w:r>
      <w:r w:rsidR="007B498C">
        <w:rPr>
          <w:i/>
        </w:rPr>
        <w:t xml:space="preserve">bidding rules, last updated in 2006, </w:t>
      </w:r>
      <w:r w:rsidR="00E705CB">
        <w:rPr>
          <w:i/>
        </w:rPr>
        <w:t xml:space="preserve">prior to next year’s historic Incentive Auction. </w:t>
      </w:r>
      <w:r w:rsidR="00CE3D8C">
        <w:rPr>
          <w:i/>
        </w:rPr>
        <w:t xml:space="preserve">In response to </w:t>
      </w:r>
      <w:r w:rsidR="00A30460">
        <w:rPr>
          <w:i/>
        </w:rPr>
        <w:t>today’s</w:t>
      </w:r>
      <w:r w:rsidR="00CE3D8C">
        <w:rPr>
          <w:i/>
        </w:rPr>
        <w:t xml:space="preserve"> wireless marketplace, the new </w:t>
      </w:r>
      <w:r w:rsidR="002929B1">
        <w:rPr>
          <w:i/>
        </w:rPr>
        <w:t>common-sense reforms will</w:t>
      </w:r>
      <w:r w:rsidR="00CE3D8C">
        <w:rPr>
          <w:i/>
        </w:rPr>
        <w:t xml:space="preserve"> provide more flexibility for bona fide small businesses, including </w:t>
      </w:r>
      <w:r w:rsidR="00C03368">
        <w:rPr>
          <w:i/>
        </w:rPr>
        <w:t>women- and minority-owned</w:t>
      </w:r>
      <w:r w:rsidR="007632DC">
        <w:rPr>
          <w:i/>
        </w:rPr>
        <w:t xml:space="preserve"> businesses </w:t>
      </w:r>
      <w:r w:rsidR="00C03368">
        <w:rPr>
          <w:i/>
        </w:rPr>
        <w:t xml:space="preserve">and </w:t>
      </w:r>
      <w:r w:rsidR="00CE3D8C">
        <w:rPr>
          <w:i/>
        </w:rPr>
        <w:t>rural carriers.</w:t>
      </w:r>
      <w:r w:rsidR="002929B1">
        <w:rPr>
          <w:i/>
        </w:rPr>
        <w:t xml:space="preserve"> At the same time, the </w:t>
      </w:r>
      <w:r w:rsidR="00CA4B9A">
        <w:rPr>
          <w:i/>
        </w:rPr>
        <w:t>reforms</w:t>
      </w:r>
      <w:r w:rsidR="004150FD">
        <w:rPr>
          <w:i/>
        </w:rPr>
        <w:t xml:space="preserve"> will</w:t>
      </w:r>
      <w:r w:rsidR="00CA4B9A">
        <w:rPr>
          <w:i/>
        </w:rPr>
        <w:t xml:space="preserve"> </w:t>
      </w:r>
      <w:r w:rsidR="004150FD">
        <w:rPr>
          <w:i/>
        </w:rPr>
        <w:t>increase</w:t>
      </w:r>
      <w:r w:rsidR="002929B1" w:rsidRPr="002929B1">
        <w:rPr>
          <w:i/>
        </w:rPr>
        <w:t xml:space="preserve"> transparency and efficiency</w:t>
      </w:r>
      <w:r w:rsidR="004150FD">
        <w:rPr>
          <w:i/>
        </w:rPr>
        <w:t xml:space="preserve"> to prevent abuse</w:t>
      </w:r>
      <w:r w:rsidR="002929B1" w:rsidRPr="002929B1">
        <w:rPr>
          <w:i/>
        </w:rPr>
        <w:t xml:space="preserve"> as well as protect the integrity of the Commission auction process.</w:t>
      </w:r>
      <w:r w:rsidR="00E705CB">
        <w:rPr>
          <w:i/>
        </w:rPr>
        <w:t xml:space="preserve"> </w:t>
      </w:r>
    </w:p>
    <w:p w14:paraId="25DEB598" w14:textId="6BE95970" w:rsidR="00320AE9" w:rsidRDefault="00540879" w:rsidP="00540879">
      <w:pPr>
        <w:spacing w:after="0" w:line="240" w:lineRule="auto"/>
        <w:rPr>
          <w:b/>
        </w:rPr>
      </w:pPr>
      <w:r>
        <w:rPr>
          <w:b/>
        </w:rPr>
        <w:t>Changes in the wireless marketplace</w:t>
      </w:r>
      <w:r w:rsidR="00CA4B9A">
        <w:rPr>
          <w:b/>
        </w:rPr>
        <w:t xml:space="preserve"> and experience</w:t>
      </w:r>
      <w:r w:rsidR="00BE1902">
        <w:rPr>
          <w:b/>
        </w:rPr>
        <w:t xml:space="preserve"> require the FCC to </w:t>
      </w:r>
      <w:r w:rsidR="00CA4B9A">
        <w:rPr>
          <w:b/>
        </w:rPr>
        <w:t>reform</w:t>
      </w:r>
      <w:r w:rsidR="00BE1902">
        <w:rPr>
          <w:b/>
        </w:rPr>
        <w:t xml:space="preserve"> the current rules:</w:t>
      </w:r>
    </w:p>
    <w:p w14:paraId="79D99C5B" w14:textId="77777777" w:rsidR="002929B1" w:rsidRDefault="002929B1" w:rsidP="002929B1">
      <w:pPr>
        <w:pStyle w:val="ListParagraph"/>
        <w:numPr>
          <w:ilvl w:val="0"/>
          <w:numId w:val="2"/>
        </w:numPr>
        <w:spacing w:after="0" w:line="240" w:lineRule="auto"/>
        <w:rPr>
          <w:rFonts w:cstheme="minorHAnsi"/>
        </w:rPr>
      </w:pPr>
      <w:r>
        <w:rPr>
          <w:color w:val="000000" w:themeColor="text1"/>
        </w:rPr>
        <w:t xml:space="preserve">In the last decade, consumer demand has exploded, data usage has grown exponentially, and faster 4G networks enable even more data services.  </w:t>
      </w:r>
    </w:p>
    <w:p w14:paraId="2C504F0A" w14:textId="77777777" w:rsidR="00540879" w:rsidRPr="00540879" w:rsidRDefault="002929B1" w:rsidP="00540879">
      <w:pPr>
        <w:pStyle w:val="ListParagraph"/>
        <w:numPr>
          <w:ilvl w:val="0"/>
          <w:numId w:val="2"/>
        </w:numPr>
        <w:spacing w:after="0" w:line="240" w:lineRule="auto"/>
        <w:rPr>
          <w:b/>
        </w:rPr>
      </w:pPr>
      <w:r>
        <w:t xml:space="preserve">Today, </w:t>
      </w:r>
      <w:r>
        <w:rPr>
          <w:color w:val="000000" w:themeColor="text1"/>
        </w:rPr>
        <w:t>9</w:t>
      </w:r>
      <w:r w:rsidR="001E1357">
        <w:rPr>
          <w:color w:val="000000" w:themeColor="text1"/>
        </w:rPr>
        <w:t>8</w:t>
      </w:r>
      <w:r>
        <w:rPr>
          <w:color w:val="000000" w:themeColor="text1"/>
        </w:rPr>
        <w:t xml:space="preserve">% of </w:t>
      </w:r>
      <w:r w:rsidR="00C44356">
        <w:rPr>
          <w:color w:val="000000" w:themeColor="text1"/>
        </w:rPr>
        <w:t xml:space="preserve">mobile devices </w:t>
      </w:r>
      <w:r>
        <w:rPr>
          <w:color w:val="000000" w:themeColor="text1"/>
        </w:rPr>
        <w:t>are served by the top four national providers</w:t>
      </w:r>
      <w:r w:rsidR="00C44356">
        <w:rPr>
          <w:rFonts w:cstheme="minorHAnsi"/>
        </w:rPr>
        <w:t xml:space="preserve">. </w:t>
      </w:r>
      <w:r w:rsidR="0006499D">
        <w:rPr>
          <w:color w:val="000000" w:themeColor="text1"/>
        </w:rPr>
        <w:t xml:space="preserve">In </w:t>
      </w:r>
      <w:r w:rsidR="00CC7EC5">
        <w:rPr>
          <w:color w:val="000000" w:themeColor="text1"/>
        </w:rPr>
        <w:t>contrast</w:t>
      </w:r>
      <w:r w:rsidR="0006499D">
        <w:rPr>
          <w:color w:val="000000" w:themeColor="text1"/>
        </w:rPr>
        <w:t xml:space="preserve">, </w:t>
      </w:r>
      <w:r w:rsidR="007632DC">
        <w:rPr>
          <w:color w:val="000000" w:themeColor="text1"/>
        </w:rPr>
        <w:t xml:space="preserve">the top four national providers served approximately 82% of the market </w:t>
      </w:r>
      <w:r w:rsidR="00CC7EC5">
        <w:rPr>
          <w:color w:val="000000" w:themeColor="text1"/>
        </w:rPr>
        <w:t>in</w:t>
      </w:r>
      <w:r w:rsidR="002260E5">
        <w:rPr>
          <w:color w:val="000000" w:themeColor="text1"/>
        </w:rPr>
        <w:t xml:space="preserve"> </w:t>
      </w:r>
      <w:r w:rsidR="00CC7EC5">
        <w:rPr>
          <w:color w:val="000000" w:themeColor="text1"/>
        </w:rPr>
        <w:t>2006</w:t>
      </w:r>
      <w:r w:rsidR="0006499D">
        <w:rPr>
          <w:color w:val="000000" w:themeColor="text1"/>
        </w:rPr>
        <w:t xml:space="preserve">. </w:t>
      </w:r>
      <w:r>
        <w:rPr>
          <w:color w:val="000000" w:themeColor="text1"/>
        </w:rPr>
        <w:t>Small businesses and rural carriers need an on-ramp into a mature wireless industry.</w:t>
      </w:r>
    </w:p>
    <w:p w14:paraId="1FF4EF67" w14:textId="77777777" w:rsidR="00540879" w:rsidRPr="00CA4B9A" w:rsidRDefault="00540879" w:rsidP="00540879">
      <w:pPr>
        <w:pStyle w:val="ListParagraph"/>
        <w:numPr>
          <w:ilvl w:val="0"/>
          <w:numId w:val="2"/>
        </w:numPr>
        <w:spacing w:after="0" w:line="240" w:lineRule="auto"/>
        <w:rPr>
          <w:b/>
        </w:rPr>
      </w:pPr>
      <w:r>
        <w:t xml:space="preserve">The competitive bidding rules were last updated </w:t>
      </w:r>
      <w:r w:rsidR="00E1001C">
        <w:t>in 2006</w:t>
      </w:r>
      <w:r w:rsidR="00BE1902">
        <w:t>. Today, wom</w:t>
      </w:r>
      <w:r w:rsidR="00B07217">
        <w:t>e</w:t>
      </w:r>
      <w:r w:rsidR="00BE1902">
        <w:t>n</w:t>
      </w:r>
      <w:r w:rsidR="00B07217">
        <w:t>-</w:t>
      </w:r>
      <w:r w:rsidR="00BE1902">
        <w:t xml:space="preserve"> and minority-owned small businesses face </w:t>
      </w:r>
      <w:r w:rsidR="00D922F4">
        <w:t xml:space="preserve">an uphill battle </w:t>
      </w:r>
      <w:r w:rsidR="007632DC">
        <w:t xml:space="preserve">in </w:t>
      </w:r>
      <w:r w:rsidR="00D922F4">
        <w:t>competing for spectrum.</w:t>
      </w:r>
    </w:p>
    <w:p w14:paraId="129101CF" w14:textId="77777777" w:rsidR="00696307" w:rsidRPr="00171B7F" w:rsidRDefault="00CA4B9A" w:rsidP="00696307">
      <w:pPr>
        <w:pStyle w:val="ListParagraph"/>
        <w:numPr>
          <w:ilvl w:val="0"/>
          <w:numId w:val="2"/>
        </w:numPr>
        <w:spacing w:after="0" w:line="240" w:lineRule="auto"/>
        <w:rPr>
          <w:b/>
        </w:rPr>
      </w:pPr>
      <w:r>
        <w:t xml:space="preserve">Ahead of upcoming </w:t>
      </w:r>
      <w:r w:rsidR="007632DC">
        <w:t>spectrum</w:t>
      </w:r>
      <w:r>
        <w:t xml:space="preserve"> auctions – including the incentive auction – the Commission must </w:t>
      </w:r>
      <w:r w:rsidR="0086750D">
        <w:t xml:space="preserve">utilize </w:t>
      </w:r>
      <w:r>
        <w:t xml:space="preserve">a competitive bidding system that promotes economic opportunity and competition. </w:t>
      </w:r>
    </w:p>
    <w:p w14:paraId="5FFF2F4C" w14:textId="77777777" w:rsidR="00696307" w:rsidRPr="00171B7F" w:rsidRDefault="00696307" w:rsidP="00171B7F">
      <w:pPr>
        <w:pStyle w:val="ListParagraph"/>
        <w:spacing w:after="0" w:line="240" w:lineRule="auto"/>
        <w:ind w:left="360"/>
        <w:rPr>
          <w:b/>
        </w:rPr>
      </w:pPr>
    </w:p>
    <w:p w14:paraId="6741C150" w14:textId="721919FE" w:rsidR="00696307" w:rsidRDefault="00696307" w:rsidP="00696307">
      <w:pPr>
        <w:spacing w:after="0" w:line="240" w:lineRule="auto"/>
        <w:rPr>
          <w:b/>
        </w:rPr>
      </w:pPr>
      <w:r>
        <w:rPr>
          <w:b/>
        </w:rPr>
        <w:t xml:space="preserve">New reforms will ensure </w:t>
      </w:r>
      <w:r w:rsidR="008D1994">
        <w:rPr>
          <w:b/>
        </w:rPr>
        <w:t xml:space="preserve">large corporations can’t game the system, </w:t>
      </w:r>
      <w:r>
        <w:rPr>
          <w:b/>
        </w:rPr>
        <w:t>bidding credits flow to small businesses and rural carriers</w:t>
      </w:r>
      <w:r w:rsidR="00E940DE">
        <w:rPr>
          <w:b/>
        </w:rPr>
        <w:t xml:space="preserve"> – </w:t>
      </w:r>
      <w:r w:rsidR="008D1994">
        <w:rPr>
          <w:b/>
        </w:rPr>
        <w:t xml:space="preserve">while revamping </w:t>
      </w:r>
      <w:r>
        <w:rPr>
          <w:b/>
        </w:rPr>
        <w:t>outdated policies that no longer serve today’s wireless marketplace, including:</w:t>
      </w:r>
    </w:p>
    <w:p w14:paraId="60A1F553" w14:textId="77777777" w:rsidR="00696307" w:rsidRPr="00BE1902" w:rsidRDefault="00696307" w:rsidP="00696307">
      <w:pPr>
        <w:pStyle w:val="ListParagraph"/>
        <w:numPr>
          <w:ilvl w:val="0"/>
          <w:numId w:val="3"/>
        </w:numPr>
        <w:spacing w:after="0" w:line="240" w:lineRule="auto"/>
        <w:rPr>
          <w:b/>
          <w:u w:val="single"/>
        </w:rPr>
      </w:pPr>
      <w:r>
        <w:rPr>
          <w:u w:val="single"/>
        </w:rPr>
        <w:t>Establishment of the first-ever</w:t>
      </w:r>
      <w:r w:rsidRPr="00BE1902">
        <w:rPr>
          <w:u w:val="single"/>
        </w:rPr>
        <w:t xml:space="preserve"> cap on </w:t>
      </w:r>
      <w:r>
        <w:rPr>
          <w:u w:val="single"/>
        </w:rPr>
        <w:t xml:space="preserve">the </w:t>
      </w:r>
      <w:r w:rsidRPr="00BE1902">
        <w:rPr>
          <w:u w:val="single"/>
        </w:rPr>
        <w:t>total value of bidding credits</w:t>
      </w:r>
      <w:r>
        <w:rPr>
          <w:u w:val="single"/>
        </w:rPr>
        <w:t xml:space="preserve"> a small business or rural provider is eligible to receive in any one spectrum auction: </w:t>
      </w:r>
    </w:p>
    <w:p w14:paraId="404D5422" w14:textId="77777777" w:rsidR="00104FF3" w:rsidRPr="00104FF3" w:rsidRDefault="00104FF3" w:rsidP="00696307">
      <w:pPr>
        <w:pStyle w:val="ParaNum"/>
        <w:numPr>
          <w:ilvl w:val="1"/>
          <w:numId w:val="3"/>
        </w:numPr>
        <w:tabs>
          <w:tab w:val="left" w:pos="720"/>
        </w:tabs>
        <w:spacing w:after="0"/>
        <w:rPr>
          <w:rFonts w:asciiTheme="minorHAnsi" w:hAnsiTheme="minorHAnsi" w:cstheme="minorHAnsi"/>
          <w:szCs w:val="22"/>
        </w:rPr>
      </w:pPr>
      <w:r>
        <w:rPr>
          <w:rFonts w:asciiTheme="minorHAnsi" w:hAnsiTheme="minorHAnsi" w:cstheme="minorHAnsi"/>
          <w:szCs w:val="22"/>
        </w:rPr>
        <w:t>Cap will vary on a service-by-service basis based on the capital requirements of the service and the inventory of licenses to be auctioned.</w:t>
      </w:r>
    </w:p>
    <w:p w14:paraId="71A1742A" w14:textId="2A0D9E1C" w:rsidR="00696307" w:rsidRPr="00104FF3" w:rsidRDefault="00104FF3" w:rsidP="00696307">
      <w:pPr>
        <w:pStyle w:val="ParaNum"/>
        <w:numPr>
          <w:ilvl w:val="1"/>
          <w:numId w:val="3"/>
        </w:numPr>
        <w:tabs>
          <w:tab w:val="left" w:pos="720"/>
        </w:tabs>
        <w:spacing w:after="0"/>
        <w:rPr>
          <w:rFonts w:asciiTheme="minorHAnsi" w:hAnsiTheme="minorHAnsi" w:cstheme="minorHAnsi"/>
          <w:szCs w:val="22"/>
        </w:rPr>
      </w:pPr>
      <w:r>
        <w:rPr>
          <w:rFonts w:asciiTheme="minorHAnsi" w:hAnsiTheme="minorHAnsi" w:cstheme="minorHAnsi"/>
        </w:rPr>
        <w:t xml:space="preserve">For the incentive auction, there is a </w:t>
      </w:r>
      <w:r w:rsidR="00696307">
        <w:rPr>
          <w:rFonts w:asciiTheme="minorHAnsi" w:hAnsiTheme="minorHAnsi" w:cstheme="minorHAnsi"/>
        </w:rPr>
        <w:t>$1</w:t>
      </w:r>
      <w:r w:rsidR="00EE0029">
        <w:rPr>
          <w:rFonts w:asciiTheme="minorHAnsi" w:hAnsiTheme="minorHAnsi" w:cstheme="minorHAnsi"/>
        </w:rPr>
        <w:t>50</w:t>
      </w:r>
      <w:r w:rsidR="00696307">
        <w:rPr>
          <w:rFonts w:asciiTheme="minorHAnsi" w:hAnsiTheme="minorHAnsi" w:cstheme="minorHAnsi"/>
        </w:rPr>
        <w:t xml:space="preserve"> million cap for small businesses; $</w:t>
      </w:r>
      <w:r w:rsidR="00031B79">
        <w:rPr>
          <w:rFonts w:asciiTheme="minorHAnsi" w:hAnsiTheme="minorHAnsi" w:cstheme="minorHAnsi"/>
        </w:rPr>
        <w:t>10</w:t>
      </w:r>
      <w:r w:rsidR="00696307">
        <w:rPr>
          <w:rFonts w:asciiTheme="minorHAnsi" w:hAnsiTheme="minorHAnsi" w:cstheme="minorHAnsi"/>
        </w:rPr>
        <w:t xml:space="preserve"> million cap for rural service providers.</w:t>
      </w:r>
    </w:p>
    <w:p w14:paraId="59F26AF7" w14:textId="10A3AC29" w:rsidR="00104FF3" w:rsidRPr="00104FF3" w:rsidRDefault="00104FF3" w:rsidP="00696307">
      <w:pPr>
        <w:pStyle w:val="ParaNum"/>
        <w:numPr>
          <w:ilvl w:val="1"/>
          <w:numId w:val="3"/>
        </w:numPr>
        <w:tabs>
          <w:tab w:val="left" w:pos="720"/>
        </w:tabs>
        <w:spacing w:after="0"/>
        <w:rPr>
          <w:rFonts w:asciiTheme="minorHAnsi" w:hAnsiTheme="minorHAnsi" w:cstheme="minorHAnsi"/>
          <w:szCs w:val="22"/>
        </w:rPr>
      </w:pPr>
      <w:r>
        <w:rPr>
          <w:rFonts w:asciiTheme="minorHAnsi" w:hAnsiTheme="minorHAnsi" w:cstheme="minorHAnsi"/>
        </w:rPr>
        <w:t>In addition, there is a $10 million ceiling on the amount of bidding credits that an</w:t>
      </w:r>
      <w:r w:rsidR="004E5681">
        <w:rPr>
          <w:rFonts w:asciiTheme="minorHAnsi" w:hAnsiTheme="minorHAnsi" w:cstheme="minorHAnsi"/>
        </w:rPr>
        <w:t>y</w:t>
      </w:r>
      <w:r>
        <w:rPr>
          <w:rFonts w:asciiTheme="minorHAnsi" w:hAnsiTheme="minorHAnsi" w:cstheme="minorHAnsi"/>
        </w:rPr>
        <w:t xml:space="preserve"> entity can </w:t>
      </w:r>
      <w:r w:rsidR="002A5D1D">
        <w:rPr>
          <w:rFonts w:asciiTheme="minorHAnsi" w:hAnsiTheme="minorHAnsi" w:cstheme="minorHAnsi"/>
        </w:rPr>
        <w:t>use</w:t>
      </w:r>
      <w:r>
        <w:rPr>
          <w:rFonts w:asciiTheme="minorHAnsi" w:hAnsiTheme="minorHAnsi" w:cstheme="minorHAnsi"/>
        </w:rPr>
        <w:t xml:space="preserve"> in </w:t>
      </w:r>
      <w:r w:rsidR="00761802">
        <w:rPr>
          <w:rFonts w:asciiTheme="minorHAnsi" w:hAnsiTheme="minorHAnsi" w:cstheme="minorHAnsi"/>
        </w:rPr>
        <w:t>smaller</w:t>
      </w:r>
      <w:r>
        <w:rPr>
          <w:rFonts w:asciiTheme="minorHAnsi" w:hAnsiTheme="minorHAnsi" w:cstheme="minorHAnsi"/>
        </w:rPr>
        <w:t xml:space="preserve"> markets.</w:t>
      </w:r>
    </w:p>
    <w:p w14:paraId="5CB1FE35" w14:textId="72105BEF" w:rsidR="00BE56EB" w:rsidRPr="00952449" w:rsidRDefault="00104FF3" w:rsidP="00952449">
      <w:pPr>
        <w:pStyle w:val="ParaNum"/>
        <w:numPr>
          <w:ilvl w:val="1"/>
          <w:numId w:val="3"/>
        </w:numPr>
        <w:tabs>
          <w:tab w:val="left" w:pos="720"/>
        </w:tabs>
        <w:spacing w:after="0"/>
        <w:rPr>
          <w:rFonts w:cstheme="minorHAnsi"/>
        </w:rPr>
      </w:pPr>
      <w:r>
        <w:rPr>
          <w:rFonts w:asciiTheme="minorHAnsi" w:hAnsiTheme="minorHAnsi" w:cstheme="minorHAnsi"/>
        </w:rPr>
        <w:t xml:space="preserve">Collectively, these provisions will provide flexibility for small businesses to pursue a variety </w:t>
      </w:r>
      <w:r w:rsidRPr="00952449">
        <w:rPr>
          <w:rFonts w:asciiTheme="minorHAnsi" w:hAnsiTheme="minorHAnsi" w:cstheme="minorHAnsi"/>
        </w:rPr>
        <w:t xml:space="preserve">of business plans, while ensuring that small businesses and rural providers can compete on equal footing in </w:t>
      </w:r>
      <w:r w:rsidR="00761802">
        <w:rPr>
          <w:rFonts w:asciiTheme="minorHAnsi" w:hAnsiTheme="minorHAnsi" w:cstheme="minorHAnsi"/>
        </w:rPr>
        <w:t>smaller</w:t>
      </w:r>
      <w:r w:rsidRPr="00952449">
        <w:rPr>
          <w:rFonts w:asciiTheme="minorHAnsi" w:hAnsiTheme="minorHAnsi" w:cstheme="minorHAnsi"/>
        </w:rPr>
        <w:t xml:space="preserve"> markets.</w:t>
      </w:r>
    </w:p>
    <w:p w14:paraId="67251C1E" w14:textId="697ED16B" w:rsidR="00BE56EB" w:rsidRPr="00952449" w:rsidRDefault="00BE56EB" w:rsidP="00952449">
      <w:pPr>
        <w:pStyle w:val="ParaNum"/>
        <w:numPr>
          <w:ilvl w:val="1"/>
          <w:numId w:val="3"/>
        </w:numPr>
        <w:tabs>
          <w:tab w:val="left" w:pos="720"/>
        </w:tabs>
        <w:spacing w:after="0"/>
        <w:rPr>
          <w:rFonts w:cstheme="minorHAnsi"/>
        </w:rPr>
      </w:pPr>
      <w:r w:rsidRPr="00952449">
        <w:rPr>
          <w:rFonts w:asciiTheme="minorHAnsi" w:hAnsiTheme="minorHAnsi" w:cstheme="minorHAnsi"/>
        </w:rPr>
        <w:t xml:space="preserve">A $150 million cap for the Incentive Auction is </w:t>
      </w:r>
      <w:r>
        <w:rPr>
          <w:rFonts w:asciiTheme="minorHAnsi" w:hAnsiTheme="minorHAnsi" w:cstheme="minorHAnsi"/>
        </w:rPr>
        <w:t xml:space="preserve">also </w:t>
      </w:r>
      <w:r w:rsidRPr="00952449">
        <w:rPr>
          <w:rFonts w:asciiTheme="minorHAnsi" w:hAnsiTheme="minorHAnsi" w:cstheme="minorHAnsi"/>
        </w:rPr>
        <w:t xml:space="preserve">reasonable and consistent with the amount bid and credits awarded to DEs in past major auctions. </w:t>
      </w:r>
    </w:p>
    <w:p w14:paraId="21961603" w14:textId="70279DEA" w:rsidR="00BE56EB" w:rsidRPr="004808D8" w:rsidRDefault="00BE56EB" w:rsidP="00952449">
      <w:pPr>
        <w:pStyle w:val="ParaNum"/>
        <w:numPr>
          <w:ilvl w:val="1"/>
          <w:numId w:val="3"/>
        </w:numPr>
        <w:tabs>
          <w:tab w:val="left" w:pos="720"/>
        </w:tabs>
        <w:spacing w:after="0"/>
        <w:rPr>
          <w:rFonts w:cstheme="minorHAnsi"/>
        </w:rPr>
      </w:pPr>
      <w:r w:rsidRPr="00952449">
        <w:rPr>
          <w:rFonts w:asciiTheme="minorHAnsi" w:hAnsiTheme="minorHAnsi" w:cstheme="minorHAnsi"/>
        </w:rPr>
        <w:t>The $150 million cap also takes into account the value of the 600 MHz spectrum that will be auctioned next year.  The Commission has acknowledged on numerous occasions the significant advantages of low-band spectrum, which increases the value of the spectrum.</w:t>
      </w:r>
    </w:p>
    <w:p w14:paraId="3156271D" w14:textId="5CEA88F5" w:rsidR="0019233A" w:rsidRPr="004808D8" w:rsidRDefault="0019233A" w:rsidP="004808D8">
      <w:pPr>
        <w:pStyle w:val="ParaNum"/>
        <w:numPr>
          <w:ilvl w:val="2"/>
          <w:numId w:val="3"/>
        </w:numPr>
        <w:tabs>
          <w:tab w:val="left" w:pos="720"/>
        </w:tabs>
        <w:spacing w:after="0"/>
        <w:rPr>
          <w:rFonts w:asciiTheme="minorHAnsi" w:hAnsiTheme="minorHAnsi" w:cstheme="minorHAnsi"/>
        </w:rPr>
      </w:pPr>
      <w:r w:rsidRPr="004808D8">
        <w:rPr>
          <w:rFonts w:asciiTheme="minorHAnsi" w:hAnsiTheme="minorHAnsi" w:cstheme="minorHAnsi"/>
          <w:szCs w:val="22"/>
        </w:rPr>
        <w:t xml:space="preserve">Applying Auction 97 prices to 10-megahertz PEA licenses (the same configuration as in the Incentive Auction), a $150 million cap would not affect a designated entity </w:t>
      </w:r>
      <w:r>
        <w:rPr>
          <w:rFonts w:asciiTheme="minorHAnsi" w:hAnsiTheme="minorHAnsi" w:cstheme="minorHAnsi"/>
          <w:szCs w:val="22"/>
        </w:rPr>
        <w:t xml:space="preserve">with </w:t>
      </w:r>
      <w:r w:rsidRPr="004808D8">
        <w:rPr>
          <w:rFonts w:asciiTheme="minorHAnsi" w:hAnsiTheme="minorHAnsi" w:cstheme="minorHAnsi"/>
          <w:szCs w:val="22"/>
        </w:rPr>
        <w:t xml:space="preserve">a </w:t>
      </w:r>
      <w:r w:rsidR="00320AE9">
        <w:rPr>
          <w:rFonts w:asciiTheme="minorHAnsi" w:hAnsiTheme="minorHAnsi" w:cstheme="minorHAnsi"/>
          <w:szCs w:val="22"/>
        </w:rPr>
        <w:t xml:space="preserve">15% or 25% </w:t>
      </w:r>
      <w:r w:rsidR="00846A51" w:rsidRPr="004808D8">
        <w:rPr>
          <w:rFonts w:asciiTheme="minorHAnsi" w:hAnsiTheme="minorHAnsi" w:cstheme="minorHAnsi"/>
          <w:szCs w:val="22"/>
        </w:rPr>
        <w:t>bidding credit discount from bidding on an</w:t>
      </w:r>
      <w:r w:rsidRPr="004808D8">
        <w:rPr>
          <w:rFonts w:asciiTheme="minorHAnsi" w:hAnsiTheme="minorHAnsi" w:cstheme="minorHAnsi"/>
          <w:szCs w:val="22"/>
        </w:rPr>
        <w:t xml:space="preserve"> individual license except in the top two markets (NY and LA).  </w:t>
      </w:r>
    </w:p>
    <w:p w14:paraId="7B5B0599" w14:textId="67FF664F" w:rsidR="00846A51" w:rsidRPr="004808D8" w:rsidRDefault="00846A51" w:rsidP="004808D8">
      <w:pPr>
        <w:pStyle w:val="ParaNum"/>
        <w:numPr>
          <w:ilvl w:val="2"/>
          <w:numId w:val="3"/>
        </w:numPr>
        <w:tabs>
          <w:tab w:val="left" w:pos="720"/>
        </w:tabs>
        <w:spacing w:after="0"/>
        <w:rPr>
          <w:rFonts w:asciiTheme="minorHAnsi" w:hAnsiTheme="minorHAnsi" w:cstheme="minorHAnsi"/>
        </w:rPr>
      </w:pPr>
      <w:r w:rsidRPr="004808D8">
        <w:rPr>
          <w:rFonts w:asciiTheme="minorHAnsi" w:hAnsiTheme="minorHAnsi" w:cstheme="minorHAnsi"/>
          <w:szCs w:val="22"/>
        </w:rPr>
        <w:t xml:space="preserve">With a </w:t>
      </w:r>
      <w:r w:rsidRPr="004808D8">
        <w:rPr>
          <w:rFonts w:asciiTheme="minorHAnsi" w:hAnsiTheme="minorHAnsi" w:cstheme="minorHAnsi"/>
        </w:rPr>
        <w:t xml:space="preserve">25% bidding credit, a designated entity could spend up to $600 million </w:t>
      </w:r>
      <w:r w:rsidR="00E16080">
        <w:rPr>
          <w:rFonts w:asciiTheme="minorHAnsi" w:hAnsiTheme="minorHAnsi" w:cstheme="minorHAnsi"/>
        </w:rPr>
        <w:t>and receive the full discount under</w:t>
      </w:r>
      <w:r w:rsidR="00E16080" w:rsidRPr="004808D8">
        <w:rPr>
          <w:rFonts w:asciiTheme="minorHAnsi" w:hAnsiTheme="minorHAnsi" w:cstheme="minorHAnsi"/>
        </w:rPr>
        <w:t xml:space="preserve"> </w:t>
      </w:r>
      <w:r w:rsidRPr="004808D8">
        <w:rPr>
          <w:rFonts w:asciiTheme="minorHAnsi" w:hAnsiTheme="minorHAnsi" w:cstheme="minorHAnsi"/>
        </w:rPr>
        <w:t xml:space="preserve">the cap. With a 15% bidding credit, a designated entity could spend up to a $1 billion </w:t>
      </w:r>
      <w:r w:rsidR="00E16080">
        <w:rPr>
          <w:rFonts w:asciiTheme="minorHAnsi" w:hAnsiTheme="minorHAnsi" w:cstheme="minorHAnsi"/>
        </w:rPr>
        <w:t>and receive the full discount under</w:t>
      </w:r>
      <w:r w:rsidRPr="004808D8">
        <w:rPr>
          <w:rFonts w:asciiTheme="minorHAnsi" w:hAnsiTheme="minorHAnsi" w:cstheme="minorHAnsi"/>
        </w:rPr>
        <w:t xml:space="preserve"> the cap.</w:t>
      </w:r>
    </w:p>
    <w:p w14:paraId="3EC79DB9" w14:textId="15D7343A" w:rsidR="00BE56EB" w:rsidRPr="00952449" w:rsidRDefault="00BE56EB" w:rsidP="00952449">
      <w:pPr>
        <w:pStyle w:val="ParaNum"/>
        <w:numPr>
          <w:ilvl w:val="1"/>
          <w:numId w:val="3"/>
        </w:numPr>
        <w:tabs>
          <w:tab w:val="left" w:pos="720"/>
        </w:tabs>
        <w:spacing w:after="0"/>
        <w:rPr>
          <w:rFonts w:cstheme="minorHAnsi"/>
        </w:rPr>
      </w:pPr>
      <w:r w:rsidRPr="00952449">
        <w:rPr>
          <w:rFonts w:asciiTheme="minorHAnsi" w:hAnsiTheme="minorHAnsi" w:cstheme="minorHAnsi"/>
        </w:rPr>
        <w:t>For other future auctions, the cap will be determined on an auction-by-auction basis with a $25 million floor for eligible small businesses and a $10 million floor for eligible rural service providers.</w:t>
      </w:r>
    </w:p>
    <w:p w14:paraId="10043CF5" w14:textId="77777777" w:rsidR="00696307" w:rsidRPr="00BE1902" w:rsidRDefault="00696307" w:rsidP="004808D8">
      <w:pPr>
        <w:pStyle w:val="ParaNum"/>
        <w:numPr>
          <w:ilvl w:val="0"/>
          <w:numId w:val="0"/>
        </w:numPr>
        <w:tabs>
          <w:tab w:val="left" w:pos="720"/>
        </w:tabs>
        <w:spacing w:after="0"/>
        <w:rPr>
          <w:rFonts w:asciiTheme="minorHAnsi" w:hAnsiTheme="minorHAnsi" w:cstheme="minorHAnsi"/>
          <w:szCs w:val="22"/>
        </w:rPr>
      </w:pPr>
    </w:p>
    <w:p w14:paraId="0DA336A2" w14:textId="77777777" w:rsidR="00696307" w:rsidRPr="00952449" w:rsidRDefault="00696307" w:rsidP="00696307">
      <w:pPr>
        <w:pStyle w:val="ListParagraph"/>
        <w:numPr>
          <w:ilvl w:val="0"/>
          <w:numId w:val="3"/>
        </w:numPr>
        <w:spacing w:after="0" w:line="240" w:lineRule="auto"/>
        <w:rPr>
          <w:rFonts w:cstheme="minorHAnsi"/>
          <w:b/>
          <w:u w:val="single"/>
        </w:rPr>
      </w:pPr>
      <w:r w:rsidRPr="00952449">
        <w:rPr>
          <w:rFonts w:cstheme="minorHAnsi"/>
          <w:u w:val="single"/>
        </w:rPr>
        <w:t>Prevention of unjust enrichment of ineligible entities by strengthening attribution rules:</w:t>
      </w:r>
    </w:p>
    <w:p w14:paraId="5A5529FE" w14:textId="622C4649" w:rsidR="00BE56EB" w:rsidRPr="00952449" w:rsidRDefault="00696307">
      <w:pPr>
        <w:pStyle w:val="ParaNum"/>
        <w:numPr>
          <w:ilvl w:val="1"/>
          <w:numId w:val="3"/>
        </w:numPr>
        <w:tabs>
          <w:tab w:val="left" w:pos="720"/>
        </w:tabs>
        <w:spacing w:after="0"/>
        <w:rPr>
          <w:rFonts w:asciiTheme="minorHAnsi" w:hAnsiTheme="minorHAnsi" w:cstheme="minorHAnsi"/>
          <w:szCs w:val="22"/>
        </w:rPr>
      </w:pPr>
      <w:r w:rsidRPr="00BE56EB">
        <w:rPr>
          <w:rFonts w:asciiTheme="minorHAnsi" w:hAnsiTheme="minorHAnsi" w:cstheme="minorHAnsi"/>
        </w:rPr>
        <w:t>Retaining the existing 5-year unjust enrichment period and graduated repayment schedule.</w:t>
      </w:r>
    </w:p>
    <w:p w14:paraId="4F8CC86E" w14:textId="4D4D22F9" w:rsidR="00BE56EB" w:rsidRPr="00952449" w:rsidRDefault="00BE56EB" w:rsidP="00BE56EB">
      <w:pPr>
        <w:pStyle w:val="ParaNum"/>
        <w:numPr>
          <w:ilvl w:val="2"/>
          <w:numId w:val="3"/>
        </w:numPr>
        <w:tabs>
          <w:tab w:val="left" w:pos="720"/>
        </w:tabs>
        <w:spacing w:after="0"/>
        <w:rPr>
          <w:rFonts w:asciiTheme="minorHAnsi" w:hAnsiTheme="minorHAnsi" w:cstheme="minorHAnsi"/>
          <w:szCs w:val="22"/>
        </w:rPr>
      </w:pPr>
      <w:r w:rsidRPr="006A28A5">
        <w:rPr>
          <w:rFonts w:asciiTheme="minorHAnsi" w:hAnsiTheme="minorHAnsi" w:cstheme="minorHAnsi"/>
        </w:rPr>
        <w:t>The record strongly indicates that increasing the unjust enrichment per</w:t>
      </w:r>
      <w:r>
        <w:rPr>
          <w:rFonts w:asciiTheme="minorHAnsi" w:hAnsiTheme="minorHAnsi" w:cstheme="minorHAnsi"/>
        </w:rPr>
        <w:t xml:space="preserve">iod will hurt the ability of </w:t>
      </w:r>
      <w:r w:rsidRPr="00504107">
        <w:rPr>
          <w:rFonts w:asciiTheme="minorHAnsi" w:hAnsiTheme="minorHAnsi" w:cstheme="minorHAnsi"/>
        </w:rPr>
        <w:t>designated entities</w:t>
      </w:r>
      <w:r w:rsidRPr="006A28A5">
        <w:rPr>
          <w:rFonts w:asciiTheme="minorHAnsi" w:hAnsiTheme="minorHAnsi" w:cstheme="minorHAnsi"/>
        </w:rPr>
        <w:t xml:space="preserve"> to access capital and participate in auctions. </w:t>
      </w:r>
    </w:p>
    <w:p w14:paraId="1038DD5A" w14:textId="11C6B18D" w:rsidR="00BE56EB" w:rsidRPr="00BE56EB" w:rsidRDefault="00BE56EB" w:rsidP="00952449">
      <w:pPr>
        <w:pStyle w:val="ParaNum"/>
        <w:numPr>
          <w:ilvl w:val="2"/>
          <w:numId w:val="3"/>
        </w:numPr>
        <w:tabs>
          <w:tab w:val="left" w:pos="720"/>
        </w:tabs>
        <w:spacing w:after="0"/>
        <w:rPr>
          <w:rFonts w:asciiTheme="minorHAnsi" w:hAnsiTheme="minorHAnsi" w:cstheme="minorHAnsi"/>
          <w:szCs w:val="22"/>
        </w:rPr>
      </w:pPr>
      <w:r w:rsidRPr="006A28A5">
        <w:rPr>
          <w:rFonts w:asciiTheme="minorHAnsi" w:hAnsiTheme="minorHAnsi" w:cstheme="minorHAnsi"/>
        </w:rPr>
        <w:t xml:space="preserve">The balanced approach adopted in the Report &amp; Order means that the reforms must be examined collectively.  By adopting other safeguards, such as capping the value of the bidding credits and strengthening the attribution rules, we address those concerns regarding unjust enrichment to ineligible entities. </w:t>
      </w:r>
    </w:p>
    <w:p w14:paraId="699EC71C" w14:textId="5B457860" w:rsidR="00BE56EB" w:rsidRPr="00BE56EB" w:rsidRDefault="00696307">
      <w:pPr>
        <w:pStyle w:val="ParaNum"/>
        <w:numPr>
          <w:ilvl w:val="1"/>
          <w:numId w:val="3"/>
        </w:numPr>
        <w:tabs>
          <w:tab w:val="left" w:pos="720"/>
        </w:tabs>
        <w:spacing w:after="0"/>
        <w:rPr>
          <w:rFonts w:asciiTheme="minorHAnsi" w:hAnsiTheme="minorHAnsi" w:cstheme="minorHAnsi"/>
          <w:szCs w:val="22"/>
        </w:rPr>
      </w:pPr>
      <w:r w:rsidRPr="00BE56EB">
        <w:rPr>
          <w:rFonts w:asciiTheme="minorHAnsi" w:hAnsiTheme="minorHAnsi" w:cstheme="minorHAnsi"/>
        </w:rPr>
        <w:t xml:space="preserve">Limiting the amount of spectrum that </w:t>
      </w:r>
      <w:r w:rsidR="00AC19B7" w:rsidRPr="00BE56EB">
        <w:rPr>
          <w:rFonts w:asciiTheme="minorHAnsi" w:hAnsiTheme="minorHAnsi" w:cstheme="minorHAnsi"/>
        </w:rPr>
        <w:t xml:space="preserve">non-controlling disclosable interest holders of a designated entity – such as investors – can use </w:t>
      </w:r>
      <w:r w:rsidRPr="00BE56EB">
        <w:rPr>
          <w:rFonts w:asciiTheme="minorHAnsi" w:hAnsiTheme="minorHAnsi" w:cstheme="minorHAnsi"/>
        </w:rPr>
        <w:t>during the unjust enrichment period.</w:t>
      </w:r>
    </w:p>
    <w:p w14:paraId="0435AC7F" w14:textId="77777777" w:rsidR="00BE56EB" w:rsidRPr="00952449" w:rsidRDefault="00696307" w:rsidP="00952449">
      <w:pPr>
        <w:pStyle w:val="ParaNum"/>
        <w:numPr>
          <w:ilvl w:val="1"/>
          <w:numId w:val="3"/>
        </w:numPr>
        <w:tabs>
          <w:tab w:val="left" w:pos="720"/>
        </w:tabs>
        <w:spacing w:after="0"/>
        <w:rPr>
          <w:rFonts w:cstheme="minorHAnsi"/>
        </w:rPr>
      </w:pPr>
      <w:r w:rsidRPr="00952449">
        <w:rPr>
          <w:rFonts w:asciiTheme="minorHAnsi" w:hAnsiTheme="minorHAnsi" w:cstheme="minorHAnsi"/>
        </w:rPr>
        <w:t>Putting designated entities on notice regarding the types of investor agreements that raise concerns about who’s “calling the shots”.</w:t>
      </w:r>
    </w:p>
    <w:p w14:paraId="16392DD0" w14:textId="38BB754F" w:rsidR="00BE56EB" w:rsidRPr="00952449" w:rsidRDefault="00BE56EB" w:rsidP="00952449">
      <w:pPr>
        <w:pStyle w:val="ParaNum"/>
        <w:numPr>
          <w:ilvl w:val="2"/>
          <w:numId w:val="3"/>
        </w:numPr>
        <w:tabs>
          <w:tab w:val="left" w:pos="720"/>
        </w:tabs>
        <w:spacing w:after="0"/>
        <w:rPr>
          <w:rFonts w:cstheme="minorHAnsi"/>
        </w:rPr>
      </w:pPr>
      <w:r w:rsidRPr="00952449">
        <w:rPr>
          <w:rFonts w:asciiTheme="minorHAnsi" w:hAnsiTheme="minorHAnsi" w:cstheme="minorHAnsi"/>
        </w:rPr>
        <w:t xml:space="preserve">The totality-of-the-circumstances approach adopted in the Report &amp; Order provides the Commission with the opportunity to determine if an entity with a non-controlling interest in </w:t>
      </w:r>
      <w:r w:rsidR="008B0A5D">
        <w:rPr>
          <w:rFonts w:asciiTheme="minorHAnsi" w:hAnsiTheme="minorHAnsi" w:cstheme="minorHAnsi"/>
        </w:rPr>
        <w:t>more than one</w:t>
      </w:r>
      <w:r w:rsidRPr="00952449">
        <w:rPr>
          <w:rFonts w:asciiTheme="minorHAnsi" w:hAnsiTheme="minorHAnsi" w:cstheme="minorHAnsi"/>
        </w:rPr>
        <w:t xml:space="preserve"> </w:t>
      </w:r>
      <w:r w:rsidRPr="00504107">
        <w:rPr>
          <w:rFonts w:asciiTheme="minorHAnsi" w:hAnsiTheme="minorHAnsi" w:cstheme="minorHAnsi"/>
        </w:rPr>
        <w:t>designated entit</w:t>
      </w:r>
      <w:r w:rsidR="008B0A5D">
        <w:rPr>
          <w:rFonts w:asciiTheme="minorHAnsi" w:hAnsiTheme="minorHAnsi" w:cstheme="minorHAnsi"/>
        </w:rPr>
        <w:t>y</w:t>
      </w:r>
      <w:r w:rsidRPr="00952449">
        <w:rPr>
          <w:rFonts w:asciiTheme="minorHAnsi" w:hAnsiTheme="minorHAnsi" w:cstheme="minorHAnsi"/>
        </w:rPr>
        <w:t xml:space="preserve"> has created the type of relationship with the </w:t>
      </w:r>
      <w:r w:rsidRPr="00504107">
        <w:rPr>
          <w:rFonts w:asciiTheme="minorHAnsi" w:hAnsiTheme="minorHAnsi" w:cstheme="minorHAnsi"/>
        </w:rPr>
        <w:t>designated entities</w:t>
      </w:r>
      <w:r w:rsidRPr="00952449">
        <w:rPr>
          <w:rFonts w:asciiTheme="minorHAnsi" w:hAnsiTheme="minorHAnsi" w:cstheme="minorHAnsi"/>
        </w:rPr>
        <w:t xml:space="preserve"> to warrant attributing the non-controlling interest’s revenue to the </w:t>
      </w:r>
      <w:r w:rsidRPr="00504107">
        <w:rPr>
          <w:rFonts w:asciiTheme="minorHAnsi" w:hAnsiTheme="minorHAnsi" w:cstheme="minorHAnsi"/>
        </w:rPr>
        <w:t>designated entities</w:t>
      </w:r>
      <w:r w:rsidRPr="00952449">
        <w:rPr>
          <w:rFonts w:asciiTheme="minorHAnsi" w:hAnsiTheme="minorHAnsi" w:cstheme="minorHAnsi"/>
        </w:rPr>
        <w:t>.</w:t>
      </w:r>
    </w:p>
    <w:p w14:paraId="307824EC" w14:textId="77777777" w:rsidR="00821FF2" w:rsidRPr="00BE1902" w:rsidRDefault="00821FF2" w:rsidP="00E940DE">
      <w:pPr>
        <w:pStyle w:val="ParaNum"/>
        <w:numPr>
          <w:ilvl w:val="0"/>
          <w:numId w:val="0"/>
        </w:numPr>
        <w:tabs>
          <w:tab w:val="left" w:pos="720"/>
        </w:tabs>
        <w:spacing w:after="0"/>
        <w:rPr>
          <w:rFonts w:asciiTheme="minorHAnsi" w:hAnsiTheme="minorHAnsi" w:cstheme="minorHAnsi"/>
          <w:szCs w:val="22"/>
        </w:rPr>
      </w:pPr>
    </w:p>
    <w:p w14:paraId="2CE3FE6E" w14:textId="77777777" w:rsidR="00696307" w:rsidRPr="00504107" w:rsidRDefault="00696307" w:rsidP="00696307">
      <w:pPr>
        <w:pStyle w:val="ParaNum"/>
        <w:numPr>
          <w:ilvl w:val="0"/>
          <w:numId w:val="3"/>
        </w:numPr>
        <w:tabs>
          <w:tab w:val="left" w:pos="720"/>
        </w:tabs>
        <w:spacing w:after="0"/>
        <w:rPr>
          <w:rFonts w:asciiTheme="minorHAnsi" w:hAnsiTheme="minorHAnsi" w:cstheme="minorHAnsi"/>
          <w:szCs w:val="22"/>
        </w:rPr>
      </w:pPr>
      <w:r w:rsidRPr="00504107">
        <w:rPr>
          <w:rFonts w:asciiTheme="minorHAnsi" w:hAnsiTheme="minorHAnsi" w:cstheme="minorHAnsi"/>
          <w:u w:val="single"/>
        </w:rPr>
        <w:t>Elimination of Joint Bidding Agreements and other reforms:</w:t>
      </w:r>
    </w:p>
    <w:p w14:paraId="41A49E59" w14:textId="5836B366" w:rsidR="00696307" w:rsidRPr="00504107" w:rsidRDefault="00696307" w:rsidP="00696307">
      <w:pPr>
        <w:pStyle w:val="ParaNum"/>
        <w:numPr>
          <w:ilvl w:val="1"/>
          <w:numId w:val="3"/>
        </w:numPr>
        <w:tabs>
          <w:tab w:val="left" w:pos="720"/>
        </w:tabs>
        <w:spacing w:after="0"/>
        <w:rPr>
          <w:rFonts w:asciiTheme="minorHAnsi" w:hAnsiTheme="minorHAnsi" w:cstheme="minorHAnsi"/>
          <w:szCs w:val="22"/>
        </w:rPr>
      </w:pPr>
      <w:r w:rsidRPr="00504107">
        <w:rPr>
          <w:rFonts w:asciiTheme="minorHAnsi" w:hAnsiTheme="minorHAnsi" w:cstheme="minorHAnsi"/>
        </w:rPr>
        <w:t>Prohibiting joint bidding agreements that involve a shared strategy for bidding at auction, but permitting arrangements that are solely operational (e.g., roaming, leasing, etc.), provided they are disclosed.</w:t>
      </w:r>
    </w:p>
    <w:p w14:paraId="635B94BF" w14:textId="563C08F4" w:rsidR="00696307" w:rsidRPr="00504107" w:rsidRDefault="00696307" w:rsidP="00696307">
      <w:pPr>
        <w:pStyle w:val="ParaNum"/>
        <w:numPr>
          <w:ilvl w:val="1"/>
          <w:numId w:val="3"/>
        </w:numPr>
        <w:tabs>
          <w:tab w:val="left" w:pos="720"/>
        </w:tabs>
        <w:spacing w:after="0"/>
        <w:rPr>
          <w:rFonts w:asciiTheme="minorHAnsi" w:hAnsiTheme="minorHAnsi" w:cstheme="minorHAnsi"/>
          <w:szCs w:val="22"/>
        </w:rPr>
      </w:pPr>
      <w:r w:rsidRPr="00504107">
        <w:rPr>
          <w:rFonts w:asciiTheme="minorHAnsi" w:hAnsiTheme="minorHAnsi" w:cstheme="minorHAnsi"/>
        </w:rPr>
        <w:t xml:space="preserve">Permitting designated entities – that is, </w:t>
      </w:r>
      <w:r w:rsidRPr="00504107">
        <w:rPr>
          <w:rFonts w:asciiTheme="minorHAnsi" w:hAnsiTheme="minorHAnsi" w:cstheme="minorHAnsi"/>
          <w:i/>
        </w:rPr>
        <w:t xml:space="preserve">bona fide </w:t>
      </w:r>
      <w:r w:rsidRPr="00504107">
        <w:rPr>
          <w:rFonts w:asciiTheme="minorHAnsi" w:hAnsiTheme="minorHAnsi" w:cstheme="minorHAnsi"/>
        </w:rPr>
        <w:t>small businesses and rural service providers eligible to receive bidding credits – to participate in consortia with other designated entities, resulting in a single bidder.</w:t>
      </w:r>
    </w:p>
    <w:p w14:paraId="4B664A1D" w14:textId="52A7D588" w:rsidR="00696307" w:rsidRPr="00E06B79" w:rsidRDefault="00696307" w:rsidP="00696307">
      <w:pPr>
        <w:pStyle w:val="ParaNum"/>
        <w:numPr>
          <w:ilvl w:val="1"/>
          <w:numId w:val="3"/>
        </w:numPr>
        <w:tabs>
          <w:tab w:val="left" w:pos="720"/>
        </w:tabs>
        <w:spacing w:after="0"/>
        <w:rPr>
          <w:rFonts w:asciiTheme="minorHAnsi" w:hAnsiTheme="minorHAnsi" w:cstheme="minorHAnsi"/>
          <w:szCs w:val="22"/>
        </w:rPr>
      </w:pPr>
      <w:r w:rsidRPr="00504107">
        <w:rPr>
          <w:rFonts w:asciiTheme="minorHAnsi" w:hAnsiTheme="minorHAnsi" w:cstheme="minorHAnsi"/>
        </w:rPr>
        <w:t>Permitting non-nationwide providers to participate in joint ventures with other non-</w:t>
      </w:r>
      <w:r w:rsidRPr="00E06B79">
        <w:rPr>
          <w:rFonts w:asciiTheme="minorHAnsi" w:hAnsiTheme="minorHAnsi" w:cstheme="minorHAnsi"/>
        </w:rPr>
        <w:t>nationwide providers, resulting in a single bidder.</w:t>
      </w:r>
    </w:p>
    <w:p w14:paraId="3BB7E461" w14:textId="1F063718" w:rsidR="00BE56EB" w:rsidRPr="00E06B79" w:rsidRDefault="00696307" w:rsidP="00952449">
      <w:pPr>
        <w:pStyle w:val="Style1"/>
        <w:numPr>
          <w:ilvl w:val="1"/>
          <w:numId w:val="3"/>
        </w:numPr>
        <w:spacing w:before="0" w:after="0"/>
        <w:rPr>
          <w:b w:val="0"/>
        </w:rPr>
      </w:pPr>
      <w:r w:rsidRPr="00E06B79">
        <w:rPr>
          <w:rFonts w:cstheme="minorHAnsi"/>
          <w:b w:val="0"/>
        </w:rPr>
        <w:t>Prohibiting multiple applications by one party and by parties wit</w:t>
      </w:r>
      <w:r w:rsidR="00E909FC" w:rsidRPr="00E06B79">
        <w:rPr>
          <w:rFonts w:cstheme="minorHAnsi"/>
          <w:b w:val="0"/>
        </w:rPr>
        <w:t>h common controlling interests subject to certain exceptions</w:t>
      </w:r>
      <w:r w:rsidRPr="00E06B79">
        <w:rPr>
          <w:rFonts w:cstheme="minorHAnsi"/>
          <w:b w:val="0"/>
        </w:rPr>
        <w:t>.</w:t>
      </w:r>
    </w:p>
    <w:p w14:paraId="6BE3969B" w14:textId="77777777" w:rsidR="00540879" w:rsidRDefault="00540879" w:rsidP="00540879">
      <w:pPr>
        <w:spacing w:after="0" w:line="240" w:lineRule="auto"/>
        <w:rPr>
          <w:b/>
        </w:rPr>
      </w:pPr>
    </w:p>
    <w:p w14:paraId="1515A09D" w14:textId="77777777" w:rsidR="004B0D75" w:rsidRDefault="0006499D" w:rsidP="004B0D75">
      <w:pPr>
        <w:spacing w:after="0" w:line="240" w:lineRule="auto"/>
        <w:rPr>
          <w:b/>
        </w:rPr>
      </w:pPr>
      <w:r>
        <w:rPr>
          <w:b/>
        </w:rPr>
        <w:t>A n</w:t>
      </w:r>
      <w:r w:rsidR="004B0D75">
        <w:rPr>
          <w:b/>
        </w:rPr>
        <w:t xml:space="preserve">ew rural business bidding credit </w:t>
      </w:r>
      <w:r w:rsidR="002929B1">
        <w:rPr>
          <w:b/>
        </w:rPr>
        <w:t>will</w:t>
      </w:r>
      <w:r w:rsidR="007A67D0">
        <w:rPr>
          <w:b/>
        </w:rPr>
        <w:t xml:space="preserve"> enable fair competition</w:t>
      </w:r>
      <w:r w:rsidR="00BC7D41">
        <w:rPr>
          <w:b/>
        </w:rPr>
        <w:t xml:space="preserve"> for small businesses </w:t>
      </w:r>
      <w:r w:rsidR="00CC7EC5">
        <w:rPr>
          <w:b/>
        </w:rPr>
        <w:t xml:space="preserve">to acquire new spectrum licenses to </w:t>
      </w:r>
      <w:r w:rsidR="00BC7D41">
        <w:rPr>
          <w:b/>
        </w:rPr>
        <w:t>serv</w:t>
      </w:r>
      <w:r w:rsidR="00CC7EC5">
        <w:rPr>
          <w:b/>
        </w:rPr>
        <w:t>e</w:t>
      </w:r>
      <w:r w:rsidR="00BC7D41">
        <w:rPr>
          <w:b/>
        </w:rPr>
        <w:t xml:space="preserve"> rural America</w:t>
      </w:r>
      <w:r w:rsidR="00BE1902">
        <w:rPr>
          <w:b/>
        </w:rPr>
        <w:t>:</w:t>
      </w:r>
    </w:p>
    <w:p w14:paraId="79BF5483" w14:textId="50A2A88A" w:rsidR="00BE1902" w:rsidRDefault="00BC7D41" w:rsidP="00BE1902">
      <w:pPr>
        <w:pStyle w:val="ListParagraph"/>
        <w:numPr>
          <w:ilvl w:val="0"/>
          <w:numId w:val="4"/>
        </w:numPr>
        <w:spacing w:after="0" w:line="240" w:lineRule="auto"/>
        <w:rPr>
          <w:color w:val="000000" w:themeColor="text1"/>
        </w:rPr>
      </w:pPr>
      <w:r>
        <w:rPr>
          <w:color w:val="000000" w:themeColor="text1"/>
        </w:rPr>
        <w:t xml:space="preserve">A </w:t>
      </w:r>
      <w:r w:rsidR="00BE1902">
        <w:rPr>
          <w:color w:val="000000" w:themeColor="text1"/>
        </w:rPr>
        <w:t xml:space="preserve">rural carrier will qualify for a 15% bidding credit if </w:t>
      </w:r>
      <w:r w:rsidR="00CC7EC5">
        <w:rPr>
          <w:color w:val="000000" w:themeColor="text1"/>
        </w:rPr>
        <w:t xml:space="preserve">it </w:t>
      </w:r>
      <w:r w:rsidR="00E16080">
        <w:rPr>
          <w:color w:val="000000" w:themeColor="text1"/>
        </w:rPr>
        <w:t xml:space="preserve">has </w:t>
      </w:r>
      <w:r w:rsidR="00BE1902" w:rsidRPr="00BE1902">
        <w:rPr>
          <w:color w:val="000000" w:themeColor="text1"/>
        </w:rPr>
        <w:t xml:space="preserve">250,000 subscribers or </w:t>
      </w:r>
      <w:r w:rsidR="00392C28">
        <w:rPr>
          <w:color w:val="000000" w:themeColor="text1"/>
        </w:rPr>
        <w:t xml:space="preserve">fewer </w:t>
      </w:r>
      <w:r w:rsidR="00C275C9">
        <w:rPr>
          <w:color w:val="000000" w:themeColor="text1"/>
        </w:rPr>
        <w:t>and serve</w:t>
      </w:r>
      <w:r w:rsidR="00CC7EC5">
        <w:rPr>
          <w:color w:val="000000" w:themeColor="text1"/>
        </w:rPr>
        <w:t>s</w:t>
      </w:r>
      <w:r w:rsidR="00C275C9">
        <w:rPr>
          <w:color w:val="000000" w:themeColor="text1"/>
        </w:rPr>
        <w:t xml:space="preserve"> primarily rural areas</w:t>
      </w:r>
      <w:r w:rsidR="00BE1902">
        <w:rPr>
          <w:color w:val="000000" w:themeColor="text1"/>
        </w:rPr>
        <w:t>.</w:t>
      </w:r>
    </w:p>
    <w:p w14:paraId="3C1A2F9C" w14:textId="77777777" w:rsidR="00BE1902" w:rsidRPr="00BE1902" w:rsidRDefault="00BE1902" w:rsidP="00BE1902">
      <w:pPr>
        <w:pStyle w:val="ListParagraph"/>
        <w:numPr>
          <w:ilvl w:val="0"/>
          <w:numId w:val="4"/>
        </w:numPr>
        <w:spacing w:after="0" w:line="240" w:lineRule="auto"/>
        <w:rPr>
          <w:rFonts w:cstheme="minorHAnsi"/>
        </w:rPr>
      </w:pPr>
      <w:r>
        <w:rPr>
          <w:color w:val="000000" w:themeColor="text1"/>
        </w:rPr>
        <w:t>The bidding credit to rural service providers will</w:t>
      </w:r>
      <w:r w:rsidR="00E1001C">
        <w:rPr>
          <w:color w:val="000000" w:themeColor="text1"/>
        </w:rPr>
        <w:t xml:space="preserve"> incentivize participation in future spectrum auctions,</w:t>
      </w:r>
      <w:r>
        <w:rPr>
          <w:color w:val="000000" w:themeColor="text1"/>
        </w:rPr>
        <w:t xml:space="preserve"> help rural carriers </w:t>
      </w:r>
      <w:r w:rsidR="00392C28">
        <w:rPr>
          <w:color w:val="000000" w:themeColor="text1"/>
        </w:rPr>
        <w:t xml:space="preserve">to </w:t>
      </w:r>
      <w:r>
        <w:rPr>
          <w:color w:val="000000" w:themeColor="text1"/>
        </w:rPr>
        <w:t>compete more effectively for spectrum and provide consumers in rural areas with competitive offerings</w:t>
      </w:r>
      <w:r w:rsidR="00E1001C">
        <w:rPr>
          <w:color w:val="000000" w:themeColor="text1"/>
        </w:rPr>
        <w:t>, especially in underserved areas</w:t>
      </w:r>
      <w:r>
        <w:rPr>
          <w:color w:val="000000" w:themeColor="text1"/>
        </w:rPr>
        <w:t xml:space="preserve">.  </w:t>
      </w:r>
    </w:p>
    <w:p w14:paraId="6A32471B" w14:textId="77777777" w:rsidR="00320AE9" w:rsidRDefault="00320AE9" w:rsidP="00540879">
      <w:pPr>
        <w:spacing w:after="0" w:line="240" w:lineRule="auto"/>
        <w:rPr>
          <w:b/>
        </w:rPr>
      </w:pPr>
    </w:p>
    <w:p w14:paraId="6BC607AD" w14:textId="77777777" w:rsidR="002929B1" w:rsidRDefault="002929B1" w:rsidP="00540879">
      <w:pPr>
        <w:spacing w:after="0" w:line="240" w:lineRule="auto"/>
        <w:rPr>
          <w:b/>
        </w:rPr>
      </w:pPr>
      <w:r>
        <w:rPr>
          <w:b/>
        </w:rPr>
        <w:t xml:space="preserve">New </w:t>
      </w:r>
      <w:r w:rsidR="00CA4B9A">
        <w:rPr>
          <w:b/>
        </w:rPr>
        <w:t>reforms</w:t>
      </w:r>
      <w:r>
        <w:rPr>
          <w:b/>
        </w:rPr>
        <w:t xml:space="preserve"> will provide flexibility to </w:t>
      </w:r>
      <w:r w:rsidRPr="00C03368">
        <w:rPr>
          <w:b/>
          <w:i/>
        </w:rPr>
        <w:t>bona fide</w:t>
      </w:r>
      <w:r>
        <w:rPr>
          <w:b/>
        </w:rPr>
        <w:t xml:space="preserve"> small businesses and rural carriers, including</w:t>
      </w:r>
      <w:r w:rsidR="00BE1902">
        <w:rPr>
          <w:b/>
        </w:rPr>
        <w:t xml:space="preserve"> the</w:t>
      </w:r>
      <w:r>
        <w:rPr>
          <w:b/>
        </w:rPr>
        <w:t xml:space="preserve">: </w:t>
      </w:r>
    </w:p>
    <w:p w14:paraId="27216EE9" w14:textId="77777777" w:rsidR="002929B1" w:rsidRDefault="006233D5" w:rsidP="002929B1">
      <w:pPr>
        <w:pStyle w:val="ListParagraph"/>
        <w:numPr>
          <w:ilvl w:val="0"/>
          <w:numId w:val="1"/>
        </w:numPr>
        <w:spacing w:after="0" w:line="240" w:lineRule="auto"/>
      </w:pPr>
      <w:r>
        <w:rPr>
          <w:u w:val="single"/>
        </w:rPr>
        <w:t>Modernization of</w:t>
      </w:r>
      <w:r w:rsidR="00031B79">
        <w:rPr>
          <w:u w:val="single"/>
        </w:rPr>
        <w:t xml:space="preserve"> the Commission’</w:t>
      </w:r>
      <w:r w:rsidR="00171B7F">
        <w:rPr>
          <w:u w:val="single"/>
        </w:rPr>
        <w:t>s r</w:t>
      </w:r>
      <w:r w:rsidR="00031B79">
        <w:rPr>
          <w:u w:val="single"/>
        </w:rPr>
        <w:t xml:space="preserve">ules to reflect </w:t>
      </w:r>
      <w:r w:rsidR="00171B7F">
        <w:rPr>
          <w:u w:val="single"/>
        </w:rPr>
        <w:t>today’s wireless market</w:t>
      </w:r>
      <w:r w:rsidR="00540879">
        <w:t xml:space="preserve">: </w:t>
      </w:r>
    </w:p>
    <w:p w14:paraId="48A8AC3F" w14:textId="77777777" w:rsidR="002B2579" w:rsidRDefault="002B2579" w:rsidP="002929B1">
      <w:pPr>
        <w:pStyle w:val="ListParagraph"/>
        <w:numPr>
          <w:ilvl w:val="1"/>
          <w:numId w:val="1"/>
        </w:numPr>
        <w:spacing w:after="0" w:line="240" w:lineRule="auto"/>
      </w:pPr>
      <w:r>
        <w:t xml:space="preserve">The wireless industry </w:t>
      </w:r>
      <w:r w:rsidR="00E940DE">
        <w:t>has evolved since</w:t>
      </w:r>
      <w:r>
        <w:t xml:space="preserve"> DE rules were first adopted. And even the rules adopted in 2006 could not have envisioned the changes to the industry in the last decade.  </w:t>
      </w:r>
    </w:p>
    <w:p w14:paraId="09E4D14B" w14:textId="77777777" w:rsidR="00AA14F9" w:rsidRDefault="002929B1" w:rsidP="002929B1">
      <w:pPr>
        <w:pStyle w:val="ListParagraph"/>
        <w:numPr>
          <w:ilvl w:val="1"/>
          <w:numId w:val="1"/>
        </w:numPr>
        <w:spacing w:after="0" w:line="240" w:lineRule="auto"/>
      </w:pPr>
      <w:r>
        <w:t xml:space="preserve">The </w:t>
      </w:r>
      <w:r w:rsidR="00C275C9">
        <w:t>order</w:t>
      </w:r>
      <w:r>
        <w:t xml:space="preserve"> remove</w:t>
      </w:r>
      <w:r w:rsidR="00C275C9">
        <w:t>s</w:t>
      </w:r>
      <w:r>
        <w:t xml:space="preserve"> the policy that requires small businesses to provide facilities-based service</w:t>
      </w:r>
      <w:r w:rsidR="00392C28">
        <w:t xml:space="preserve"> in order t</w:t>
      </w:r>
      <w:r w:rsidR="007A67D0">
        <w:t>o qualify for bidding credits</w:t>
      </w:r>
      <w:r w:rsidR="00392C28">
        <w:t>.</w:t>
      </w:r>
    </w:p>
    <w:p w14:paraId="2A3DED02" w14:textId="77777777" w:rsidR="002929B1" w:rsidRDefault="00AA14F9" w:rsidP="002929B1">
      <w:pPr>
        <w:pStyle w:val="ListParagraph"/>
        <w:numPr>
          <w:ilvl w:val="1"/>
          <w:numId w:val="1"/>
        </w:numPr>
        <w:spacing w:after="0" w:line="240" w:lineRule="auto"/>
      </w:pPr>
      <w:r>
        <w:t xml:space="preserve">The </w:t>
      </w:r>
      <w:r w:rsidR="00C275C9">
        <w:t>order</w:t>
      </w:r>
      <w:r>
        <w:t xml:space="preserve"> also eliminate</w:t>
      </w:r>
      <w:r w:rsidR="00C275C9">
        <w:t>s</w:t>
      </w:r>
      <w:r>
        <w:t xml:space="preserve"> the</w:t>
      </w:r>
      <w:r w:rsidR="00B07217">
        <w:t xml:space="preserve"> </w:t>
      </w:r>
      <w:r>
        <w:t xml:space="preserve">assumption </w:t>
      </w:r>
      <w:r w:rsidR="002929B1">
        <w:t>that a lease of more than 25% of the spectrum capacity of any one license</w:t>
      </w:r>
      <w:r w:rsidR="007A67D0">
        <w:t xml:space="preserve"> to a large business</w:t>
      </w:r>
      <w:r w:rsidR="002929B1">
        <w:t xml:space="preserve"> requires revenue attribution to a small business. </w:t>
      </w:r>
      <w:r w:rsidR="007A67D0">
        <w:t>This change will free small businesses to make business decisions that work for them</w:t>
      </w:r>
      <w:r w:rsidR="006233D5">
        <w:t>.</w:t>
      </w:r>
      <w:r w:rsidR="007A67D0">
        <w:t xml:space="preserve">  </w:t>
      </w:r>
    </w:p>
    <w:p w14:paraId="24BA3980" w14:textId="77777777" w:rsidR="002929B1" w:rsidRDefault="00AA14F9" w:rsidP="002929B1">
      <w:pPr>
        <w:pStyle w:val="ListParagraph"/>
        <w:numPr>
          <w:ilvl w:val="1"/>
          <w:numId w:val="1"/>
        </w:numPr>
        <w:spacing w:after="0" w:line="240" w:lineRule="auto"/>
      </w:pPr>
      <w:r>
        <w:t xml:space="preserve">Instead, </w:t>
      </w:r>
      <w:r w:rsidR="00C275C9">
        <w:t>t</w:t>
      </w:r>
      <w:r>
        <w:t xml:space="preserve">he reforms </w:t>
      </w:r>
      <w:r w:rsidR="002929B1">
        <w:t xml:space="preserve">will evaluate eligibility for small business bidding credits on a license-by-license basis </w:t>
      </w:r>
      <w:r w:rsidR="00392C28">
        <w:t xml:space="preserve">to ensure </w:t>
      </w:r>
      <w:r w:rsidR="002929B1">
        <w:t xml:space="preserve">small businesses are </w:t>
      </w:r>
      <w:r w:rsidR="00392C28">
        <w:t xml:space="preserve">the ones </w:t>
      </w:r>
      <w:r w:rsidR="002929B1">
        <w:t>“running the show.”</w:t>
      </w:r>
    </w:p>
    <w:p w14:paraId="173C99D3" w14:textId="77777777" w:rsidR="00BE1902" w:rsidRPr="002929B1" w:rsidRDefault="00BE1902" w:rsidP="00BE1902">
      <w:pPr>
        <w:pStyle w:val="ListParagraph"/>
        <w:spacing w:after="0" w:line="240" w:lineRule="auto"/>
        <w:ind w:left="1080"/>
      </w:pPr>
    </w:p>
    <w:p w14:paraId="0AE60195" w14:textId="77777777" w:rsidR="00540879" w:rsidRDefault="00540879" w:rsidP="00540879">
      <w:pPr>
        <w:pStyle w:val="ListParagraph"/>
        <w:numPr>
          <w:ilvl w:val="0"/>
          <w:numId w:val="1"/>
        </w:numPr>
        <w:spacing w:after="0" w:line="240" w:lineRule="auto"/>
      </w:pPr>
      <w:r w:rsidRPr="002929B1">
        <w:rPr>
          <w:u w:val="single"/>
        </w:rPr>
        <w:t>Increas</w:t>
      </w:r>
      <w:r w:rsidR="002929B1" w:rsidRPr="002929B1">
        <w:rPr>
          <w:u w:val="single"/>
        </w:rPr>
        <w:t>e</w:t>
      </w:r>
      <w:r w:rsidRPr="002929B1">
        <w:rPr>
          <w:u w:val="single"/>
        </w:rPr>
        <w:t xml:space="preserve"> </w:t>
      </w:r>
      <w:r w:rsidR="002929B1" w:rsidRPr="002929B1">
        <w:rPr>
          <w:u w:val="single"/>
        </w:rPr>
        <w:t>in the</w:t>
      </w:r>
      <w:r w:rsidRPr="002929B1">
        <w:rPr>
          <w:u w:val="single"/>
        </w:rPr>
        <w:t xml:space="preserve"> revenue threshold </w:t>
      </w:r>
      <w:r w:rsidR="00BE1902">
        <w:rPr>
          <w:u w:val="single"/>
        </w:rPr>
        <w:t>to qualify as a</w:t>
      </w:r>
      <w:r w:rsidRPr="002929B1">
        <w:rPr>
          <w:u w:val="single"/>
        </w:rPr>
        <w:t xml:space="preserve"> small busines</w:t>
      </w:r>
      <w:r w:rsidR="00BE1902">
        <w:rPr>
          <w:u w:val="single"/>
        </w:rPr>
        <w:t>s</w:t>
      </w:r>
      <w:r>
        <w:t xml:space="preserve">: </w:t>
      </w:r>
    </w:p>
    <w:p w14:paraId="34D76102" w14:textId="77777777" w:rsidR="00BE1902" w:rsidRDefault="00BE1902" w:rsidP="00BE1902">
      <w:pPr>
        <w:pStyle w:val="ParaNum"/>
        <w:numPr>
          <w:ilvl w:val="1"/>
          <w:numId w:val="1"/>
        </w:numPr>
        <w:tabs>
          <w:tab w:val="left" w:pos="720"/>
        </w:tabs>
        <w:spacing w:after="0"/>
        <w:rPr>
          <w:rFonts w:asciiTheme="minorHAnsi" w:hAnsiTheme="minorHAnsi" w:cstheme="minorHAnsi"/>
          <w:szCs w:val="22"/>
        </w:rPr>
      </w:pPr>
      <w:r>
        <w:rPr>
          <w:rFonts w:asciiTheme="minorHAnsi" w:hAnsiTheme="minorHAnsi" w:cstheme="minorHAnsi"/>
          <w:szCs w:val="22"/>
        </w:rPr>
        <w:t>Current revenue thresholds: $3 million (35% credit), $15 million (25% credit), and $40 million (15% credit)</w:t>
      </w:r>
      <w:r w:rsidR="00E1001C">
        <w:rPr>
          <w:rFonts w:asciiTheme="minorHAnsi" w:hAnsiTheme="minorHAnsi" w:cstheme="minorHAnsi"/>
          <w:szCs w:val="22"/>
        </w:rPr>
        <w:t>.</w:t>
      </w:r>
      <w:r>
        <w:rPr>
          <w:rFonts w:asciiTheme="minorHAnsi" w:hAnsiTheme="minorHAnsi" w:cstheme="minorHAnsi"/>
          <w:szCs w:val="22"/>
        </w:rPr>
        <w:t xml:space="preserve"> </w:t>
      </w:r>
    </w:p>
    <w:p w14:paraId="45B16630" w14:textId="77777777" w:rsidR="00540879" w:rsidRDefault="00BE1902" w:rsidP="00BE1902">
      <w:pPr>
        <w:pStyle w:val="ParaNum"/>
        <w:numPr>
          <w:ilvl w:val="1"/>
          <w:numId w:val="1"/>
        </w:numPr>
        <w:tabs>
          <w:tab w:val="left" w:pos="720"/>
        </w:tabs>
        <w:spacing w:after="0"/>
        <w:rPr>
          <w:rFonts w:asciiTheme="minorHAnsi" w:hAnsiTheme="minorHAnsi" w:cstheme="minorHAnsi"/>
          <w:szCs w:val="22"/>
        </w:rPr>
      </w:pPr>
      <w:r>
        <w:rPr>
          <w:rFonts w:asciiTheme="minorHAnsi" w:hAnsiTheme="minorHAnsi" w:cstheme="minorHAnsi"/>
          <w:szCs w:val="22"/>
        </w:rPr>
        <w:t>New revenue thresholds: $4 million (35% credit), $20 million (25% credit), and $55 million (15% credit).</w:t>
      </w:r>
    </w:p>
    <w:p w14:paraId="41AA1ED2" w14:textId="77777777" w:rsidR="00C275C9" w:rsidRPr="00BE1902" w:rsidRDefault="00C275C9" w:rsidP="00BE1902">
      <w:pPr>
        <w:pStyle w:val="ParaNum"/>
        <w:numPr>
          <w:ilvl w:val="1"/>
          <w:numId w:val="1"/>
        </w:numPr>
        <w:tabs>
          <w:tab w:val="left" w:pos="720"/>
        </w:tabs>
        <w:spacing w:after="0"/>
        <w:rPr>
          <w:rFonts w:asciiTheme="minorHAnsi" w:hAnsiTheme="minorHAnsi" w:cstheme="minorHAnsi"/>
          <w:szCs w:val="22"/>
        </w:rPr>
      </w:pPr>
      <w:r>
        <w:rPr>
          <w:rFonts w:asciiTheme="minorHAnsi" w:hAnsiTheme="minorHAnsi" w:cstheme="minorHAnsi"/>
          <w:szCs w:val="22"/>
        </w:rPr>
        <w:t>The increases account for inflation since our small business size thresholds were first established in 1997.</w:t>
      </w:r>
    </w:p>
    <w:p w14:paraId="366D40E5" w14:textId="77777777" w:rsidR="00B90273" w:rsidRPr="00B90273" w:rsidRDefault="00B90273" w:rsidP="00B90273">
      <w:pPr>
        <w:pStyle w:val="ListParagraph"/>
        <w:spacing w:after="0" w:line="240" w:lineRule="auto"/>
        <w:ind w:left="360"/>
        <w:rPr>
          <w:b/>
        </w:rPr>
      </w:pPr>
    </w:p>
    <w:p w14:paraId="185F6C88" w14:textId="77777777" w:rsidR="00565BEB" w:rsidRPr="00D922F4" w:rsidRDefault="00D922F4" w:rsidP="00B07217">
      <w:pPr>
        <w:jc w:val="center"/>
      </w:pPr>
      <w:r w:rsidRPr="00D922F4">
        <w:t>###</w:t>
      </w:r>
    </w:p>
    <w:sectPr w:rsidR="00565BEB" w:rsidRPr="00D922F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DB2FD" w14:textId="77777777" w:rsidR="00FB22F5" w:rsidRDefault="00FB22F5" w:rsidP="00565BEB">
      <w:pPr>
        <w:spacing w:after="0" w:line="240" w:lineRule="auto"/>
      </w:pPr>
      <w:r>
        <w:separator/>
      </w:r>
    </w:p>
  </w:endnote>
  <w:endnote w:type="continuationSeparator" w:id="0">
    <w:p w14:paraId="265EC04E" w14:textId="77777777" w:rsidR="00FB22F5" w:rsidRDefault="00FB22F5" w:rsidP="00565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4BDC8" w14:textId="77777777" w:rsidR="00BD03D8" w:rsidRDefault="00BD03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133656"/>
      <w:docPartObj>
        <w:docPartGallery w:val="Page Numbers (Bottom of Page)"/>
        <w:docPartUnique/>
      </w:docPartObj>
    </w:sdtPr>
    <w:sdtEndPr>
      <w:rPr>
        <w:noProof/>
      </w:rPr>
    </w:sdtEndPr>
    <w:sdtContent>
      <w:p w14:paraId="30E9A134" w14:textId="77777777" w:rsidR="00D922F4" w:rsidRDefault="00D922F4">
        <w:pPr>
          <w:pStyle w:val="Footer"/>
          <w:jc w:val="center"/>
        </w:pPr>
        <w:r>
          <w:fldChar w:fldCharType="begin"/>
        </w:r>
        <w:r>
          <w:instrText xml:space="preserve"> PAGE   \* MERGEFORMAT </w:instrText>
        </w:r>
        <w:r>
          <w:fldChar w:fldCharType="separate"/>
        </w:r>
        <w:r w:rsidR="00B65F86">
          <w:rPr>
            <w:noProof/>
          </w:rPr>
          <w:t>1</w:t>
        </w:r>
        <w:r>
          <w:rPr>
            <w:noProof/>
          </w:rPr>
          <w:fldChar w:fldCharType="end"/>
        </w:r>
      </w:p>
    </w:sdtContent>
  </w:sdt>
  <w:p w14:paraId="0DDA1080" w14:textId="77777777" w:rsidR="00D922F4" w:rsidRDefault="00D92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D8DABD" w14:textId="77777777" w:rsidR="00BD03D8" w:rsidRDefault="00BD03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12008B" w14:textId="77777777" w:rsidR="00FB22F5" w:rsidRDefault="00FB22F5" w:rsidP="00565BEB">
      <w:pPr>
        <w:spacing w:after="0" w:line="240" w:lineRule="auto"/>
      </w:pPr>
      <w:r>
        <w:separator/>
      </w:r>
    </w:p>
  </w:footnote>
  <w:footnote w:type="continuationSeparator" w:id="0">
    <w:p w14:paraId="7C0C56BC" w14:textId="77777777" w:rsidR="00FB22F5" w:rsidRDefault="00FB22F5" w:rsidP="00565B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9618" w14:textId="77777777" w:rsidR="00BD03D8" w:rsidRDefault="00BD03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4823" w14:textId="77777777" w:rsidR="00BD03D8" w:rsidRDefault="00BD03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87747" w14:textId="77777777" w:rsidR="00BD03D8" w:rsidRDefault="00BD03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70B0B"/>
    <w:multiLevelType w:val="hybridMultilevel"/>
    <w:tmpl w:val="86D4FC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770371D"/>
    <w:multiLevelType w:val="hybridMultilevel"/>
    <w:tmpl w:val="44DC268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nsid w:val="2B6455C2"/>
    <w:multiLevelType w:val="hybridMultilevel"/>
    <w:tmpl w:val="67CEE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5955141"/>
    <w:multiLevelType w:val="hybridMultilevel"/>
    <w:tmpl w:val="E156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BB34655"/>
    <w:multiLevelType w:val="hybridMultilevel"/>
    <w:tmpl w:val="F66AF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3B339E9"/>
    <w:multiLevelType w:val="hybridMultilevel"/>
    <w:tmpl w:val="C908DC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1182925"/>
    <w:multiLevelType w:val="singleLevel"/>
    <w:tmpl w:val="4956E47C"/>
    <w:lvl w:ilvl="0">
      <w:start w:val="1"/>
      <w:numFmt w:val="decimal"/>
      <w:pStyle w:val="ParaNum"/>
      <w:lvlText w:val="%1."/>
      <w:lvlJc w:val="left"/>
      <w:pPr>
        <w:tabs>
          <w:tab w:val="num" w:pos="1080"/>
        </w:tabs>
        <w:ind w:left="0" w:firstLine="720"/>
      </w:pPr>
      <w:rPr>
        <w:b w:val="0"/>
      </w:rPr>
    </w:lvl>
  </w:abstractNum>
  <w:abstractNum w:abstractNumId="7">
    <w:nsid w:val="668A7CE0"/>
    <w:multiLevelType w:val="hybridMultilevel"/>
    <w:tmpl w:val="F13AD1D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8">
    <w:nsid w:val="68402322"/>
    <w:multiLevelType w:val="hybridMultilevel"/>
    <w:tmpl w:val="28860E4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1F5046A"/>
    <w:multiLevelType w:val="hybridMultilevel"/>
    <w:tmpl w:val="EEA01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267353D"/>
    <w:multiLevelType w:val="hybridMultilevel"/>
    <w:tmpl w:val="23FA7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79D2055"/>
    <w:multiLevelType w:val="hybridMultilevel"/>
    <w:tmpl w:val="E8A21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0"/>
  </w:num>
  <w:num w:numId="6">
    <w:abstractNumId w:val="6"/>
    <w:lvlOverride w:ilvl="0">
      <w:startOverride w:val="1"/>
    </w:lvlOverride>
  </w:num>
  <w:num w:numId="7">
    <w:abstractNumId w:val="1"/>
  </w:num>
  <w:num w:numId="8">
    <w:abstractNumId w:val="11"/>
    <w:lvlOverride w:ilvl="0"/>
    <w:lvlOverride w:ilvl="1"/>
    <w:lvlOverride w:ilvl="2">
      <w:startOverride w:val="1"/>
    </w:lvlOverride>
    <w:lvlOverride w:ilvl="3"/>
    <w:lvlOverride w:ilvl="4"/>
    <w:lvlOverride w:ilvl="5"/>
    <w:lvlOverride w:ilvl="6"/>
    <w:lvlOverride w:ilvl="7"/>
    <w:lvlOverride w:ilvl="8"/>
  </w:num>
  <w:num w:numId="9">
    <w:abstractNumId w:val="11"/>
  </w:num>
  <w:num w:numId="10">
    <w:abstractNumId w:val="8"/>
  </w:num>
  <w:num w:numId="11">
    <w:abstractNumId w:val="3"/>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BEB"/>
    <w:rsid w:val="0001369E"/>
    <w:rsid w:val="00031B79"/>
    <w:rsid w:val="00056B17"/>
    <w:rsid w:val="0006499D"/>
    <w:rsid w:val="00091A78"/>
    <w:rsid w:val="000C11CD"/>
    <w:rsid w:val="00101271"/>
    <w:rsid w:val="00104FF3"/>
    <w:rsid w:val="00117AC2"/>
    <w:rsid w:val="00124FB2"/>
    <w:rsid w:val="001326D3"/>
    <w:rsid w:val="00147275"/>
    <w:rsid w:val="00171B7F"/>
    <w:rsid w:val="0019233A"/>
    <w:rsid w:val="00197E9E"/>
    <w:rsid w:val="001E1357"/>
    <w:rsid w:val="002260E5"/>
    <w:rsid w:val="002929B1"/>
    <w:rsid w:val="002A5D1D"/>
    <w:rsid w:val="002B2579"/>
    <w:rsid w:val="002E1484"/>
    <w:rsid w:val="002E3D9F"/>
    <w:rsid w:val="002E5F53"/>
    <w:rsid w:val="00320AE9"/>
    <w:rsid w:val="003236D0"/>
    <w:rsid w:val="003473E4"/>
    <w:rsid w:val="00392C28"/>
    <w:rsid w:val="003D724F"/>
    <w:rsid w:val="00407B36"/>
    <w:rsid w:val="004150FD"/>
    <w:rsid w:val="00445857"/>
    <w:rsid w:val="004564C2"/>
    <w:rsid w:val="004565F7"/>
    <w:rsid w:val="004808D8"/>
    <w:rsid w:val="0048392A"/>
    <w:rsid w:val="0049490B"/>
    <w:rsid w:val="004B0D75"/>
    <w:rsid w:val="004C473C"/>
    <w:rsid w:val="004E5681"/>
    <w:rsid w:val="00504107"/>
    <w:rsid w:val="00540879"/>
    <w:rsid w:val="005540A3"/>
    <w:rsid w:val="00565BEB"/>
    <w:rsid w:val="006141F3"/>
    <w:rsid w:val="006233D5"/>
    <w:rsid w:val="00693B17"/>
    <w:rsid w:val="00696307"/>
    <w:rsid w:val="006F7315"/>
    <w:rsid w:val="007259FD"/>
    <w:rsid w:val="00761802"/>
    <w:rsid w:val="007632DC"/>
    <w:rsid w:val="007A1A67"/>
    <w:rsid w:val="007A67D0"/>
    <w:rsid w:val="007B498C"/>
    <w:rsid w:val="007E4E96"/>
    <w:rsid w:val="00815445"/>
    <w:rsid w:val="00821FF2"/>
    <w:rsid w:val="00846A51"/>
    <w:rsid w:val="0086750D"/>
    <w:rsid w:val="00884742"/>
    <w:rsid w:val="008B0A5D"/>
    <w:rsid w:val="008D1994"/>
    <w:rsid w:val="008E670A"/>
    <w:rsid w:val="00952449"/>
    <w:rsid w:val="00995FE9"/>
    <w:rsid w:val="009A3520"/>
    <w:rsid w:val="009C6B2E"/>
    <w:rsid w:val="009F52F4"/>
    <w:rsid w:val="00A2576F"/>
    <w:rsid w:val="00A30460"/>
    <w:rsid w:val="00A366A1"/>
    <w:rsid w:val="00AA14F9"/>
    <w:rsid w:val="00AC19B7"/>
    <w:rsid w:val="00AD2F13"/>
    <w:rsid w:val="00AD60D2"/>
    <w:rsid w:val="00AE2EEC"/>
    <w:rsid w:val="00B0187B"/>
    <w:rsid w:val="00B07217"/>
    <w:rsid w:val="00B62B52"/>
    <w:rsid w:val="00B65F86"/>
    <w:rsid w:val="00B662F0"/>
    <w:rsid w:val="00B87025"/>
    <w:rsid w:val="00B90273"/>
    <w:rsid w:val="00BC7D41"/>
    <w:rsid w:val="00BD03D8"/>
    <w:rsid w:val="00BE1902"/>
    <w:rsid w:val="00BE56EB"/>
    <w:rsid w:val="00C03368"/>
    <w:rsid w:val="00C275C9"/>
    <w:rsid w:val="00C41508"/>
    <w:rsid w:val="00C44356"/>
    <w:rsid w:val="00C46734"/>
    <w:rsid w:val="00C5561E"/>
    <w:rsid w:val="00C84EBA"/>
    <w:rsid w:val="00CA4B9A"/>
    <w:rsid w:val="00CA62CC"/>
    <w:rsid w:val="00CC7EC5"/>
    <w:rsid w:val="00CD3C3E"/>
    <w:rsid w:val="00CE3D8C"/>
    <w:rsid w:val="00CF5F3E"/>
    <w:rsid w:val="00D276BB"/>
    <w:rsid w:val="00D44EDC"/>
    <w:rsid w:val="00D922F4"/>
    <w:rsid w:val="00D975DC"/>
    <w:rsid w:val="00DF26F3"/>
    <w:rsid w:val="00E06B79"/>
    <w:rsid w:val="00E1001C"/>
    <w:rsid w:val="00E16080"/>
    <w:rsid w:val="00E705CB"/>
    <w:rsid w:val="00E909FC"/>
    <w:rsid w:val="00E940DE"/>
    <w:rsid w:val="00EB2604"/>
    <w:rsid w:val="00EE0029"/>
    <w:rsid w:val="00F6410D"/>
    <w:rsid w:val="00F75C11"/>
    <w:rsid w:val="00F96E79"/>
    <w:rsid w:val="00FA3309"/>
    <w:rsid w:val="00FB22F5"/>
    <w:rsid w:val="00FE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BF6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EB"/>
  </w:style>
  <w:style w:type="paragraph" w:styleId="Footer">
    <w:name w:val="footer"/>
    <w:basedOn w:val="Normal"/>
    <w:link w:val="FooterChar"/>
    <w:uiPriority w:val="99"/>
    <w:unhideWhenUsed/>
    <w:rsid w:val="0056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EB"/>
  </w:style>
  <w:style w:type="paragraph" w:styleId="ListParagraph">
    <w:name w:val="List Paragraph"/>
    <w:basedOn w:val="Normal"/>
    <w:uiPriority w:val="34"/>
    <w:qFormat/>
    <w:rsid w:val="00540879"/>
    <w:pPr>
      <w:ind w:left="720"/>
      <w:contextualSpacing/>
    </w:pPr>
  </w:style>
  <w:style w:type="character" w:customStyle="1" w:styleId="ParaNumChar">
    <w:name w:val="ParaNum Char"/>
    <w:link w:val="ParaNum"/>
    <w:locked/>
    <w:rsid w:val="00BE1902"/>
    <w:rPr>
      <w:rFonts w:ascii="Times New Roman" w:eastAsia="Times New Roman" w:hAnsi="Times New Roman" w:cs="Times New Roman"/>
      <w:kern w:val="28"/>
      <w:szCs w:val="20"/>
    </w:rPr>
  </w:style>
  <w:style w:type="paragraph" w:customStyle="1" w:styleId="ParaNum">
    <w:name w:val="ParaNum"/>
    <w:basedOn w:val="Normal"/>
    <w:link w:val="ParaNumChar"/>
    <w:rsid w:val="00BE1902"/>
    <w:pPr>
      <w:widowControl w:val="0"/>
      <w:numPr>
        <w:numId w:val="6"/>
      </w:numPr>
      <w:snapToGrid w:val="0"/>
      <w:spacing w:after="120" w:line="240" w:lineRule="auto"/>
    </w:pPr>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06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9D"/>
    <w:rPr>
      <w:rFonts w:ascii="Segoe UI" w:hAnsi="Segoe UI" w:cs="Segoe UI"/>
      <w:sz w:val="18"/>
      <w:szCs w:val="18"/>
    </w:rPr>
  </w:style>
  <w:style w:type="character" w:styleId="CommentReference">
    <w:name w:val="annotation reference"/>
    <w:basedOn w:val="DefaultParagraphFont"/>
    <w:uiPriority w:val="99"/>
    <w:semiHidden/>
    <w:unhideWhenUsed/>
    <w:rsid w:val="00D44EDC"/>
    <w:rPr>
      <w:sz w:val="16"/>
      <w:szCs w:val="16"/>
    </w:rPr>
  </w:style>
  <w:style w:type="paragraph" w:styleId="CommentText">
    <w:name w:val="annotation text"/>
    <w:basedOn w:val="Normal"/>
    <w:link w:val="CommentTextChar"/>
    <w:uiPriority w:val="99"/>
    <w:semiHidden/>
    <w:unhideWhenUsed/>
    <w:rsid w:val="00D44EDC"/>
    <w:pPr>
      <w:spacing w:line="240" w:lineRule="auto"/>
    </w:pPr>
    <w:rPr>
      <w:sz w:val="20"/>
      <w:szCs w:val="20"/>
    </w:rPr>
  </w:style>
  <w:style w:type="character" w:customStyle="1" w:styleId="CommentTextChar">
    <w:name w:val="Comment Text Char"/>
    <w:basedOn w:val="DefaultParagraphFont"/>
    <w:link w:val="CommentText"/>
    <w:uiPriority w:val="99"/>
    <w:semiHidden/>
    <w:rsid w:val="00D44EDC"/>
    <w:rPr>
      <w:sz w:val="20"/>
      <w:szCs w:val="20"/>
    </w:rPr>
  </w:style>
  <w:style w:type="paragraph" w:styleId="CommentSubject">
    <w:name w:val="annotation subject"/>
    <w:basedOn w:val="CommentText"/>
    <w:next w:val="CommentText"/>
    <w:link w:val="CommentSubjectChar"/>
    <w:uiPriority w:val="99"/>
    <w:semiHidden/>
    <w:unhideWhenUsed/>
    <w:rsid w:val="00D44EDC"/>
    <w:rPr>
      <w:b/>
      <w:bCs/>
    </w:rPr>
  </w:style>
  <w:style w:type="character" w:customStyle="1" w:styleId="CommentSubjectChar">
    <w:name w:val="Comment Subject Char"/>
    <w:basedOn w:val="CommentTextChar"/>
    <w:link w:val="CommentSubject"/>
    <w:uiPriority w:val="99"/>
    <w:semiHidden/>
    <w:rsid w:val="00D44EDC"/>
    <w:rPr>
      <w:b/>
      <w:bCs/>
      <w:sz w:val="20"/>
      <w:szCs w:val="20"/>
    </w:rPr>
  </w:style>
  <w:style w:type="character" w:styleId="Hyperlink">
    <w:name w:val="Hyperlink"/>
    <w:basedOn w:val="DefaultParagraphFont"/>
    <w:uiPriority w:val="99"/>
    <w:unhideWhenUsed/>
    <w:rsid w:val="00B07217"/>
    <w:rPr>
      <w:color w:val="0563C1" w:themeColor="hyperlink"/>
      <w:u w:val="single"/>
    </w:rPr>
  </w:style>
  <w:style w:type="character" w:customStyle="1" w:styleId="Style1Char">
    <w:name w:val="Style1 Char"/>
    <w:basedOn w:val="DefaultParagraphFont"/>
    <w:link w:val="Style1"/>
    <w:locked/>
    <w:rsid w:val="00BE56EB"/>
    <w:rPr>
      <w:b/>
      <w:bCs/>
    </w:rPr>
  </w:style>
  <w:style w:type="paragraph" w:customStyle="1" w:styleId="Style1">
    <w:name w:val="Style1"/>
    <w:basedOn w:val="Normal"/>
    <w:link w:val="Style1Char"/>
    <w:rsid w:val="00BE56EB"/>
    <w:pPr>
      <w:spacing w:before="240" w:after="120" w:line="240" w:lineRule="auto"/>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BEB"/>
  </w:style>
  <w:style w:type="paragraph" w:styleId="Footer">
    <w:name w:val="footer"/>
    <w:basedOn w:val="Normal"/>
    <w:link w:val="FooterChar"/>
    <w:uiPriority w:val="99"/>
    <w:unhideWhenUsed/>
    <w:rsid w:val="00565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BEB"/>
  </w:style>
  <w:style w:type="paragraph" w:styleId="ListParagraph">
    <w:name w:val="List Paragraph"/>
    <w:basedOn w:val="Normal"/>
    <w:uiPriority w:val="34"/>
    <w:qFormat/>
    <w:rsid w:val="00540879"/>
    <w:pPr>
      <w:ind w:left="720"/>
      <w:contextualSpacing/>
    </w:pPr>
  </w:style>
  <w:style w:type="character" w:customStyle="1" w:styleId="ParaNumChar">
    <w:name w:val="ParaNum Char"/>
    <w:link w:val="ParaNum"/>
    <w:locked/>
    <w:rsid w:val="00BE1902"/>
    <w:rPr>
      <w:rFonts w:ascii="Times New Roman" w:eastAsia="Times New Roman" w:hAnsi="Times New Roman" w:cs="Times New Roman"/>
      <w:kern w:val="28"/>
      <w:szCs w:val="20"/>
    </w:rPr>
  </w:style>
  <w:style w:type="paragraph" w:customStyle="1" w:styleId="ParaNum">
    <w:name w:val="ParaNum"/>
    <w:basedOn w:val="Normal"/>
    <w:link w:val="ParaNumChar"/>
    <w:rsid w:val="00BE1902"/>
    <w:pPr>
      <w:widowControl w:val="0"/>
      <w:numPr>
        <w:numId w:val="6"/>
      </w:numPr>
      <w:snapToGrid w:val="0"/>
      <w:spacing w:after="120" w:line="240" w:lineRule="auto"/>
    </w:pPr>
    <w:rPr>
      <w:rFonts w:ascii="Times New Roman" w:eastAsia="Times New Roman" w:hAnsi="Times New Roman" w:cs="Times New Roman"/>
      <w:kern w:val="28"/>
      <w:szCs w:val="20"/>
    </w:rPr>
  </w:style>
  <w:style w:type="paragraph" w:styleId="BalloonText">
    <w:name w:val="Balloon Text"/>
    <w:basedOn w:val="Normal"/>
    <w:link w:val="BalloonTextChar"/>
    <w:uiPriority w:val="99"/>
    <w:semiHidden/>
    <w:unhideWhenUsed/>
    <w:rsid w:val="000649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99D"/>
    <w:rPr>
      <w:rFonts w:ascii="Segoe UI" w:hAnsi="Segoe UI" w:cs="Segoe UI"/>
      <w:sz w:val="18"/>
      <w:szCs w:val="18"/>
    </w:rPr>
  </w:style>
  <w:style w:type="character" w:styleId="CommentReference">
    <w:name w:val="annotation reference"/>
    <w:basedOn w:val="DefaultParagraphFont"/>
    <w:uiPriority w:val="99"/>
    <w:semiHidden/>
    <w:unhideWhenUsed/>
    <w:rsid w:val="00D44EDC"/>
    <w:rPr>
      <w:sz w:val="16"/>
      <w:szCs w:val="16"/>
    </w:rPr>
  </w:style>
  <w:style w:type="paragraph" w:styleId="CommentText">
    <w:name w:val="annotation text"/>
    <w:basedOn w:val="Normal"/>
    <w:link w:val="CommentTextChar"/>
    <w:uiPriority w:val="99"/>
    <w:semiHidden/>
    <w:unhideWhenUsed/>
    <w:rsid w:val="00D44EDC"/>
    <w:pPr>
      <w:spacing w:line="240" w:lineRule="auto"/>
    </w:pPr>
    <w:rPr>
      <w:sz w:val="20"/>
      <w:szCs w:val="20"/>
    </w:rPr>
  </w:style>
  <w:style w:type="character" w:customStyle="1" w:styleId="CommentTextChar">
    <w:name w:val="Comment Text Char"/>
    <w:basedOn w:val="DefaultParagraphFont"/>
    <w:link w:val="CommentText"/>
    <w:uiPriority w:val="99"/>
    <w:semiHidden/>
    <w:rsid w:val="00D44EDC"/>
    <w:rPr>
      <w:sz w:val="20"/>
      <w:szCs w:val="20"/>
    </w:rPr>
  </w:style>
  <w:style w:type="paragraph" w:styleId="CommentSubject">
    <w:name w:val="annotation subject"/>
    <w:basedOn w:val="CommentText"/>
    <w:next w:val="CommentText"/>
    <w:link w:val="CommentSubjectChar"/>
    <w:uiPriority w:val="99"/>
    <w:semiHidden/>
    <w:unhideWhenUsed/>
    <w:rsid w:val="00D44EDC"/>
    <w:rPr>
      <w:b/>
      <w:bCs/>
    </w:rPr>
  </w:style>
  <w:style w:type="character" w:customStyle="1" w:styleId="CommentSubjectChar">
    <w:name w:val="Comment Subject Char"/>
    <w:basedOn w:val="CommentTextChar"/>
    <w:link w:val="CommentSubject"/>
    <w:uiPriority w:val="99"/>
    <w:semiHidden/>
    <w:rsid w:val="00D44EDC"/>
    <w:rPr>
      <w:b/>
      <w:bCs/>
      <w:sz w:val="20"/>
      <w:szCs w:val="20"/>
    </w:rPr>
  </w:style>
  <w:style w:type="character" w:styleId="Hyperlink">
    <w:name w:val="Hyperlink"/>
    <w:basedOn w:val="DefaultParagraphFont"/>
    <w:uiPriority w:val="99"/>
    <w:unhideWhenUsed/>
    <w:rsid w:val="00B07217"/>
    <w:rPr>
      <w:color w:val="0563C1" w:themeColor="hyperlink"/>
      <w:u w:val="single"/>
    </w:rPr>
  </w:style>
  <w:style w:type="character" w:customStyle="1" w:styleId="Style1Char">
    <w:name w:val="Style1 Char"/>
    <w:basedOn w:val="DefaultParagraphFont"/>
    <w:link w:val="Style1"/>
    <w:locked/>
    <w:rsid w:val="00BE56EB"/>
    <w:rPr>
      <w:b/>
      <w:bCs/>
    </w:rPr>
  </w:style>
  <w:style w:type="paragraph" w:customStyle="1" w:styleId="Style1">
    <w:name w:val="Style1"/>
    <w:basedOn w:val="Normal"/>
    <w:link w:val="Style1Char"/>
    <w:rsid w:val="00BE56EB"/>
    <w:pPr>
      <w:spacing w:before="240" w:after="120" w:line="240" w:lineRule="auto"/>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8657">
      <w:bodyDiv w:val="1"/>
      <w:marLeft w:val="0"/>
      <w:marRight w:val="0"/>
      <w:marTop w:val="0"/>
      <w:marBottom w:val="0"/>
      <w:divBdr>
        <w:top w:val="none" w:sz="0" w:space="0" w:color="auto"/>
        <w:left w:val="none" w:sz="0" w:space="0" w:color="auto"/>
        <w:bottom w:val="none" w:sz="0" w:space="0" w:color="auto"/>
        <w:right w:val="none" w:sz="0" w:space="0" w:color="auto"/>
      </w:divBdr>
    </w:div>
    <w:div w:id="768938229">
      <w:bodyDiv w:val="1"/>
      <w:marLeft w:val="0"/>
      <w:marRight w:val="0"/>
      <w:marTop w:val="0"/>
      <w:marBottom w:val="0"/>
      <w:divBdr>
        <w:top w:val="none" w:sz="0" w:space="0" w:color="auto"/>
        <w:left w:val="none" w:sz="0" w:space="0" w:color="auto"/>
        <w:bottom w:val="none" w:sz="0" w:space="0" w:color="auto"/>
        <w:right w:val="none" w:sz="0" w:space="0" w:color="auto"/>
      </w:divBdr>
    </w:div>
    <w:div w:id="784927738">
      <w:bodyDiv w:val="1"/>
      <w:marLeft w:val="0"/>
      <w:marRight w:val="0"/>
      <w:marTop w:val="0"/>
      <w:marBottom w:val="0"/>
      <w:divBdr>
        <w:top w:val="none" w:sz="0" w:space="0" w:color="auto"/>
        <w:left w:val="none" w:sz="0" w:space="0" w:color="auto"/>
        <w:bottom w:val="none" w:sz="0" w:space="0" w:color="auto"/>
        <w:right w:val="none" w:sz="0" w:space="0" w:color="auto"/>
      </w:divBdr>
    </w:div>
    <w:div w:id="850871340">
      <w:bodyDiv w:val="1"/>
      <w:marLeft w:val="0"/>
      <w:marRight w:val="0"/>
      <w:marTop w:val="0"/>
      <w:marBottom w:val="0"/>
      <w:divBdr>
        <w:top w:val="none" w:sz="0" w:space="0" w:color="auto"/>
        <w:left w:val="none" w:sz="0" w:space="0" w:color="auto"/>
        <w:bottom w:val="none" w:sz="0" w:space="0" w:color="auto"/>
        <w:right w:val="none" w:sz="0" w:space="0" w:color="auto"/>
      </w:divBdr>
    </w:div>
    <w:div w:id="987246775">
      <w:bodyDiv w:val="1"/>
      <w:marLeft w:val="0"/>
      <w:marRight w:val="0"/>
      <w:marTop w:val="0"/>
      <w:marBottom w:val="0"/>
      <w:divBdr>
        <w:top w:val="none" w:sz="0" w:space="0" w:color="auto"/>
        <w:left w:val="none" w:sz="0" w:space="0" w:color="auto"/>
        <w:bottom w:val="none" w:sz="0" w:space="0" w:color="auto"/>
        <w:right w:val="none" w:sz="0" w:space="0" w:color="auto"/>
      </w:divBdr>
    </w:div>
    <w:div w:id="1393844160">
      <w:bodyDiv w:val="1"/>
      <w:marLeft w:val="0"/>
      <w:marRight w:val="0"/>
      <w:marTop w:val="0"/>
      <w:marBottom w:val="0"/>
      <w:divBdr>
        <w:top w:val="none" w:sz="0" w:space="0" w:color="auto"/>
        <w:left w:val="none" w:sz="0" w:space="0" w:color="auto"/>
        <w:bottom w:val="none" w:sz="0" w:space="0" w:color="auto"/>
        <w:right w:val="none" w:sz="0" w:space="0" w:color="auto"/>
      </w:divBdr>
    </w:div>
    <w:div w:id="1460879519">
      <w:bodyDiv w:val="1"/>
      <w:marLeft w:val="0"/>
      <w:marRight w:val="0"/>
      <w:marTop w:val="0"/>
      <w:marBottom w:val="0"/>
      <w:divBdr>
        <w:top w:val="none" w:sz="0" w:space="0" w:color="auto"/>
        <w:left w:val="none" w:sz="0" w:space="0" w:color="auto"/>
        <w:bottom w:val="none" w:sz="0" w:space="0" w:color="auto"/>
        <w:right w:val="none" w:sz="0" w:space="0" w:color="auto"/>
      </w:divBdr>
    </w:div>
    <w:div w:id="1563252215">
      <w:bodyDiv w:val="1"/>
      <w:marLeft w:val="0"/>
      <w:marRight w:val="0"/>
      <w:marTop w:val="0"/>
      <w:marBottom w:val="0"/>
      <w:divBdr>
        <w:top w:val="none" w:sz="0" w:space="0" w:color="auto"/>
        <w:left w:val="none" w:sz="0" w:space="0" w:color="auto"/>
        <w:bottom w:val="none" w:sz="0" w:space="0" w:color="auto"/>
        <w:right w:val="none" w:sz="0" w:space="0" w:color="auto"/>
      </w:divBdr>
    </w:div>
    <w:div w:id="1977761324">
      <w:bodyDiv w:val="1"/>
      <w:marLeft w:val="0"/>
      <w:marRight w:val="0"/>
      <w:marTop w:val="0"/>
      <w:marBottom w:val="0"/>
      <w:divBdr>
        <w:top w:val="none" w:sz="0" w:space="0" w:color="auto"/>
        <w:left w:val="none" w:sz="0" w:space="0" w:color="auto"/>
        <w:bottom w:val="none" w:sz="0" w:space="0" w:color="auto"/>
        <w:right w:val="none" w:sz="0" w:space="0" w:color="auto"/>
      </w:divBdr>
    </w:div>
    <w:div w:id="1985088020">
      <w:bodyDiv w:val="1"/>
      <w:marLeft w:val="0"/>
      <w:marRight w:val="0"/>
      <w:marTop w:val="0"/>
      <w:marBottom w:val="0"/>
      <w:divBdr>
        <w:top w:val="none" w:sz="0" w:space="0" w:color="auto"/>
        <w:left w:val="none" w:sz="0" w:space="0" w:color="auto"/>
        <w:bottom w:val="none" w:sz="0" w:space="0" w:color="auto"/>
        <w:right w:val="none" w:sz="0" w:space="0" w:color="auto"/>
      </w:divBdr>
    </w:div>
    <w:div w:id="1985312809">
      <w:bodyDiv w:val="1"/>
      <w:marLeft w:val="0"/>
      <w:marRight w:val="0"/>
      <w:marTop w:val="0"/>
      <w:marBottom w:val="0"/>
      <w:divBdr>
        <w:top w:val="none" w:sz="0" w:space="0" w:color="auto"/>
        <w:left w:val="none" w:sz="0" w:space="0" w:color="auto"/>
        <w:bottom w:val="none" w:sz="0" w:space="0" w:color="auto"/>
        <w:right w:val="none" w:sz="0" w:space="0" w:color="auto"/>
      </w:divBdr>
    </w:div>
    <w:div w:id="2005010591">
      <w:bodyDiv w:val="1"/>
      <w:marLeft w:val="0"/>
      <w:marRight w:val="0"/>
      <w:marTop w:val="0"/>
      <w:marBottom w:val="0"/>
      <w:divBdr>
        <w:top w:val="none" w:sz="0" w:space="0" w:color="auto"/>
        <w:left w:val="none" w:sz="0" w:space="0" w:color="auto"/>
        <w:bottom w:val="none" w:sz="0" w:space="0" w:color="auto"/>
        <w:right w:val="none" w:sz="0" w:space="0" w:color="auto"/>
      </w:divBdr>
    </w:div>
    <w:div w:id="206440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mobile-spectrum-holdings-npr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1207</Words>
  <Characters>6686</Characters>
  <Application>Microsoft Office Word</Application>
  <DocSecurity>0</DocSecurity>
  <Lines>111</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2015-06-25T14:10:00Z</cp:lastPrinted>
  <dcterms:created xsi:type="dcterms:W3CDTF">2015-07-16T21:07:00Z</dcterms:created>
  <dcterms:modified xsi:type="dcterms:W3CDTF">2015-07-16T21:07:00Z</dcterms:modified>
  <cp:category> </cp:category>
  <cp:contentStatus> </cp:contentStatus>
</cp:coreProperties>
</file>