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C81D88" w:rsidP="006A7D75">
            <w:pPr>
              <w:jc w:val="center"/>
              <w:rPr>
                <w:b/>
              </w:rPr>
            </w:pPr>
            <w:bookmarkStart w:id="0" w:name="_GoBack"/>
            <w:bookmarkEnd w:id="0"/>
            <w:r>
              <w:rPr>
                <w:b/>
                <w:i/>
                <w:noProof/>
                <w:sz w:val="28"/>
                <w:szCs w:val="28"/>
              </w:rPr>
              <w:drawing>
                <wp:inline distT="0" distB="0" distL="0" distR="0" wp14:anchorId="125B6A25" wp14:editId="5803CF3A">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8D20A9" w:rsidP="00BB4E29">
            <w:pPr>
              <w:rPr>
                <w:bCs/>
                <w:sz w:val="22"/>
                <w:szCs w:val="22"/>
              </w:rPr>
            </w:pPr>
            <w:r>
              <w:rPr>
                <w:bCs/>
                <w:sz w:val="22"/>
                <w:szCs w:val="22"/>
              </w:rPr>
              <w:t>Kim Hart</w:t>
            </w:r>
            <w:r w:rsidR="007A44F8" w:rsidRPr="008A3940">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Pr>
                <w:bCs/>
                <w:sz w:val="22"/>
                <w:szCs w:val="22"/>
              </w:rPr>
              <w:t>418-8191</w:t>
            </w:r>
          </w:p>
          <w:p w:rsidR="00FF232D" w:rsidRPr="008A3940" w:rsidRDefault="008D20A9" w:rsidP="00BB4E29">
            <w:pPr>
              <w:rPr>
                <w:bCs/>
                <w:sz w:val="22"/>
                <w:szCs w:val="22"/>
              </w:rPr>
            </w:pPr>
            <w:r>
              <w:rPr>
                <w:bCs/>
                <w:sz w:val="22"/>
                <w:szCs w:val="22"/>
              </w:rPr>
              <w:t>Kim.hart</w:t>
            </w:r>
            <w:r w:rsidR="007A44F8" w:rsidRPr="008A3940">
              <w:rPr>
                <w:bCs/>
                <w:sz w:val="22"/>
                <w:szCs w:val="22"/>
              </w:rPr>
              <w:t>@fcc.gov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8D20A9" w:rsidRPr="008D20A9" w:rsidRDefault="008D20A9" w:rsidP="008D20A9">
            <w:pPr>
              <w:spacing w:before="100" w:beforeAutospacing="1" w:after="100" w:afterAutospacing="1"/>
              <w:jc w:val="center"/>
              <w:rPr>
                <w:b/>
              </w:rPr>
            </w:pPr>
            <w:r w:rsidRPr="008D20A9">
              <w:rPr>
                <w:b/>
              </w:rPr>
              <w:t>FCC GRANTS APPROVAL OF AT&amp;T-DIRECTV TRANSACTION</w:t>
            </w:r>
          </w:p>
          <w:p w:rsidR="008D20A9" w:rsidRPr="00882BD5" w:rsidRDefault="00FF1C0B" w:rsidP="008D20A9">
            <w:pPr>
              <w:pStyle w:val="ParaNum"/>
              <w:numPr>
                <w:ilvl w:val="0"/>
                <w:numId w:val="0"/>
              </w:numPr>
              <w:rPr>
                <w:color w:val="000000"/>
                <w:szCs w:val="22"/>
              </w:rPr>
            </w:pPr>
            <w:r w:rsidRPr="008A3940">
              <w:rPr>
                <w:szCs w:val="22"/>
              </w:rPr>
              <w:t xml:space="preserve">WASHINGTON, </w:t>
            </w:r>
            <w:r w:rsidR="00551D41" w:rsidRPr="00370120">
              <w:rPr>
                <w:szCs w:val="22"/>
              </w:rPr>
              <w:t xml:space="preserve">July </w:t>
            </w:r>
            <w:r w:rsidR="008D20A9">
              <w:rPr>
                <w:szCs w:val="22"/>
              </w:rPr>
              <w:t>24</w:t>
            </w:r>
            <w:r w:rsidR="00CC5E08" w:rsidRPr="00E75BE4">
              <w:rPr>
                <w:szCs w:val="22"/>
              </w:rPr>
              <w:t>,</w:t>
            </w:r>
            <w:r w:rsidR="00CC5E08" w:rsidRPr="008A3940">
              <w:rPr>
                <w:szCs w:val="22"/>
              </w:rPr>
              <w:t xml:space="preserve"> 2015</w:t>
            </w:r>
            <w:r w:rsidR="002B1013" w:rsidRPr="008A3940">
              <w:rPr>
                <w:szCs w:val="22"/>
              </w:rPr>
              <w:t xml:space="preserve"> – </w:t>
            </w:r>
            <w:r w:rsidR="008D20A9">
              <w:rPr>
                <w:color w:val="000000"/>
                <w:szCs w:val="22"/>
              </w:rPr>
              <w:t xml:space="preserve">Today, the Federal Communications Commission grants – with conditions – approval of the </w:t>
            </w:r>
            <w:r w:rsidR="008D20A9">
              <w:rPr>
                <w:szCs w:val="22"/>
              </w:rPr>
              <w:t xml:space="preserve">transfer of control of licenses and </w:t>
            </w:r>
            <w:r w:rsidR="008D20A9" w:rsidRPr="00FC28DB">
              <w:rPr>
                <w:szCs w:val="22"/>
              </w:rPr>
              <w:t>authorizations</w:t>
            </w:r>
            <w:r w:rsidR="008D20A9">
              <w:t xml:space="preserve"> from DIRECTV to AT&amp;T Inc. (AT&amp;T).  The approval will allow </w:t>
            </w:r>
            <w:r w:rsidR="008D20A9">
              <w:rPr>
                <w:noProof/>
                <w:szCs w:val="22"/>
              </w:rPr>
              <w:t>AT&amp;T to acquire DIRECTV and merge the two companies into one combined entity</w:t>
            </w:r>
            <w:r w:rsidR="008D20A9">
              <w:t xml:space="preserve">.  An Order detailing the Commission’s reasoning and the conditions will be issued shortly.  </w:t>
            </w:r>
          </w:p>
          <w:p w:rsidR="008D20A9" w:rsidRDefault="008D20A9" w:rsidP="008D20A9">
            <w:pPr>
              <w:pStyle w:val="ParaNum"/>
              <w:numPr>
                <w:ilvl w:val="0"/>
                <w:numId w:val="0"/>
              </w:numPr>
            </w:pPr>
            <w:r>
              <w:t xml:space="preserve">The Commission’s decision is based on a careful, thorough review of the record, which includes extensive economic analysis and documentary data from the applicants, as well as comments from interested parties.  Based on this review, the Commission has determined that granting the application, subject to certain conditions, is in the public interest.  </w:t>
            </w:r>
          </w:p>
          <w:p w:rsidR="008D20A9" w:rsidRPr="00C60569" w:rsidRDefault="008D20A9" w:rsidP="008D20A9">
            <w:pPr>
              <w:pStyle w:val="ParaNum"/>
              <w:numPr>
                <w:ilvl w:val="0"/>
                <w:numId w:val="0"/>
              </w:numPr>
            </w:pPr>
            <w:r>
              <w:t xml:space="preserve">As part of the merger, AT&amp;T-DIRECTV will be required to expand its deployment of high-speed, fiber optic broadband Internet access service to 12.5 million customer locations as well as to E-rate eligible schools and libraries.  In addition, AT&amp;T-DIRECTV is prohibited from using discriminatory </w:t>
            </w:r>
            <w:r>
              <w:rPr>
                <w:szCs w:val="22"/>
              </w:rPr>
              <w:t xml:space="preserve">practices to disadvantage online video </w:t>
            </w:r>
            <w:r>
              <w:t>distribution services and will submit its Internet interconnection agreements for Commission review</w:t>
            </w:r>
            <w:r>
              <w:rPr>
                <w:szCs w:val="22"/>
              </w:rPr>
              <w:t xml:space="preserve">.  Finally, </w:t>
            </w:r>
            <w:r>
              <w:t>AT&amp;T-DIRECTV will offer broadband services to low-income consumers at discounted rates.</w:t>
            </w:r>
          </w:p>
          <w:p w:rsidR="008D20A9" w:rsidRDefault="008D20A9" w:rsidP="008D20A9">
            <w:pPr>
              <w:pStyle w:val="ParaNum"/>
              <w:numPr>
                <w:ilvl w:val="0"/>
                <w:numId w:val="0"/>
              </w:numPr>
              <w:spacing w:after="0"/>
            </w:pPr>
            <w:r>
              <w:rPr>
                <w:color w:val="000000"/>
                <w:szCs w:val="22"/>
              </w:rPr>
              <w:t>The c</w:t>
            </w:r>
            <w:r>
              <w:t>onditions imposed by the Commission address potential harms presented by the combination of AT&amp;T, one of the nation’s largest telephone and Internet service providers, and DIRECTV, the nation’s largest satellite video provider.  The conditions also ensure that the benefits of the merger will be realized.  These targeted conditions, which generally will remain in effect for four years after the merger closes, include:</w:t>
            </w:r>
          </w:p>
          <w:p w:rsidR="008D20A9" w:rsidRDefault="008D20A9" w:rsidP="008D20A9">
            <w:pPr>
              <w:pStyle w:val="ParaNum"/>
              <w:numPr>
                <w:ilvl w:val="0"/>
                <w:numId w:val="0"/>
              </w:numPr>
              <w:spacing w:after="0"/>
              <w:rPr>
                <w:color w:val="000000"/>
                <w:szCs w:val="22"/>
              </w:rPr>
            </w:pPr>
          </w:p>
          <w:p w:rsidR="008D20A9" w:rsidRPr="00882BD5" w:rsidRDefault="008D20A9" w:rsidP="008D20A9">
            <w:pPr>
              <w:pStyle w:val="ParaNum"/>
              <w:numPr>
                <w:ilvl w:val="0"/>
                <w:numId w:val="3"/>
              </w:numPr>
            </w:pPr>
            <w:r>
              <w:rPr>
                <w:i/>
              </w:rPr>
              <w:t>Fiber to the Premises (FTTP) Deployment.</w:t>
            </w:r>
            <w:r>
              <w:t xml:space="preserve">  Recognizing that the merger </w:t>
            </w:r>
            <w:r w:rsidRPr="003E5925">
              <w:rPr>
                <w:szCs w:val="22"/>
              </w:rPr>
              <w:t xml:space="preserve">reduces </w:t>
            </w:r>
            <w:r>
              <w:rPr>
                <w:szCs w:val="22"/>
              </w:rPr>
              <w:t xml:space="preserve">AT&amp;T-DIRECTV’s </w:t>
            </w:r>
            <w:r w:rsidRPr="003E5925">
              <w:rPr>
                <w:szCs w:val="22"/>
              </w:rPr>
              <w:t>incentive to deploy FTTP service</w:t>
            </w:r>
            <w:r>
              <w:rPr>
                <w:szCs w:val="22"/>
              </w:rPr>
              <w:t xml:space="preserve">, the Commission adopts as a condition of this merger the expansion of FTTP service to 12.5 million customer locations. </w:t>
            </w:r>
            <w:r>
              <w:t xml:space="preserve"> </w:t>
            </w:r>
            <w:r w:rsidRPr="003E5925">
              <w:rPr>
                <w:color w:val="000000"/>
                <w:szCs w:val="22"/>
              </w:rPr>
              <w:t xml:space="preserve">This </w:t>
            </w:r>
            <w:r w:rsidRPr="003E5925">
              <w:rPr>
                <w:szCs w:val="22"/>
              </w:rPr>
              <w:t xml:space="preserve">condition also </w:t>
            </w:r>
            <w:r>
              <w:rPr>
                <w:szCs w:val="22"/>
              </w:rPr>
              <w:t>responds to the</w:t>
            </w:r>
            <w:r w:rsidRPr="009F327D">
              <w:rPr>
                <w:szCs w:val="22"/>
              </w:rPr>
              <w:t xml:space="preserve"> </w:t>
            </w:r>
            <w:r>
              <w:rPr>
                <w:szCs w:val="22"/>
              </w:rPr>
              <w:t xml:space="preserve">harm of </w:t>
            </w:r>
            <w:r w:rsidRPr="009F327D">
              <w:rPr>
                <w:szCs w:val="22"/>
              </w:rPr>
              <w:t xml:space="preserve">the loss of a video competitor in areas where AT&amp;T and DIRECTV </w:t>
            </w:r>
            <w:r w:rsidRPr="000314EF">
              <w:rPr>
                <w:szCs w:val="22"/>
              </w:rPr>
              <w:t>had directly competed</w:t>
            </w:r>
            <w:r w:rsidRPr="009F327D">
              <w:rPr>
                <w:szCs w:val="22"/>
              </w:rPr>
              <w:t xml:space="preserve"> </w:t>
            </w:r>
            <w:r>
              <w:rPr>
                <w:szCs w:val="22"/>
              </w:rPr>
              <w:t>before the</w:t>
            </w:r>
            <w:r w:rsidRPr="009F327D">
              <w:rPr>
                <w:szCs w:val="22"/>
              </w:rPr>
              <w:t xml:space="preserve"> </w:t>
            </w:r>
            <w:r>
              <w:rPr>
                <w:szCs w:val="22"/>
              </w:rPr>
              <w:t>merger by</w:t>
            </w:r>
            <w:r w:rsidRPr="00EF2BA4">
              <w:rPr>
                <w:szCs w:val="22"/>
              </w:rPr>
              <w:t xml:space="preserve"> </w:t>
            </w:r>
            <w:r>
              <w:rPr>
                <w:szCs w:val="22"/>
              </w:rPr>
              <w:t>providing</w:t>
            </w:r>
            <w:r w:rsidRPr="003E5925">
              <w:rPr>
                <w:szCs w:val="22"/>
              </w:rPr>
              <w:t xml:space="preserve"> a</w:t>
            </w:r>
            <w:r>
              <w:rPr>
                <w:szCs w:val="22"/>
              </w:rPr>
              <w:t xml:space="preserve"> pathway for increased competition from services that rely on broadband Internet to deliver video.</w:t>
            </w:r>
          </w:p>
          <w:p w:rsidR="008D20A9" w:rsidRPr="00B35676" w:rsidRDefault="008D20A9" w:rsidP="008D20A9">
            <w:pPr>
              <w:pStyle w:val="ParaNum"/>
              <w:numPr>
                <w:ilvl w:val="0"/>
                <w:numId w:val="3"/>
              </w:numPr>
            </w:pPr>
            <w:r w:rsidRPr="00882BD5">
              <w:rPr>
                <w:i/>
              </w:rPr>
              <w:t>Gigabit Service to E-rate Eligible Schools and Libraries</w:t>
            </w:r>
            <w:r>
              <w:t xml:space="preserve">.  </w:t>
            </w:r>
            <w:r w:rsidRPr="00882BD5">
              <w:rPr>
                <w:color w:val="000000" w:themeColor="text1"/>
                <w:szCs w:val="22"/>
              </w:rPr>
              <w:t>In addition, to ensure that schools and libraries also benefit from expanded fiber deployment</w:t>
            </w:r>
            <w:r>
              <w:rPr>
                <w:color w:val="000000" w:themeColor="text1"/>
                <w:szCs w:val="22"/>
              </w:rPr>
              <w:t xml:space="preserve"> to consumers and institutions</w:t>
            </w:r>
            <w:r w:rsidRPr="00882BD5">
              <w:rPr>
                <w:color w:val="000000" w:themeColor="text1"/>
                <w:szCs w:val="22"/>
              </w:rPr>
              <w:t xml:space="preserve">, the Commission is also requiring AT&amp;T-DIRECTV to offer gigabit service to any E-rate eligible school or library where AT&amp;T-DIRECTV deploys FTTP service.  </w:t>
            </w:r>
          </w:p>
          <w:p w:rsidR="008D20A9" w:rsidRDefault="008D20A9" w:rsidP="008D20A9">
            <w:pPr>
              <w:pStyle w:val="ParaNum"/>
              <w:numPr>
                <w:ilvl w:val="0"/>
                <w:numId w:val="3"/>
              </w:numPr>
            </w:pPr>
            <w:r>
              <w:rPr>
                <w:i/>
              </w:rPr>
              <w:t xml:space="preserve">Non-Discriminatory Usage-Based Practices.  </w:t>
            </w:r>
            <w:r>
              <w:t xml:space="preserve">Recognizing that AT&amp;T is the only major ISP that applies “data caps” across the board to all of its fixed broadband customers and that this merger increases the incentive of AT&amp;T-DIRECTV to </w:t>
            </w:r>
            <w:r w:rsidRPr="00B85179">
              <w:rPr>
                <w:szCs w:val="22"/>
              </w:rPr>
              <w:t xml:space="preserve">use strategies that limit consumers’ access to online video distribution services in order to favor </w:t>
            </w:r>
            <w:r>
              <w:rPr>
                <w:szCs w:val="22"/>
              </w:rPr>
              <w:t>its own video services, the Commission requires AT&amp;T-DIRECTV, as a condition of this merger, to refrain from imposing discriminatory usage-based allowances or other discriminatory retail terms and conditions on its broadband Internet service</w:t>
            </w:r>
            <w:r>
              <w:t xml:space="preserve">.  </w:t>
            </w:r>
          </w:p>
          <w:p w:rsidR="008D20A9" w:rsidRDefault="008D20A9" w:rsidP="008D20A9">
            <w:pPr>
              <w:pStyle w:val="ParaNum"/>
              <w:widowControl/>
              <w:numPr>
                <w:ilvl w:val="0"/>
                <w:numId w:val="3"/>
              </w:numPr>
            </w:pPr>
            <w:r>
              <w:rPr>
                <w:i/>
              </w:rPr>
              <w:t xml:space="preserve">Internet Interconnection Disclosure Requirements.  </w:t>
            </w:r>
            <w:r>
              <w:t xml:space="preserve">Recognizing the importance of interconnection to the operation of online video services, the Commission also requires as a condition of this merger that AT&amp;T-DIRECTV submit its Internet interconnection agreements so that the Commission may </w:t>
            </w:r>
            <w:r w:rsidRPr="00B85179">
              <w:t xml:space="preserve">monitor the terms of </w:t>
            </w:r>
            <w:r>
              <w:t xml:space="preserve">such </w:t>
            </w:r>
            <w:r w:rsidRPr="00B85179">
              <w:t>agre</w:t>
            </w:r>
            <w:r>
              <w:t>ements to determine whether AT&amp;T-DIRECTV</w:t>
            </w:r>
            <w:r w:rsidRPr="00B85179">
              <w:t xml:space="preserve"> is deny</w:t>
            </w:r>
            <w:r>
              <w:t>ing or impeding</w:t>
            </w:r>
            <w:r w:rsidRPr="00B85179">
              <w:t xml:space="preserve"> access to </w:t>
            </w:r>
            <w:r>
              <w:t>its</w:t>
            </w:r>
            <w:r w:rsidRPr="00B85179">
              <w:t xml:space="preserve"> networks in </w:t>
            </w:r>
            <w:r>
              <w:t xml:space="preserve">anticompetitive ways through the terms of these agreements. </w:t>
            </w:r>
          </w:p>
          <w:p w:rsidR="008D20A9" w:rsidRPr="006F31A4" w:rsidRDefault="008D20A9" w:rsidP="008D20A9">
            <w:pPr>
              <w:pStyle w:val="ParaNum"/>
              <w:numPr>
                <w:ilvl w:val="0"/>
                <w:numId w:val="3"/>
              </w:numPr>
            </w:pPr>
            <w:r w:rsidRPr="00B22DBC">
              <w:rPr>
                <w:i/>
              </w:rPr>
              <w:t>Discounted Broadband Services for Low-Income Subscribers</w:t>
            </w:r>
            <w:r>
              <w:t xml:space="preserve">.  </w:t>
            </w:r>
            <w:r w:rsidRPr="003E5925">
              <w:rPr>
                <w:color w:val="000000" w:themeColor="text1"/>
                <w:szCs w:val="22"/>
              </w:rPr>
              <w:t>W</w:t>
            </w:r>
            <w:r>
              <w:rPr>
                <w:color w:val="000000" w:themeColor="text1"/>
                <w:szCs w:val="22"/>
              </w:rPr>
              <w:t>hile finding</w:t>
            </w:r>
            <w:r w:rsidRPr="003E5925">
              <w:rPr>
                <w:color w:val="000000" w:themeColor="text1"/>
                <w:szCs w:val="22"/>
              </w:rPr>
              <w:t xml:space="preserve"> that </w:t>
            </w:r>
            <w:r w:rsidRPr="00CB062E">
              <w:t xml:space="preserve">the availability of better and </w:t>
            </w:r>
            <w:r w:rsidRPr="00EF0371">
              <w:t>lower priced bu</w:t>
            </w:r>
            <w:r w:rsidRPr="00CB062E">
              <w:t xml:space="preserve">ndles of video and broadband service is a potential </w:t>
            </w:r>
            <w:r w:rsidRPr="003E5925">
              <w:rPr>
                <w:color w:val="000000" w:themeColor="text1"/>
                <w:szCs w:val="22"/>
              </w:rPr>
              <w:t>benefit of the merger</w:t>
            </w:r>
            <w:r>
              <w:rPr>
                <w:color w:val="000000" w:themeColor="text1"/>
                <w:szCs w:val="22"/>
              </w:rPr>
              <w:t>, the Commission also</w:t>
            </w:r>
            <w:r w:rsidRPr="003E5925">
              <w:rPr>
                <w:color w:val="000000" w:themeColor="text1"/>
                <w:szCs w:val="22"/>
              </w:rPr>
              <w:t xml:space="preserve"> </w:t>
            </w:r>
            <w:r>
              <w:rPr>
                <w:szCs w:val="22"/>
              </w:rPr>
              <w:t>concludes that</w:t>
            </w:r>
            <w:r w:rsidRPr="003E5925">
              <w:rPr>
                <w:szCs w:val="22"/>
              </w:rPr>
              <w:t xml:space="preserve"> the public interest </w:t>
            </w:r>
            <w:r>
              <w:rPr>
                <w:szCs w:val="22"/>
              </w:rPr>
              <w:t>requires us to</w:t>
            </w:r>
            <w:r w:rsidRPr="003E5925">
              <w:rPr>
                <w:szCs w:val="22"/>
              </w:rPr>
              <w:t xml:space="preserve"> ensure that a bundle of video and broadband </w:t>
            </w:r>
            <w:r>
              <w:rPr>
                <w:szCs w:val="22"/>
              </w:rPr>
              <w:t xml:space="preserve">services </w:t>
            </w:r>
            <w:r w:rsidRPr="003E5925">
              <w:rPr>
                <w:szCs w:val="22"/>
              </w:rPr>
              <w:t xml:space="preserve">is not the </w:t>
            </w:r>
            <w:r>
              <w:rPr>
                <w:szCs w:val="22"/>
              </w:rPr>
              <w:t xml:space="preserve">only competitive choice </w:t>
            </w:r>
            <w:r w:rsidRPr="003E5925">
              <w:rPr>
                <w:szCs w:val="22"/>
              </w:rPr>
              <w:t xml:space="preserve">for low-income subscribers who may not be able to afford bundled services.  </w:t>
            </w:r>
            <w:r>
              <w:rPr>
                <w:szCs w:val="22"/>
              </w:rPr>
              <w:t xml:space="preserve">The Commission accordingly requires </w:t>
            </w:r>
            <w:r w:rsidRPr="009F327D">
              <w:rPr>
                <w:szCs w:val="22"/>
              </w:rPr>
              <w:t>as a condition of th</w:t>
            </w:r>
            <w:r>
              <w:rPr>
                <w:szCs w:val="22"/>
              </w:rPr>
              <w:t>e</w:t>
            </w:r>
            <w:r w:rsidRPr="009F327D">
              <w:rPr>
                <w:szCs w:val="22"/>
              </w:rPr>
              <w:t xml:space="preserve"> </w:t>
            </w:r>
            <w:r>
              <w:rPr>
                <w:szCs w:val="22"/>
              </w:rPr>
              <w:t xml:space="preserve">merger that AT&amp;T-DIRECTV </w:t>
            </w:r>
            <w:r w:rsidRPr="003E5925">
              <w:rPr>
                <w:szCs w:val="22"/>
              </w:rPr>
              <w:t xml:space="preserve">make available an affordable, low-price standalone broadband service to low-income consumers in </w:t>
            </w:r>
            <w:r>
              <w:rPr>
                <w:szCs w:val="22"/>
              </w:rPr>
              <w:t>its</w:t>
            </w:r>
            <w:r w:rsidRPr="003E5925">
              <w:rPr>
                <w:szCs w:val="22"/>
              </w:rPr>
              <w:t xml:space="preserve"> </w:t>
            </w:r>
            <w:r>
              <w:rPr>
                <w:szCs w:val="22"/>
              </w:rPr>
              <w:t>broadband service area.</w:t>
            </w:r>
          </w:p>
          <w:p w:rsidR="008D20A9" w:rsidRDefault="008D20A9" w:rsidP="008D20A9">
            <w:pPr>
              <w:pStyle w:val="ParaNum"/>
              <w:numPr>
                <w:ilvl w:val="0"/>
                <w:numId w:val="3"/>
              </w:numPr>
            </w:pPr>
            <w:r>
              <w:rPr>
                <w:i/>
              </w:rPr>
              <w:t>Compliance Program and Reporting</w:t>
            </w:r>
            <w:r>
              <w:t xml:space="preserve">.  </w:t>
            </w:r>
            <w:r w:rsidRPr="00083157">
              <w:rPr>
                <w:color w:val="000000" w:themeColor="text1"/>
                <w:szCs w:val="22"/>
              </w:rPr>
              <w:t>Given the important role that th</w:t>
            </w:r>
            <w:r>
              <w:rPr>
                <w:color w:val="000000" w:themeColor="text1"/>
                <w:szCs w:val="22"/>
              </w:rPr>
              <w:t xml:space="preserve">ese </w:t>
            </w:r>
            <w:r w:rsidRPr="00083157">
              <w:rPr>
                <w:color w:val="000000" w:themeColor="text1"/>
                <w:szCs w:val="22"/>
              </w:rPr>
              <w:t xml:space="preserve">conditions serve in securing the </w:t>
            </w:r>
            <w:r>
              <w:rPr>
                <w:color w:val="000000" w:themeColor="text1"/>
                <w:szCs w:val="22"/>
              </w:rPr>
              <w:t>public interest benefits of the merger</w:t>
            </w:r>
            <w:r w:rsidRPr="00083157">
              <w:rPr>
                <w:color w:val="000000" w:themeColor="text1"/>
                <w:szCs w:val="22"/>
              </w:rPr>
              <w:t xml:space="preserve">, </w:t>
            </w:r>
            <w:r>
              <w:rPr>
                <w:color w:val="000000" w:themeColor="text1"/>
                <w:szCs w:val="22"/>
              </w:rPr>
              <w:t>the Commission</w:t>
            </w:r>
            <w:r w:rsidRPr="00083157">
              <w:rPr>
                <w:color w:val="000000" w:themeColor="text1"/>
                <w:szCs w:val="22"/>
              </w:rPr>
              <w:t xml:space="preserve"> require</w:t>
            </w:r>
            <w:r>
              <w:rPr>
                <w:color w:val="000000" w:themeColor="text1"/>
                <w:szCs w:val="22"/>
              </w:rPr>
              <w:t>s</w:t>
            </w:r>
            <w:r w:rsidRPr="00083157">
              <w:rPr>
                <w:color w:val="000000" w:themeColor="text1"/>
                <w:szCs w:val="22"/>
              </w:rPr>
              <w:t xml:space="preserve"> that AT&amp;T</w:t>
            </w:r>
            <w:r>
              <w:rPr>
                <w:color w:val="000000" w:themeColor="text1"/>
                <w:szCs w:val="22"/>
              </w:rPr>
              <w:t>-DIRECTV</w:t>
            </w:r>
            <w:r w:rsidRPr="00083157">
              <w:rPr>
                <w:color w:val="000000" w:themeColor="text1"/>
                <w:szCs w:val="22"/>
              </w:rPr>
              <w:t xml:space="preserve"> retain both an internal company compliance officer and an independent, external compliance officer that will report and monitor</w:t>
            </w:r>
            <w:r>
              <w:rPr>
                <w:color w:val="000000" w:themeColor="text1"/>
                <w:szCs w:val="22"/>
              </w:rPr>
              <w:t xml:space="preserve">, </w:t>
            </w:r>
            <w:r w:rsidRPr="00083157">
              <w:rPr>
                <w:color w:val="000000" w:themeColor="text1"/>
                <w:szCs w:val="22"/>
              </w:rPr>
              <w:t>respectively</w:t>
            </w:r>
            <w:r>
              <w:rPr>
                <w:color w:val="000000" w:themeColor="text1"/>
                <w:szCs w:val="22"/>
              </w:rPr>
              <w:t>,</w:t>
            </w:r>
            <w:r w:rsidRPr="00083157">
              <w:rPr>
                <w:color w:val="000000" w:themeColor="text1"/>
                <w:szCs w:val="22"/>
              </w:rPr>
              <w:t xml:space="preserve"> the combined entity’s compliance</w:t>
            </w:r>
            <w:r>
              <w:rPr>
                <w:color w:val="000000" w:themeColor="text1"/>
                <w:szCs w:val="22"/>
              </w:rPr>
              <w:t xml:space="preserve"> with all conditions of the merger</w:t>
            </w:r>
            <w:r>
              <w:t xml:space="preserve">. </w:t>
            </w:r>
          </w:p>
          <w:p w:rsidR="008D20A9" w:rsidRDefault="008D20A9" w:rsidP="008D20A9">
            <w:pPr>
              <w:rPr>
                <w:sz w:val="22"/>
                <w:szCs w:val="22"/>
              </w:rPr>
            </w:pPr>
            <w:r>
              <w:rPr>
                <w:sz w:val="22"/>
                <w:szCs w:val="22"/>
              </w:rPr>
              <w:t>Ac</w:t>
            </w:r>
            <w:r w:rsidR="004142FE">
              <w:rPr>
                <w:sz w:val="22"/>
                <w:szCs w:val="22"/>
              </w:rPr>
              <w:t>tion by the Commission July 24</w:t>
            </w:r>
            <w:r>
              <w:rPr>
                <w:sz w:val="22"/>
                <w:szCs w:val="22"/>
              </w:rPr>
              <w:t xml:space="preserve">, 2015 by: Memorandum Opinion and Order (FCC </w:t>
            </w:r>
            <w:r w:rsidR="004B39BD">
              <w:rPr>
                <w:sz w:val="22"/>
                <w:szCs w:val="22"/>
              </w:rPr>
              <w:t>No.</w:t>
            </w:r>
            <w:r w:rsidR="004B39BD" w:rsidRPr="004B39BD">
              <w:rPr>
                <w:sz w:val="22"/>
                <w:szCs w:val="22"/>
              </w:rPr>
              <w:t xml:space="preserve"> 15-94</w:t>
            </w:r>
            <w:r>
              <w:rPr>
                <w:sz w:val="22"/>
                <w:szCs w:val="22"/>
              </w:rPr>
              <w:t xml:space="preserve">).  </w:t>
            </w:r>
            <w:r w:rsidRPr="004142FE">
              <w:rPr>
                <w:sz w:val="22"/>
                <w:szCs w:val="22"/>
              </w:rPr>
              <w:t>Chairman Wheeler and Commissioner Clyburn and Commissioner Rosenworcel, with Commissioner O’Rielly concurring in part, and Commissioner Pai dissenting in part.  Chairman Wheeler</w:t>
            </w:r>
            <w:r w:rsidR="004142FE" w:rsidRPr="004142FE">
              <w:rPr>
                <w:sz w:val="22"/>
                <w:szCs w:val="22"/>
              </w:rPr>
              <w:t xml:space="preserve">, </w:t>
            </w:r>
            <w:r w:rsidRPr="004142FE">
              <w:rPr>
                <w:sz w:val="22"/>
                <w:szCs w:val="22"/>
              </w:rPr>
              <w:t xml:space="preserve">Commissioners </w:t>
            </w:r>
            <w:r w:rsidR="004142FE" w:rsidRPr="004142FE">
              <w:rPr>
                <w:sz w:val="22"/>
                <w:szCs w:val="22"/>
              </w:rPr>
              <w:t xml:space="preserve">Clyburn, Rosenworcel, </w:t>
            </w:r>
            <w:r w:rsidRPr="004142FE">
              <w:rPr>
                <w:sz w:val="22"/>
                <w:szCs w:val="22"/>
              </w:rPr>
              <w:t>Pai and O’Rielly</w:t>
            </w:r>
            <w:r w:rsidR="004142FE" w:rsidRPr="004142FE">
              <w:rPr>
                <w:sz w:val="22"/>
                <w:szCs w:val="22"/>
              </w:rPr>
              <w:t xml:space="preserve"> issuing </w:t>
            </w:r>
            <w:r w:rsidRPr="004142FE">
              <w:rPr>
                <w:sz w:val="22"/>
                <w:szCs w:val="22"/>
              </w:rPr>
              <w:t>statement</w:t>
            </w:r>
            <w:r w:rsidR="004142FE" w:rsidRPr="004142FE">
              <w:rPr>
                <w:sz w:val="22"/>
                <w:szCs w:val="22"/>
              </w:rPr>
              <w:t xml:space="preserve">s.  </w:t>
            </w:r>
          </w:p>
          <w:p w:rsidR="008D20A9" w:rsidRDefault="008D20A9" w:rsidP="008D20A9">
            <w:pPr>
              <w:ind w:firstLine="720"/>
              <w:rPr>
                <w:sz w:val="22"/>
                <w:szCs w:val="22"/>
              </w:rPr>
            </w:pPr>
          </w:p>
          <w:p w:rsidR="008D20A9" w:rsidRDefault="008D20A9" w:rsidP="008D20A9">
            <w:pPr>
              <w:rPr>
                <w:sz w:val="22"/>
                <w:szCs w:val="22"/>
              </w:rPr>
            </w:pPr>
            <w:r>
              <w:rPr>
                <w:sz w:val="22"/>
                <w:szCs w:val="22"/>
              </w:rPr>
              <w:t>MB Docket No. 14-90</w:t>
            </w:r>
          </w:p>
          <w:p w:rsidR="00BD19E8" w:rsidRPr="001230F2" w:rsidRDefault="00BD19E8" w:rsidP="001230F2">
            <w:pPr>
              <w:rPr>
                <w:rStyle w:val="Hyperlink"/>
              </w:rPr>
            </w:pPr>
          </w:p>
          <w:p w:rsidR="004F0F1F" w:rsidRPr="008A3940" w:rsidRDefault="00F708E3" w:rsidP="00BB4E29">
            <w:pPr>
              <w:ind w:right="240"/>
              <w:jc w:val="center"/>
              <w:rPr>
                <w:sz w:val="22"/>
                <w:szCs w:val="22"/>
              </w:rPr>
            </w:pPr>
            <w:r w:rsidRPr="008A3940">
              <w:rPr>
                <w:sz w:val="22"/>
                <w:szCs w:val="22"/>
              </w:rPr>
              <w:t>###</w:t>
            </w:r>
          </w:p>
          <w:p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BB4E29">
            <w:pPr>
              <w:ind w:right="498"/>
              <w:jc w:val="center"/>
              <w:rPr>
                <w:b/>
                <w:bCs/>
                <w:sz w:val="18"/>
                <w:szCs w:val="18"/>
              </w:rPr>
            </w:pPr>
            <w:r>
              <w:rPr>
                <w:b/>
                <w:bCs/>
                <w:sz w:val="18"/>
                <w:szCs w:val="18"/>
              </w:rPr>
              <w:t>Twitter: @FCC</w:t>
            </w:r>
          </w:p>
          <w:p w:rsidR="00CC5E08" w:rsidRDefault="00405294" w:rsidP="00BB4E29">
            <w:pPr>
              <w:ind w:right="498"/>
              <w:jc w:val="center"/>
              <w:rPr>
                <w:rStyle w:val="Hyperlink"/>
                <w:b/>
                <w:bCs/>
                <w:color w:val="auto"/>
                <w:sz w:val="18"/>
                <w:szCs w:val="18"/>
              </w:rPr>
            </w:pPr>
            <w:hyperlink r:id="rId9" w:history="1">
              <w:r w:rsidR="00EE0E90" w:rsidRPr="00EE0E90">
                <w:rPr>
                  <w:rStyle w:val="Hyperlink"/>
                  <w:b/>
                  <w:bCs/>
                  <w:color w:val="auto"/>
                  <w:sz w:val="18"/>
                  <w:szCs w:val="18"/>
                </w:rPr>
                <w:t>www.fcc.gov/office-media-relations</w:t>
              </w:r>
            </w:hyperlink>
          </w:p>
          <w:p w:rsidR="0069420F" w:rsidRPr="00EE0E90" w:rsidRDefault="0069420F" w:rsidP="00BB4E29">
            <w:pPr>
              <w:ind w:right="498"/>
              <w:jc w:val="center"/>
              <w:rPr>
                <w:b/>
                <w:bCs/>
                <w:sz w:val="18"/>
                <w:szCs w:val="18"/>
              </w:rPr>
            </w:pPr>
          </w:p>
          <w:p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RDefault="00D24C3D">
      <w:pPr>
        <w:rPr>
          <w:b/>
          <w:bCs/>
          <w:sz w:val="2"/>
          <w:szCs w:val="2"/>
        </w:rPr>
      </w:pPr>
    </w:p>
    <w:p w:rsidR="0003167F" w:rsidRPr="007528A5" w:rsidRDefault="0003167F">
      <w:pPr>
        <w:rPr>
          <w:b/>
          <w:bCs/>
          <w:sz w:val="2"/>
          <w:szCs w:val="2"/>
        </w:rPr>
      </w:pPr>
    </w:p>
    <w:sectPr w:rsidR="0003167F" w:rsidRPr="007528A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563" w:rsidRDefault="00210563" w:rsidP="00733019">
      <w:r>
        <w:separator/>
      </w:r>
    </w:p>
  </w:endnote>
  <w:endnote w:type="continuationSeparator" w:id="0">
    <w:p w:rsidR="00210563" w:rsidRDefault="00210563" w:rsidP="0073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00000000" w:usb2="0001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DD" w:rsidRDefault="00000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DD" w:rsidRDefault="000004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DD" w:rsidRDefault="00000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563" w:rsidRDefault="00210563" w:rsidP="00733019">
      <w:r>
        <w:separator/>
      </w:r>
    </w:p>
  </w:footnote>
  <w:footnote w:type="continuationSeparator" w:id="0">
    <w:p w:rsidR="00210563" w:rsidRDefault="00210563" w:rsidP="00733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DD" w:rsidRDefault="00000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DD" w:rsidRDefault="000004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DD" w:rsidRDefault="00000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34313"/>
    <w:multiLevelType w:val="hybridMultilevel"/>
    <w:tmpl w:val="0BAC29EE"/>
    <w:lvl w:ilvl="0" w:tplc="F90E34BA">
      <w:start w:val="1"/>
      <w:numFmt w:val="bullet"/>
      <w:lvlText w:val=""/>
      <w:lvlJc w:val="left"/>
      <w:pPr>
        <w:tabs>
          <w:tab w:val="num" w:pos="1080"/>
        </w:tabs>
        <w:ind w:left="1080" w:hanging="360"/>
      </w:pPr>
      <w:rPr>
        <w:rFonts w:ascii="Symbol" w:hAnsi="Symbol" w:hint="default"/>
        <w:sz w:val="22"/>
      </w:rPr>
    </w:lvl>
    <w:lvl w:ilvl="1" w:tplc="46E4EEA6">
      <w:start w:val="1"/>
      <w:numFmt w:val="bullet"/>
      <w:lvlText w:val="o"/>
      <w:lvlJc w:val="left"/>
      <w:pPr>
        <w:tabs>
          <w:tab w:val="num" w:pos="1440"/>
        </w:tabs>
        <w:ind w:left="1440" w:hanging="360"/>
      </w:pPr>
      <w:rPr>
        <w:rFonts w:ascii="Courier New" w:hAnsi="Courier New" w:cs="Monotype Sorts" w:hint="default"/>
      </w:rPr>
    </w:lvl>
    <w:lvl w:ilvl="2" w:tplc="E582642A" w:tentative="1">
      <w:start w:val="1"/>
      <w:numFmt w:val="bullet"/>
      <w:lvlText w:val=""/>
      <w:lvlJc w:val="left"/>
      <w:pPr>
        <w:tabs>
          <w:tab w:val="num" w:pos="2160"/>
        </w:tabs>
        <w:ind w:left="2160" w:hanging="360"/>
      </w:pPr>
      <w:rPr>
        <w:rFonts w:ascii="Wingdings" w:hAnsi="Wingdings" w:hint="default"/>
      </w:rPr>
    </w:lvl>
    <w:lvl w:ilvl="3" w:tplc="F9167CD2" w:tentative="1">
      <w:start w:val="1"/>
      <w:numFmt w:val="bullet"/>
      <w:lvlText w:val=""/>
      <w:lvlJc w:val="left"/>
      <w:pPr>
        <w:tabs>
          <w:tab w:val="num" w:pos="2880"/>
        </w:tabs>
        <w:ind w:left="2880" w:hanging="360"/>
      </w:pPr>
      <w:rPr>
        <w:rFonts w:ascii="Symbol" w:hAnsi="Symbol" w:hint="default"/>
      </w:rPr>
    </w:lvl>
    <w:lvl w:ilvl="4" w:tplc="241A68EC" w:tentative="1">
      <w:start w:val="1"/>
      <w:numFmt w:val="bullet"/>
      <w:lvlText w:val="o"/>
      <w:lvlJc w:val="left"/>
      <w:pPr>
        <w:tabs>
          <w:tab w:val="num" w:pos="3600"/>
        </w:tabs>
        <w:ind w:left="3600" w:hanging="360"/>
      </w:pPr>
      <w:rPr>
        <w:rFonts w:ascii="Courier New" w:hAnsi="Courier New" w:cs="Monotype Sorts" w:hint="default"/>
      </w:rPr>
    </w:lvl>
    <w:lvl w:ilvl="5" w:tplc="C5A87288" w:tentative="1">
      <w:start w:val="1"/>
      <w:numFmt w:val="bullet"/>
      <w:lvlText w:val=""/>
      <w:lvlJc w:val="left"/>
      <w:pPr>
        <w:tabs>
          <w:tab w:val="num" w:pos="4320"/>
        </w:tabs>
        <w:ind w:left="4320" w:hanging="360"/>
      </w:pPr>
      <w:rPr>
        <w:rFonts w:ascii="Wingdings" w:hAnsi="Wingdings" w:hint="default"/>
      </w:rPr>
    </w:lvl>
    <w:lvl w:ilvl="6" w:tplc="6DE453CC" w:tentative="1">
      <w:start w:val="1"/>
      <w:numFmt w:val="bullet"/>
      <w:lvlText w:val=""/>
      <w:lvlJc w:val="left"/>
      <w:pPr>
        <w:tabs>
          <w:tab w:val="num" w:pos="5040"/>
        </w:tabs>
        <w:ind w:left="5040" w:hanging="360"/>
      </w:pPr>
      <w:rPr>
        <w:rFonts w:ascii="Symbol" w:hAnsi="Symbol" w:hint="default"/>
      </w:rPr>
    </w:lvl>
    <w:lvl w:ilvl="7" w:tplc="310C0000" w:tentative="1">
      <w:start w:val="1"/>
      <w:numFmt w:val="bullet"/>
      <w:lvlText w:val="o"/>
      <w:lvlJc w:val="left"/>
      <w:pPr>
        <w:tabs>
          <w:tab w:val="num" w:pos="5760"/>
        </w:tabs>
        <w:ind w:left="5760" w:hanging="360"/>
      </w:pPr>
      <w:rPr>
        <w:rFonts w:ascii="Courier New" w:hAnsi="Courier New" w:cs="Monotype Sorts" w:hint="default"/>
      </w:rPr>
    </w:lvl>
    <w:lvl w:ilvl="8" w:tplc="4DC28288" w:tentative="1">
      <w:start w:val="1"/>
      <w:numFmt w:val="bullet"/>
      <w:lvlText w:val=""/>
      <w:lvlJc w:val="left"/>
      <w:pPr>
        <w:tabs>
          <w:tab w:val="num" w:pos="6480"/>
        </w:tabs>
        <w:ind w:left="6480" w:hanging="360"/>
      </w:pPr>
      <w:rPr>
        <w:rFonts w:ascii="Wingdings" w:hAnsi="Wingdings" w:hint="default"/>
      </w:rPr>
    </w:lvl>
  </w:abstractNum>
  <w:abstractNum w:abstractNumId="1">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nsid w:val="61182925"/>
    <w:multiLevelType w:val="multilevel"/>
    <w:tmpl w:val="AD869B9A"/>
    <w:lvl w:ilvl="0">
      <w:start w:val="1"/>
      <w:numFmt w:val="decimal"/>
      <w:pStyle w:val="ParaNum"/>
      <w:lvlText w:val="%1."/>
      <w:lvlJc w:val="left"/>
      <w:pPr>
        <w:tabs>
          <w:tab w:val="num" w:pos="1080"/>
        </w:tabs>
        <w:ind w:left="0" w:firstLine="720"/>
      </w:pPr>
      <w:rPr>
        <w:color w:val="000000"/>
      </w:rPr>
    </w:lvl>
    <w:lvl w:ilvl="1">
      <w:start w:val="1"/>
      <w:numFmt w:val="lowerLetter"/>
      <w:pStyle w:val="ParaNum"/>
      <w:lvlText w:val="%2."/>
      <w:lvlJc w:val="left"/>
      <w:pPr>
        <w:ind w:left="1440" w:hanging="360"/>
      </w:pPr>
    </w:lvl>
    <w:lvl w:ilvl="2">
      <w:start w:val="1"/>
      <w:numFmt w:val="lowerRoman"/>
      <w:pStyle w:val="ParaNum"/>
      <w:lvlText w:val="%3."/>
      <w:lvlJc w:val="right"/>
      <w:pPr>
        <w:ind w:left="2160" w:hanging="180"/>
      </w:pPr>
    </w:lvl>
    <w:lvl w:ilvl="3">
      <w:start w:val="1"/>
      <w:numFmt w:val="decimal"/>
      <w:pStyle w:val="ParaNum"/>
      <w:lvlText w:val="%4."/>
      <w:lvlJc w:val="left"/>
      <w:pPr>
        <w:ind w:left="2880" w:hanging="360"/>
      </w:pPr>
    </w:lvl>
    <w:lvl w:ilvl="4">
      <w:start w:val="1"/>
      <w:numFmt w:val="lowerLetter"/>
      <w:pStyle w:val="ParaNum"/>
      <w:lvlText w:val="%5."/>
      <w:lvlJc w:val="left"/>
      <w:pPr>
        <w:ind w:left="3600" w:hanging="360"/>
      </w:pPr>
    </w:lvl>
    <w:lvl w:ilvl="5">
      <w:start w:val="1"/>
      <w:numFmt w:val="lowerRoman"/>
      <w:pStyle w:val="ParaNum"/>
      <w:lvlText w:val="%6."/>
      <w:lvlJc w:val="right"/>
      <w:pPr>
        <w:ind w:left="4320" w:hanging="180"/>
      </w:pPr>
    </w:lvl>
    <w:lvl w:ilvl="6">
      <w:start w:val="1"/>
      <w:numFmt w:val="decimal"/>
      <w:pStyle w:val="ParaNum"/>
      <w:lvlText w:val="%7."/>
      <w:lvlJc w:val="left"/>
      <w:pPr>
        <w:ind w:left="5040" w:hanging="360"/>
      </w:pPr>
    </w:lvl>
    <w:lvl w:ilvl="7">
      <w:start w:val="1"/>
      <w:numFmt w:val="lowerLetter"/>
      <w:pStyle w:val="ParaNum"/>
      <w:lvlText w:val="%8."/>
      <w:lvlJc w:val="left"/>
      <w:pPr>
        <w:ind w:left="5760" w:hanging="360"/>
      </w:pPr>
    </w:lvl>
    <w:lvl w:ilvl="8">
      <w:start w:val="1"/>
      <w:numFmt w:val="lowerRoman"/>
      <w:pStyle w:val="ParaNum"/>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004DD"/>
    <w:rsid w:val="0002500C"/>
    <w:rsid w:val="000311FC"/>
    <w:rsid w:val="0003167F"/>
    <w:rsid w:val="00040127"/>
    <w:rsid w:val="00055B66"/>
    <w:rsid w:val="00071A8D"/>
    <w:rsid w:val="00081232"/>
    <w:rsid w:val="00091E65"/>
    <w:rsid w:val="00096D4A"/>
    <w:rsid w:val="000A38EA"/>
    <w:rsid w:val="000C1E47"/>
    <w:rsid w:val="000C26F3"/>
    <w:rsid w:val="000D5FF0"/>
    <w:rsid w:val="000E049E"/>
    <w:rsid w:val="0010799B"/>
    <w:rsid w:val="00114560"/>
    <w:rsid w:val="00117DB2"/>
    <w:rsid w:val="001230F2"/>
    <w:rsid w:val="00123ED2"/>
    <w:rsid w:val="00125BE0"/>
    <w:rsid w:val="00142C13"/>
    <w:rsid w:val="0015254B"/>
    <w:rsid w:val="00152776"/>
    <w:rsid w:val="00152B1D"/>
    <w:rsid w:val="00153222"/>
    <w:rsid w:val="001577D3"/>
    <w:rsid w:val="00170247"/>
    <w:rsid w:val="001733A6"/>
    <w:rsid w:val="0017440D"/>
    <w:rsid w:val="001865A9"/>
    <w:rsid w:val="00187DB2"/>
    <w:rsid w:val="001B20BB"/>
    <w:rsid w:val="001C435D"/>
    <w:rsid w:val="001C4370"/>
    <w:rsid w:val="001D02B7"/>
    <w:rsid w:val="001D3779"/>
    <w:rsid w:val="001E0F3F"/>
    <w:rsid w:val="001F0469"/>
    <w:rsid w:val="00203A98"/>
    <w:rsid w:val="00206EDD"/>
    <w:rsid w:val="00210563"/>
    <w:rsid w:val="0021247E"/>
    <w:rsid w:val="002146F6"/>
    <w:rsid w:val="00231C32"/>
    <w:rsid w:val="00240345"/>
    <w:rsid w:val="002421F0"/>
    <w:rsid w:val="00247274"/>
    <w:rsid w:val="002474DC"/>
    <w:rsid w:val="00266966"/>
    <w:rsid w:val="002675DF"/>
    <w:rsid w:val="00277CD5"/>
    <w:rsid w:val="00294C0C"/>
    <w:rsid w:val="002A0934"/>
    <w:rsid w:val="002B1013"/>
    <w:rsid w:val="002C4423"/>
    <w:rsid w:val="002D03E5"/>
    <w:rsid w:val="002E3F1D"/>
    <w:rsid w:val="002F0A1A"/>
    <w:rsid w:val="002F31D0"/>
    <w:rsid w:val="00300359"/>
    <w:rsid w:val="00315495"/>
    <w:rsid w:val="0031773E"/>
    <w:rsid w:val="00330741"/>
    <w:rsid w:val="003410A7"/>
    <w:rsid w:val="00347716"/>
    <w:rsid w:val="003506E1"/>
    <w:rsid w:val="00356FDC"/>
    <w:rsid w:val="00370120"/>
    <w:rsid w:val="003715E5"/>
    <w:rsid w:val="003727E3"/>
    <w:rsid w:val="00377445"/>
    <w:rsid w:val="00385A93"/>
    <w:rsid w:val="0039101B"/>
    <w:rsid w:val="003910F1"/>
    <w:rsid w:val="003D2736"/>
    <w:rsid w:val="003E42FC"/>
    <w:rsid w:val="003E5991"/>
    <w:rsid w:val="003F344A"/>
    <w:rsid w:val="003F4391"/>
    <w:rsid w:val="00403FF0"/>
    <w:rsid w:val="00405294"/>
    <w:rsid w:val="004142FE"/>
    <w:rsid w:val="0042046D"/>
    <w:rsid w:val="004247C9"/>
    <w:rsid w:val="00425AEF"/>
    <w:rsid w:val="00426518"/>
    <w:rsid w:val="00427B06"/>
    <w:rsid w:val="00431640"/>
    <w:rsid w:val="004356AD"/>
    <w:rsid w:val="00441F59"/>
    <w:rsid w:val="00444E07"/>
    <w:rsid w:val="00444FA9"/>
    <w:rsid w:val="00464876"/>
    <w:rsid w:val="00473E9C"/>
    <w:rsid w:val="004775EC"/>
    <w:rsid w:val="00480099"/>
    <w:rsid w:val="00497858"/>
    <w:rsid w:val="004A0643"/>
    <w:rsid w:val="004B39BD"/>
    <w:rsid w:val="004B4FEA"/>
    <w:rsid w:val="004C0ADA"/>
    <w:rsid w:val="004C433E"/>
    <w:rsid w:val="004C4512"/>
    <w:rsid w:val="004C4F36"/>
    <w:rsid w:val="004D3D85"/>
    <w:rsid w:val="004E0518"/>
    <w:rsid w:val="004E2BD8"/>
    <w:rsid w:val="004E4B0E"/>
    <w:rsid w:val="004F0F1F"/>
    <w:rsid w:val="005022AA"/>
    <w:rsid w:val="00504006"/>
    <w:rsid w:val="00504845"/>
    <w:rsid w:val="0050757F"/>
    <w:rsid w:val="00516AD2"/>
    <w:rsid w:val="00545DAE"/>
    <w:rsid w:val="00551D41"/>
    <w:rsid w:val="00571B83"/>
    <w:rsid w:val="00575A00"/>
    <w:rsid w:val="00576625"/>
    <w:rsid w:val="0058673C"/>
    <w:rsid w:val="00597378"/>
    <w:rsid w:val="005A7972"/>
    <w:rsid w:val="005B17E7"/>
    <w:rsid w:val="005B2643"/>
    <w:rsid w:val="005C213E"/>
    <w:rsid w:val="005D17FD"/>
    <w:rsid w:val="005E46A2"/>
    <w:rsid w:val="005F0D55"/>
    <w:rsid w:val="005F183E"/>
    <w:rsid w:val="005F7B57"/>
    <w:rsid w:val="00600DDA"/>
    <w:rsid w:val="00604211"/>
    <w:rsid w:val="00613498"/>
    <w:rsid w:val="00617B94"/>
    <w:rsid w:val="00620BED"/>
    <w:rsid w:val="00625A78"/>
    <w:rsid w:val="006415B4"/>
    <w:rsid w:val="00644E3D"/>
    <w:rsid w:val="00651B9E"/>
    <w:rsid w:val="00652019"/>
    <w:rsid w:val="006522A2"/>
    <w:rsid w:val="00657EC9"/>
    <w:rsid w:val="00665633"/>
    <w:rsid w:val="00674C86"/>
    <w:rsid w:val="0068015E"/>
    <w:rsid w:val="00680421"/>
    <w:rsid w:val="006861AB"/>
    <w:rsid w:val="00686B89"/>
    <w:rsid w:val="0069420F"/>
    <w:rsid w:val="00695A32"/>
    <w:rsid w:val="006A2FC5"/>
    <w:rsid w:val="006A7D75"/>
    <w:rsid w:val="006B0A70"/>
    <w:rsid w:val="006B606A"/>
    <w:rsid w:val="006C33AF"/>
    <w:rsid w:val="006D5D22"/>
    <w:rsid w:val="006E0324"/>
    <w:rsid w:val="006E39A9"/>
    <w:rsid w:val="006E4A76"/>
    <w:rsid w:val="006E7741"/>
    <w:rsid w:val="006F1DBD"/>
    <w:rsid w:val="00700556"/>
    <w:rsid w:val="007053F6"/>
    <w:rsid w:val="007167DD"/>
    <w:rsid w:val="00722ADE"/>
    <w:rsid w:val="0072478B"/>
    <w:rsid w:val="00733019"/>
    <w:rsid w:val="0073414D"/>
    <w:rsid w:val="00734567"/>
    <w:rsid w:val="0075235E"/>
    <w:rsid w:val="007528A5"/>
    <w:rsid w:val="007627AD"/>
    <w:rsid w:val="007732CC"/>
    <w:rsid w:val="00774079"/>
    <w:rsid w:val="0077752B"/>
    <w:rsid w:val="0078643D"/>
    <w:rsid w:val="00790D22"/>
    <w:rsid w:val="00793D6F"/>
    <w:rsid w:val="00794090"/>
    <w:rsid w:val="007A0BE3"/>
    <w:rsid w:val="007A1445"/>
    <w:rsid w:val="007A44F8"/>
    <w:rsid w:val="007B673B"/>
    <w:rsid w:val="007C6EF8"/>
    <w:rsid w:val="007D21BF"/>
    <w:rsid w:val="007F3C12"/>
    <w:rsid w:val="007F5205"/>
    <w:rsid w:val="007F6B5F"/>
    <w:rsid w:val="008215E7"/>
    <w:rsid w:val="00830E92"/>
    <w:rsid w:val="00830FC6"/>
    <w:rsid w:val="00865EAA"/>
    <w:rsid w:val="00866F06"/>
    <w:rsid w:val="00871E17"/>
    <w:rsid w:val="008728F5"/>
    <w:rsid w:val="008824C2"/>
    <w:rsid w:val="008960E4"/>
    <w:rsid w:val="008A3940"/>
    <w:rsid w:val="008B13C9"/>
    <w:rsid w:val="008B533E"/>
    <w:rsid w:val="008C248C"/>
    <w:rsid w:val="008C5432"/>
    <w:rsid w:val="008C55BB"/>
    <w:rsid w:val="008C7BF1"/>
    <w:rsid w:val="008D00D6"/>
    <w:rsid w:val="008D1337"/>
    <w:rsid w:val="008D20A9"/>
    <w:rsid w:val="008D4D00"/>
    <w:rsid w:val="008D4E5E"/>
    <w:rsid w:val="008D7ABD"/>
    <w:rsid w:val="008E4855"/>
    <w:rsid w:val="008E55A2"/>
    <w:rsid w:val="008F1609"/>
    <w:rsid w:val="008F78D8"/>
    <w:rsid w:val="00913B23"/>
    <w:rsid w:val="0091538A"/>
    <w:rsid w:val="00961620"/>
    <w:rsid w:val="009734B6"/>
    <w:rsid w:val="0098096F"/>
    <w:rsid w:val="0098437A"/>
    <w:rsid w:val="00986C92"/>
    <w:rsid w:val="0099169C"/>
    <w:rsid w:val="00993C47"/>
    <w:rsid w:val="009B4B16"/>
    <w:rsid w:val="009D4F30"/>
    <w:rsid w:val="009E54A1"/>
    <w:rsid w:val="009F4E25"/>
    <w:rsid w:val="009F5B1F"/>
    <w:rsid w:val="00A03C96"/>
    <w:rsid w:val="00A1436D"/>
    <w:rsid w:val="00A23928"/>
    <w:rsid w:val="00A3326D"/>
    <w:rsid w:val="00A35DFD"/>
    <w:rsid w:val="00A63057"/>
    <w:rsid w:val="00A702DF"/>
    <w:rsid w:val="00A775A3"/>
    <w:rsid w:val="00A81B5B"/>
    <w:rsid w:val="00A82FAD"/>
    <w:rsid w:val="00A9673A"/>
    <w:rsid w:val="00A96EF2"/>
    <w:rsid w:val="00AA24D2"/>
    <w:rsid w:val="00AA5C35"/>
    <w:rsid w:val="00AA5ED9"/>
    <w:rsid w:val="00AC0A38"/>
    <w:rsid w:val="00AC0F1C"/>
    <w:rsid w:val="00AC4E0E"/>
    <w:rsid w:val="00AC517B"/>
    <w:rsid w:val="00AD0D19"/>
    <w:rsid w:val="00AE5DE4"/>
    <w:rsid w:val="00AF051B"/>
    <w:rsid w:val="00B037A2"/>
    <w:rsid w:val="00B31870"/>
    <w:rsid w:val="00B320B8"/>
    <w:rsid w:val="00B35EE2"/>
    <w:rsid w:val="00B36DEF"/>
    <w:rsid w:val="00B420D4"/>
    <w:rsid w:val="00B45342"/>
    <w:rsid w:val="00B57131"/>
    <w:rsid w:val="00B62F2C"/>
    <w:rsid w:val="00B67B45"/>
    <w:rsid w:val="00B727C9"/>
    <w:rsid w:val="00B735C8"/>
    <w:rsid w:val="00B748B8"/>
    <w:rsid w:val="00B76A63"/>
    <w:rsid w:val="00B8154A"/>
    <w:rsid w:val="00BA6350"/>
    <w:rsid w:val="00BB4E29"/>
    <w:rsid w:val="00BB74C9"/>
    <w:rsid w:val="00BC3AB6"/>
    <w:rsid w:val="00BD19E8"/>
    <w:rsid w:val="00BD4273"/>
    <w:rsid w:val="00C432E4"/>
    <w:rsid w:val="00C70C26"/>
    <w:rsid w:val="00C72001"/>
    <w:rsid w:val="00C772B7"/>
    <w:rsid w:val="00C80347"/>
    <w:rsid w:val="00C81D88"/>
    <w:rsid w:val="00C83196"/>
    <w:rsid w:val="00C9163C"/>
    <w:rsid w:val="00CB7C1A"/>
    <w:rsid w:val="00CC5E08"/>
    <w:rsid w:val="00CF6860"/>
    <w:rsid w:val="00CF795D"/>
    <w:rsid w:val="00D02AC6"/>
    <w:rsid w:val="00D03F0C"/>
    <w:rsid w:val="00D04312"/>
    <w:rsid w:val="00D16A7F"/>
    <w:rsid w:val="00D16AD2"/>
    <w:rsid w:val="00D22596"/>
    <w:rsid w:val="00D22691"/>
    <w:rsid w:val="00D22F17"/>
    <w:rsid w:val="00D24C3D"/>
    <w:rsid w:val="00D46CB1"/>
    <w:rsid w:val="00D723F0"/>
    <w:rsid w:val="00D8133F"/>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5BE4"/>
    <w:rsid w:val="00E76816"/>
    <w:rsid w:val="00E83DBF"/>
    <w:rsid w:val="00E87C13"/>
    <w:rsid w:val="00E94CD9"/>
    <w:rsid w:val="00EA1A76"/>
    <w:rsid w:val="00EA290B"/>
    <w:rsid w:val="00EC61FD"/>
    <w:rsid w:val="00EE0E90"/>
    <w:rsid w:val="00EE47B8"/>
    <w:rsid w:val="00EF3BCA"/>
    <w:rsid w:val="00F01B0D"/>
    <w:rsid w:val="00F06EF7"/>
    <w:rsid w:val="00F1238F"/>
    <w:rsid w:val="00F16485"/>
    <w:rsid w:val="00F228ED"/>
    <w:rsid w:val="00F26E31"/>
    <w:rsid w:val="00F27C6C"/>
    <w:rsid w:val="00F34A8D"/>
    <w:rsid w:val="00F5023B"/>
    <w:rsid w:val="00F50D25"/>
    <w:rsid w:val="00F535D8"/>
    <w:rsid w:val="00F61155"/>
    <w:rsid w:val="00F708E3"/>
    <w:rsid w:val="00F72A61"/>
    <w:rsid w:val="00F76561"/>
    <w:rsid w:val="00F84736"/>
    <w:rsid w:val="00F8697D"/>
    <w:rsid w:val="00FA55A8"/>
    <w:rsid w:val="00FB4A93"/>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B67B45"/>
    <w:rPr>
      <w:rFonts w:ascii="Tahoma" w:hAnsi="Tahoma" w:cs="Tahoma"/>
      <w:sz w:val="16"/>
      <w:szCs w:val="16"/>
    </w:rPr>
  </w:style>
  <w:style w:type="character" w:customStyle="1" w:styleId="BalloonTextChar">
    <w:name w:val="Balloon Text Char"/>
    <w:basedOn w:val="DefaultParagraphFont"/>
    <w:link w:val="BalloonText"/>
    <w:semiHidden/>
    <w:rsid w:val="00B67B45"/>
    <w:rPr>
      <w:rFonts w:ascii="Tahoma" w:hAnsi="Tahoma" w:cs="Tahoma"/>
      <w:sz w:val="16"/>
      <w:szCs w:val="16"/>
    </w:rPr>
  </w:style>
  <w:style w:type="character" w:styleId="CommentReference">
    <w:name w:val="annotation reference"/>
    <w:basedOn w:val="DefaultParagraphFont"/>
    <w:semiHidden/>
    <w:unhideWhenUsed/>
    <w:rsid w:val="002C4423"/>
    <w:rPr>
      <w:sz w:val="16"/>
      <w:szCs w:val="16"/>
    </w:rPr>
  </w:style>
  <w:style w:type="paragraph" w:styleId="CommentText">
    <w:name w:val="annotation text"/>
    <w:basedOn w:val="Normal"/>
    <w:link w:val="CommentTextChar"/>
    <w:semiHidden/>
    <w:unhideWhenUsed/>
    <w:rsid w:val="002C4423"/>
    <w:rPr>
      <w:sz w:val="20"/>
      <w:szCs w:val="20"/>
    </w:rPr>
  </w:style>
  <w:style w:type="character" w:customStyle="1" w:styleId="CommentTextChar">
    <w:name w:val="Comment Text Char"/>
    <w:basedOn w:val="DefaultParagraphFont"/>
    <w:link w:val="CommentText"/>
    <w:semiHidden/>
    <w:rsid w:val="002C4423"/>
  </w:style>
  <w:style w:type="paragraph" w:styleId="CommentSubject">
    <w:name w:val="annotation subject"/>
    <w:basedOn w:val="CommentText"/>
    <w:next w:val="CommentText"/>
    <w:link w:val="CommentSubjectChar"/>
    <w:semiHidden/>
    <w:unhideWhenUsed/>
    <w:rsid w:val="002C4423"/>
    <w:rPr>
      <w:b/>
      <w:bCs/>
    </w:rPr>
  </w:style>
  <w:style w:type="character" w:customStyle="1" w:styleId="CommentSubjectChar">
    <w:name w:val="Comment Subject Char"/>
    <w:basedOn w:val="CommentTextChar"/>
    <w:link w:val="CommentSubject"/>
    <w:semiHidden/>
    <w:rsid w:val="002C4423"/>
    <w:rPr>
      <w:b/>
      <w:bCs/>
    </w:rPr>
  </w:style>
  <w:style w:type="paragraph" w:styleId="Header">
    <w:name w:val="header"/>
    <w:basedOn w:val="Normal"/>
    <w:link w:val="HeaderChar"/>
    <w:unhideWhenUsed/>
    <w:rsid w:val="00733019"/>
    <w:pPr>
      <w:tabs>
        <w:tab w:val="center" w:pos="4680"/>
        <w:tab w:val="right" w:pos="9360"/>
      </w:tabs>
    </w:pPr>
  </w:style>
  <w:style w:type="character" w:customStyle="1" w:styleId="HeaderChar">
    <w:name w:val="Header Char"/>
    <w:basedOn w:val="DefaultParagraphFont"/>
    <w:link w:val="Header"/>
    <w:rsid w:val="00733019"/>
    <w:rPr>
      <w:sz w:val="24"/>
      <w:szCs w:val="24"/>
    </w:rPr>
  </w:style>
  <w:style w:type="paragraph" w:styleId="Footer">
    <w:name w:val="footer"/>
    <w:basedOn w:val="Normal"/>
    <w:link w:val="FooterChar"/>
    <w:unhideWhenUsed/>
    <w:rsid w:val="00733019"/>
    <w:pPr>
      <w:tabs>
        <w:tab w:val="center" w:pos="4680"/>
        <w:tab w:val="right" w:pos="9360"/>
      </w:tabs>
    </w:pPr>
  </w:style>
  <w:style w:type="character" w:customStyle="1" w:styleId="FooterChar">
    <w:name w:val="Footer Char"/>
    <w:basedOn w:val="DefaultParagraphFont"/>
    <w:link w:val="Footer"/>
    <w:rsid w:val="00733019"/>
    <w:rPr>
      <w:sz w:val="24"/>
      <w:szCs w:val="24"/>
    </w:rPr>
  </w:style>
  <w:style w:type="paragraph" w:customStyle="1" w:styleId="ParaNum">
    <w:name w:val="ParaNum"/>
    <w:basedOn w:val="Normal"/>
    <w:link w:val="ParaNumChar"/>
    <w:rsid w:val="008D20A9"/>
    <w:pPr>
      <w:widowControl w:val="0"/>
      <w:numPr>
        <w:ilvl w:val="8"/>
        <w:numId w:val="2"/>
      </w:numPr>
      <w:tabs>
        <w:tab w:val="num" w:pos="1080"/>
      </w:tabs>
      <w:spacing w:after="120"/>
      <w:ind w:left="0" w:firstLine="720"/>
    </w:pPr>
    <w:rPr>
      <w:snapToGrid w:val="0"/>
      <w:kern w:val="28"/>
      <w:sz w:val="22"/>
      <w:szCs w:val="20"/>
    </w:rPr>
  </w:style>
  <w:style w:type="character" w:customStyle="1" w:styleId="ParaNumChar">
    <w:name w:val="ParaNum Char"/>
    <w:link w:val="ParaNum"/>
    <w:rsid w:val="008D20A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B67B45"/>
    <w:rPr>
      <w:rFonts w:ascii="Tahoma" w:hAnsi="Tahoma" w:cs="Tahoma"/>
      <w:sz w:val="16"/>
      <w:szCs w:val="16"/>
    </w:rPr>
  </w:style>
  <w:style w:type="character" w:customStyle="1" w:styleId="BalloonTextChar">
    <w:name w:val="Balloon Text Char"/>
    <w:basedOn w:val="DefaultParagraphFont"/>
    <w:link w:val="BalloonText"/>
    <w:semiHidden/>
    <w:rsid w:val="00B67B45"/>
    <w:rPr>
      <w:rFonts w:ascii="Tahoma" w:hAnsi="Tahoma" w:cs="Tahoma"/>
      <w:sz w:val="16"/>
      <w:szCs w:val="16"/>
    </w:rPr>
  </w:style>
  <w:style w:type="character" w:styleId="CommentReference">
    <w:name w:val="annotation reference"/>
    <w:basedOn w:val="DefaultParagraphFont"/>
    <w:semiHidden/>
    <w:unhideWhenUsed/>
    <w:rsid w:val="002C4423"/>
    <w:rPr>
      <w:sz w:val="16"/>
      <w:szCs w:val="16"/>
    </w:rPr>
  </w:style>
  <w:style w:type="paragraph" w:styleId="CommentText">
    <w:name w:val="annotation text"/>
    <w:basedOn w:val="Normal"/>
    <w:link w:val="CommentTextChar"/>
    <w:semiHidden/>
    <w:unhideWhenUsed/>
    <w:rsid w:val="002C4423"/>
    <w:rPr>
      <w:sz w:val="20"/>
      <w:szCs w:val="20"/>
    </w:rPr>
  </w:style>
  <w:style w:type="character" w:customStyle="1" w:styleId="CommentTextChar">
    <w:name w:val="Comment Text Char"/>
    <w:basedOn w:val="DefaultParagraphFont"/>
    <w:link w:val="CommentText"/>
    <w:semiHidden/>
    <w:rsid w:val="002C4423"/>
  </w:style>
  <w:style w:type="paragraph" w:styleId="CommentSubject">
    <w:name w:val="annotation subject"/>
    <w:basedOn w:val="CommentText"/>
    <w:next w:val="CommentText"/>
    <w:link w:val="CommentSubjectChar"/>
    <w:semiHidden/>
    <w:unhideWhenUsed/>
    <w:rsid w:val="002C4423"/>
    <w:rPr>
      <w:b/>
      <w:bCs/>
    </w:rPr>
  </w:style>
  <w:style w:type="character" w:customStyle="1" w:styleId="CommentSubjectChar">
    <w:name w:val="Comment Subject Char"/>
    <w:basedOn w:val="CommentTextChar"/>
    <w:link w:val="CommentSubject"/>
    <w:semiHidden/>
    <w:rsid w:val="002C4423"/>
    <w:rPr>
      <w:b/>
      <w:bCs/>
    </w:rPr>
  </w:style>
  <w:style w:type="paragraph" w:styleId="Header">
    <w:name w:val="header"/>
    <w:basedOn w:val="Normal"/>
    <w:link w:val="HeaderChar"/>
    <w:unhideWhenUsed/>
    <w:rsid w:val="00733019"/>
    <w:pPr>
      <w:tabs>
        <w:tab w:val="center" w:pos="4680"/>
        <w:tab w:val="right" w:pos="9360"/>
      </w:tabs>
    </w:pPr>
  </w:style>
  <w:style w:type="character" w:customStyle="1" w:styleId="HeaderChar">
    <w:name w:val="Header Char"/>
    <w:basedOn w:val="DefaultParagraphFont"/>
    <w:link w:val="Header"/>
    <w:rsid w:val="00733019"/>
    <w:rPr>
      <w:sz w:val="24"/>
      <w:szCs w:val="24"/>
    </w:rPr>
  </w:style>
  <w:style w:type="paragraph" w:styleId="Footer">
    <w:name w:val="footer"/>
    <w:basedOn w:val="Normal"/>
    <w:link w:val="FooterChar"/>
    <w:unhideWhenUsed/>
    <w:rsid w:val="00733019"/>
    <w:pPr>
      <w:tabs>
        <w:tab w:val="center" w:pos="4680"/>
        <w:tab w:val="right" w:pos="9360"/>
      </w:tabs>
    </w:pPr>
  </w:style>
  <w:style w:type="character" w:customStyle="1" w:styleId="FooterChar">
    <w:name w:val="Footer Char"/>
    <w:basedOn w:val="DefaultParagraphFont"/>
    <w:link w:val="Footer"/>
    <w:rsid w:val="00733019"/>
    <w:rPr>
      <w:sz w:val="24"/>
      <w:szCs w:val="24"/>
    </w:rPr>
  </w:style>
  <w:style w:type="paragraph" w:customStyle="1" w:styleId="ParaNum">
    <w:name w:val="ParaNum"/>
    <w:basedOn w:val="Normal"/>
    <w:link w:val="ParaNumChar"/>
    <w:rsid w:val="008D20A9"/>
    <w:pPr>
      <w:widowControl w:val="0"/>
      <w:numPr>
        <w:ilvl w:val="8"/>
        <w:numId w:val="2"/>
      </w:numPr>
      <w:tabs>
        <w:tab w:val="num" w:pos="1080"/>
      </w:tabs>
      <w:spacing w:after="120"/>
      <w:ind w:left="0" w:firstLine="720"/>
    </w:pPr>
    <w:rPr>
      <w:snapToGrid w:val="0"/>
      <w:kern w:val="28"/>
      <w:sz w:val="22"/>
      <w:szCs w:val="20"/>
    </w:rPr>
  </w:style>
  <w:style w:type="character" w:customStyle="1" w:styleId="ParaNumChar">
    <w:name w:val="ParaNum Char"/>
    <w:link w:val="ParaNum"/>
    <w:rsid w:val="008D20A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507">
      <w:bodyDiv w:val="1"/>
      <w:marLeft w:val="0"/>
      <w:marRight w:val="0"/>
      <w:marTop w:val="0"/>
      <w:marBottom w:val="0"/>
      <w:divBdr>
        <w:top w:val="none" w:sz="0" w:space="0" w:color="auto"/>
        <w:left w:val="none" w:sz="0" w:space="0" w:color="auto"/>
        <w:bottom w:val="none" w:sz="0" w:space="0" w:color="auto"/>
        <w:right w:val="none" w:sz="0" w:space="0" w:color="auto"/>
      </w:divBdr>
    </w:div>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30844970">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1675">
      <w:bodyDiv w:val="1"/>
      <w:marLeft w:val="0"/>
      <w:marRight w:val="0"/>
      <w:marTop w:val="0"/>
      <w:marBottom w:val="0"/>
      <w:divBdr>
        <w:top w:val="none" w:sz="0" w:space="0" w:color="auto"/>
        <w:left w:val="none" w:sz="0" w:space="0" w:color="auto"/>
        <w:bottom w:val="none" w:sz="0" w:space="0" w:color="auto"/>
        <w:right w:val="none" w:sz="0" w:space="0" w:color="auto"/>
      </w:divBdr>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778</Words>
  <Characters>4623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5420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2015-07-24T18:23:00Z</dcterms:created>
  <dcterms:modified xsi:type="dcterms:W3CDTF">2015-07-24T18:23:00Z</dcterms:modified>
  <cp:category> </cp:category>
  <cp:contentStatus> </cp:contentStatus>
</cp:coreProperties>
</file>