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50" w:rsidRDefault="00F01750" w:rsidP="00F01750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F01750" w:rsidRDefault="00F01750" w:rsidP="00F01750">
      <w:pPr>
        <w:jc w:val="center"/>
        <w:rPr>
          <w:b/>
        </w:rPr>
      </w:pPr>
      <w:r>
        <w:rPr>
          <w:b/>
        </w:rPr>
        <w:t>Federal Communications Commission</w:t>
      </w:r>
    </w:p>
    <w:p w:rsidR="00F01750" w:rsidRDefault="00F01750" w:rsidP="00F01750">
      <w:pPr>
        <w:jc w:val="center"/>
        <w:rPr>
          <w:b/>
        </w:rPr>
      </w:pPr>
      <w:r>
        <w:rPr>
          <w:b/>
        </w:rPr>
        <w:t>Washington, D.C. 20554</w:t>
      </w:r>
    </w:p>
    <w:p w:rsidR="00F01750" w:rsidRDefault="00F01750" w:rsidP="00F01750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F01750" w:rsidTr="00D56103">
        <w:trPr>
          <w:trHeight w:val="7470"/>
        </w:trPr>
        <w:tc>
          <w:tcPr>
            <w:tcW w:w="4698" w:type="dxa"/>
          </w:tcPr>
          <w:p w:rsidR="00F01750" w:rsidRDefault="00F01750" w:rsidP="00D56103">
            <w:pPr>
              <w:ind w:right="-18"/>
            </w:pPr>
            <w:r>
              <w:t>In the Matter of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 xml:space="preserve">Rules and Regulations Implementing the </w:t>
            </w:r>
          </w:p>
          <w:p w:rsidR="00F01750" w:rsidRDefault="00F01750" w:rsidP="00D56103">
            <w:pPr>
              <w:ind w:right="-18"/>
            </w:pPr>
            <w:r>
              <w:t>Telephone Consumer Protection Act of 1991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American Association of Healthcare Administrative Management</w:t>
            </w:r>
          </w:p>
          <w:p w:rsidR="00F01750" w:rsidRDefault="00F01750" w:rsidP="00D56103">
            <w:pPr>
              <w:ind w:right="-18"/>
            </w:pPr>
            <w:r>
              <w:t>Petition for Expedited Declaratory Ruling and Exemption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American Bankers Association</w:t>
            </w:r>
          </w:p>
          <w:p w:rsidR="00F01750" w:rsidRDefault="00F01750" w:rsidP="00D56103">
            <w:pPr>
              <w:ind w:right="-18"/>
            </w:pPr>
            <w:r>
              <w:t>Petition for Exemption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Coalition of Mobile Engagement Providers</w:t>
            </w:r>
          </w:p>
          <w:p w:rsidR="00F01750" w:rsidRDefault="00F01750" w:rsidP="00D56103">
            <w:pPr>
              <w:ind w:right="-18"/>
            </w:pPr>
            <w:r>
              <w:t>Petition for Declaratory Ruling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Consumer Bankers Association</w:t>
            </w:r>
          </w:p>
          <w:p w:rsidR="00F01750" w:rsidRDefault="00F01750" w:rsidP="00D56103">
            <w:pPr>
              <w:ind w:right="-18"/>
            </w:pPr>
            <w:r>
              <w:t>Petition for Declaratory Ruling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Direct Marketing Association</w:t>
            </w:r>
          </w:p>
          <w:p w:rsidR="00F01750" w:rsidRDefault="00F01750" w:rsidP="00D56103">
            <w:pPr>
              <w:ind w:right="-18"/>
            </w:pPr>
            <w:r>
              <w:t xml:space="preserve">Petition for Forbearance and </w:t>
            </w:r>
          </w:p>
          <w:p w:rsidR="00F01750" w:rsidRDefault="00F01750" w:rsidP="00D56103">
            <w:pPr>
              <w:ind w:right="-18"/>
            </w:pPr>
            <w:r>
              <w:t>Emergency Petition for Special Temporary Relief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Paul D. S. Edwards</w:t>
            </w:r>
          </w:p>
          <w:p w:rsidR="00F01750" w:rsidRDefault="00F01750" w:rsidP="00D56103">
            <w:pPr>
              <w:ind w:right="-18"/>
            </w:pPr>
            <w:r>
              <w:t xml:space="preserve">Petition for Expedited Clarification and </w:t>
            </w:r>
          </w:p>
          <w:p w:rsidR="00F01750" w:rsidRDefault="00F01750" w:rsidP="00D56103">
            <w:pPr>
              <w:ind w:right="-18"/>
            </w:pPr>
            <w:r>
              <w:t>Declaratory Ruling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Milton H. Fried, Jr., and Richard Evans</w:t>
            </w:r>
          </w:p>
          <w:p w:rsidR="00F01750" w:rsidRDefault="00F01750" w:rsidP="00D56103">
            <w:pPr>
              <w:ind w:right="-18"/>
            </w:pPr>
            <w:r>
              <w:t>Petition for Expedited Declaratory Ruling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Glide Talk, Ltd.</w:t>
            </w:r>
          </w:p>
          <w:p w:rsidR="00F01750" w:rsidRDefault="00F01750" w:rsidP="00D56103">
            <w:pPr>
              <w:ind w:right="-18"/>
            </w:pPr>
            <w:r>
              <w:t>Petition for Expedited Declaratory Ruling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Global Tel*Link Corporation</w:t>
            </w:r>
          </w:p>
          <w:p w:rsidR="00F01750" w:rsidRDefault="00F01750" w:rsidP="00D56103">
            <w:pPr>
              <w:ind w:right="-18"/>
            </w:pPr>
            <w:r>
              <w:t xml:space="preserve">Petition for Expedited Clarification and Declaratory Ruling 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National Association of Attorneys General</w:t>
            </w:r>
          </w:p>
          <w:p w:rsidR="00F01750" w:rsidRDefault="00F01750" w:rsidP="00D56103">
            <w:pPr>
              <w:ind w:right="-18"/>
            </w:pPr>
            <w:r>
              <w:t>Request for Clarification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Professional Association for Customer Engagement</w:t>
            </w:r>
          </w:p>
          <w:p w:rsidR="00F01750" w:rsidRDefault="00F01750" w:rsidP="00D56103">
            <w:pPr>
              <w:ind w:right="-18"/>
            </w:pPr>
            <w:r>
              <w:t>Petition for Expedited Declaratory Ruling and/or Expedited Rulemaking</w:t>
            </w:r>
          </w:p>
          <w:p w:rsidR="00F01750" w:rsidRDefault="00F01750" w:rsidP="00D56103">
            <w:pPr>
              <w:ind w:right="-18"/>
            </w:pPr>
            <w:r>
              <w:br/>
              <w:t>Retail Industry Leaders Association</w:t>
            </w:r>
          </w:p>
          <w:p w:rsidR="00F01750" w:rsidRDefault="00F01750" w:rsidP="00D56103">
            <w:pPr>
              <w:ind w:right="-18"/>
            </w:pPr>
            <w:r>
              <w:t>Petition for Declaratory Ruling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br/>
            </w:r>
          </w:p>
          <w:p w:rsidR="00F01750" w:rsidRDefault="00F01750" w:rsidP="00D56103">
            <w:pPr>
              <w:ind w:right="-18"/>
            </w:pPr>
            <w:r>
              <w:t>Revolution Messaging</w:t>
            </w:r>
          </w:p>
          <w:p w:rsidR="00F01750" w:rsidRDefault="00F01750" w:rsidP="00D56103">
            <w:pPr>
              <w:ind w:right="-18"/>
            </w:pPr>
            <w:r>
              <w:t>Petition for Expedited Clarification and Declaratory Ruling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Rubio’s Restaurant, Inc.</w:t>
            </w:r>
          </w:p>
          <w:p w:rsidR="00F01750" w:rsidRDefault="00F01750" w:rsidP="00D56103">
            <w:pPr>
              <w:ind w:right="-18"/>
            </w:pPr>
            <w:r>
              <w:t>Petition for Expedited Declaratory Ruling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Santander Consumer USA, Inc.</w:t>
            </w:r>
          </w:p>
          <w:p w:rsidR="00F01750" w:rsidRDefault="00F01750" w:rsidP="00D56103">
            <w:pPr>
              <w:ind w:right="-18"/>
            </w:pPr>
            <w:r>
              <w:t>Petition for Expedited Declaratory Ruling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Stage Stores, Inc.</w:t>
            </w:r>
          </w:p>
          <w:p w:rsidR="00F01750" w:rsidRDefault="00F01750" w:rsidP="00D56103">
            <w:pPr>
              <w:ind w:right="-18"/>
            </w:pPr>
            <w:r>
              <w:t>Petition for Expedited Declaratory Ruling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TextMe, Inc.</w:t>
            </w:r>
          </w:p>
          <w:p w:rsidR="00F01750" w:rsidRDefault="00F01750" w:rsidP="00D56103">
            <w:pPr>
              <w:ind w:right="-18"/>
            </w:pPr>
            <w:r>
              <w:t>Petition for Expedited Declaratory Ruling and Clarification</w:t>
            </w:r>
          </w:p>
          <w:p w:rsidR="00F01750" w:rsidRDefault="00F01750" w:rsidP="00D56103">
            <w:pPr>
              <w:tabs>
                <w:tab w:val="center" w:pos="4320"/>
                <w:tab w:val="right" w:pos="8640"/>
              </w:tabs>
              <w:ind w:right="-18"/>
            </w:pPr>
          </w:p>
          <w:p w:rsidR="00F01750" w:rsidRDefault="00F01750" w:rsidP="00D56103">
            <w:pPr>
              <w:ind w:right="-18"/>
            </w:pPr>
            <w:r>
              <w:t>United Healthcare Services, Inc.</w:t>
            </w:r>
          </w:p>
          <w:p w:rsidR="00F01750" w:rsidRDefault="00F01750" w:rsidP="00D56103">
            <w:pPr>
              <w:ind w:right="-18"/>
            </w:pPr>
            <w:r>
              <w:t>Petition for Expedited Declaratory Ruling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YouMail, Inc.</w:t>
            </w:r>
          </w:p>
          <w:p w:rsidR="00F01750" w:rsidRDefault="00F01750" w:rsidP="00D56103">
            <w:pPr>
              <w:ind w:right="-18"/>
            </w:pPr>
            <w:r>
              <w:t>Petition for Expedited Declaratory Ruling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>3G Collect, Inc., and 3G Collect LLC</w:t>
            </w:r>
          </w:p>
          <w:p w:rsidR="00F01750" w:rsidRDefault="00F01750" w:rsidP="00D56103">
            <w:pPr>
              <w:ind w:right="-18"/>
            </w:pPr>
            <w:r>
              <w:t xml:space="preserve">Petition for Expedited Declaratory Ruling </w:t>
            </w:r>
          </w:p>
          <w:p w:rsidR="00F01750" w:rsidRDefault="00F01750" w:rsidP="00D56103">
            <w:pPr>
              <w:ind w:right="-18"/>
            </w:pPr>
          </w:p>
          <w:p w:rsidR="00F01750" w:rsidRDefault="00F01750" w:rsidP="00D56103">
            <w:pPr>
              <w:ind w:right="-18"/>
            </w:pPr>
            <w:r>
              <w:t xml:space="preserve">ACA International </w:t>
            </w:r>
          </w:p>
          <w:p w:rsidR="00F01750" w:rsidRDefault="00F01750" w:rsidP="00D56103">
            <w:pPr>
              <w:ind w:right="-18"/>
            </w:pPr>
            <w:r>
              <w:t>Petition for Rulemaking</w:t>
            </w:r>
          </w:p>
          <w:p w:rsidR="00F01750" w:rsidRDefault="00F01750" w:rsidP="00D56103">
            <w:pPr>
              <w:ind w:right="-18"/>
            </w:pPr>
          </w:p>
        </w:tc>
        <w:tc>
          <w:tcPr>
            <w:tcW w:w="720" w:type="dxa"/>
          </w:tcPr>
          <w:p w:rsidR="00F01750" w:rsidRDefault="00F01750" w:rsidP="00D56103">
            <w:pPr>
              <w:rPr>
                <w:b/>
              </w:rPr>
            </w:pP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  <w:r>
              <w:rPr>
                <w:b/>
              </w:rPr>
              <w:br/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lastRenderedPageBreak/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  <w:r>
              <w:rPr>
                <w:b/>
              </w:rPr>
              <w:br/>
              <w:t>)</w:t>
            </w:r>
            <w:r>
              <w:rPr>
                <w:b/>
              </w:rPr>
              <w:br/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F01750" w:rsidRDefault="00F01750" w:rsidP="00D56103">
            <w:pPr>
              <w:tabs>
                <w:tab w:val="num" w:pos="1440"/>
              </w:tabs>
              <w:spacing w:after="120"/>
              <w:ind w:left="540"/>
              <w:rPr>
                <w:b/>
              </w:rPr>
            </w:pPr>
          </w:p>
        </w:tc>
        <w:tc>
          <w:tcPr>
            <w:tcW w:w="4230" w:type="dxa"/>
          </w:tcPr>
          <w:p w:rsidR="00F01750" w:rsidRDefault="00F01750" w:rsidP="00D56103"/>
          <w:p w:rsidR="00F01750" w:rsidRDefault="00F01750" w:rsidP="00D56103"/>
          <w:p w:rsidR="00F01750" w:rsidRDefault="00F01750" w:rsidP="00D56103"/>
          <w:p w:rsidR="00F01750" w:rsidRDefault="00F01750" w:rsidP="00D56103"/>
          <w:p w:rsidR="00F01750" w:rsidRDefault="00F01750" w:rsidP="00D56103"/>
          <w:p w:rsidR="00F01750" w:rsidRDefault="00F01750" w:rsidP="00D56103"/>
          <w:p w:rsidR="00F01750" w:rsidRDefault="00F01750" w:rsidP="00D56103"/>
          <w:p w:rsidR="00F01750" w:rsidRDefault="00F01750" w:rsidP="00D56103"/>
          <w:p w:rsidR="00F01750" w:rsidRDefault="00F01750" w:rsidP="00D56103"/>
          <w:p w:rsidR="00F01750" w:rsidRDefault="00F01750" w:rsidP="00D56103"/>
          <w:p w:rsidR="00F01750" w:rsidRDefault="00F01750" w:rsidP="00D56103">
            <w:r>
              <w:t>CG Docket No. 02-278</w:t>
            </w:r>
          </w:p>
          <w:p w:rsidR="00F01750" w:rsidRDefault="00F01750" w:rsidP="00D56103"/>
          <w:p w:rsidR="00F01750" w:rsidRDefault="00F01750" w:rsidP="00D56103">
            <w:r>
              <w:t>WC Docket No. 07-135</w:t>
            </w:r>
          </w:p>
          <w:p w:rsidR="00F01750" w:rsidRDefault="00F01750" w:rsidP="00D56103"/>
          <w:p w:rsidR="00F01750" w:rsidRDefault="00F01750" w:rsidP="00D56103"/>
        </w:tc>
      </w:tr>
    </w:tbl>
    <w:p w:rsidR="00F01750" w:rsidRDefault="00F01750" w:rsidP="00F01750">
      <w:pPr>
        <w:spacing w:before="120"/>
        <w:jc w:val="center"/>
        <w:rPr>
          <w:b/>
        </w:rPr>
      </w:pPr>
      <w:r>
        <w:rPr>
          <w:b/>
          <w:spacing w:val="-2"/>
        </w:rPr>
        <w:lastRenderedPageBreak/>
        <w:t>ERRATUM</w:t>
      </w:r>
    </w:p>
    <w:p w:rsidR="00F01750" w:rsidRDefault="00F01750" w:rsidP="00F01750">
      <w:pPr>
        <w:tabs>
          <w:tab w:val="left" w:pos="5760"/>
        </w:tabs>
        <w:rPr>
          <w:b/>
        </w:rPr>
      </w:pPr>
    </w:p>
    <w:p w:rsidR="00F01750" w:rsidRDefault="00F01750" w:rsidP="00760FBF">
      <w:pPr>
        <w:suppressAutoHyphens/>
        <w:spacing w:line="227" w:lineRule="auto"/>
        <w:jc w:val="right"/>
        <w:rPr>
          <w:spacing w:val="-2"/>
        </w:rPr>
      </w:pPr>
      <w:r>
        <w:rPr>
          <w:b/>
          <w:spacing w:val="-2"/>
        </w:rPr>
        <w:t>Released:  July 28, 2015</w:t>
      </w:r>
    </w:p>
    <w:p w:rsidR="00F01750" w:rsidRDefault="00F01750" w:rsidP="00F01750">
      <w:pPr>
        <w:tabs>
          <w:tab w:val="left" w:pos="5760"/>
        </w:tabs>
      </w:pPr>
    </w:p>
    <w:p w:rsidR="00F01750" w:rsidRDefault="00F01750" w:rsidP="00F01750">
      <w:r>
        <w:t xml:space="preserve">By the Acting </w:t>
      </w:r>
      <w:r>
        <w:rPr>
          <w:spacing w:val="-2"/>
        </w:rPr>
        <w:t>Chief</w:t>
      </w:r>
      <w:r>
        <w:t>, Consumer and Governmental Affairs Bureau:</w:t>
      </w:r>
    </w:p>
    <w:p w:rsidR="00F01750" w:rsidRPr="00A816A9" w:rsidRDefault="00F01750" w:rsidP="00F01750">
      <w:pPr>
        <w:rPr>
          <w:snapToGrid/>
          <w:kern w:val="0"/>
          <w:szCs w:val="22"/>
        </w:rPr>
      </w:pPr>
    </w:p>
    <w:p w:rsidR="00F01750" w:rsidRDefault="00F01750" w:rsidP="00F01750">
      <w:pPr>
        <w:pStyle w:val="ParaNum"/>
        <w:numPr>
          <w:ilvl w:val="0"/>
          <w:numId w:val="0"/>
        </w:numPr>
        <w:rPr>
          <w:snapToGrid/>
        </w:rPr>
      </w:pPr>
      <w:r>
        <w:rPr>
          <w:snapToGrid/>
        </w:rPr>
        <w:tab/>
        <w:t xml:space="preserve">On July 10, 2015, the Commission released a </w:t>
      </w:r>
      <w:r w:rsidRPr="00AB0A4F">
        <w:rPr>
          <w:i/>
          <w:snapToGrid/>
        </w:rPr>
        <w:t>Declaratory Ruling and Order</w:t>
      </w:r>
      <w:r>
        <w:rPr>
          <w:snapToGrid/>
        </w:rPr>
        <w:t xml:space="preserve">, FCC 15-72, in the above-captioned proceeding.  This Erratum </w:t>
      </w:r>
      <w:r w:rsidR="00081905">
        <w:rPr>
          <w:snapToGrid/>
        </w:rPr>
        <w:t>amend</w:t>
      </w:r>
      <w:r>
        <w:rPr>
          <w:snapToGrid/>
        </w:rPr>
        <w:t xml:space="preserve">s the </w:t>
      </w:r>
      <w:r w:rsidRPr="00AB0A4F">
        <w:rPr>
          <w:i/>
          <w:snapToGrid/>
        </w:rPr>
        <w:t>Declaratory Ruling and Order</w:t>
      </w:r>
      <w:r>
        <w:rPr>
          <w:snapToGrid/>
        </w:rPr>
        <w:t xml:space="preserve"> as </w:t>
      </w:r>
      <w:r w:rsidR="00081905">
        <w:rPr>
          <w:snapToGrid/>
        </w:rPr>
        <w:t>indicated be</w:t>
      </w:r>
      <w:r>
        <w:rPr>
          <w:snapToGrid/>
        </w:rPr>
        <w:t>low:</w:t>
      </w:r>
    </w:p>
    <w:p w:rsidR="00F01750" w:rsidRPr="00FF7E2F" w:rsidRDefault="00F01750" w:rsidP="00760FBF">
      <w:pPr>
        <w:pStyle w:val="ParaNum"/>
        <w:numPr>
          <w:ilvl w:val="0"/>
          <w:numId w:val="0"/>
        </w:numPr>
        <w:spacing w:after="240"/>
        <w:rPr>
          <w:snapToGrid/>
        </w:rPr>
      </w:pPr>
      <w:r>
        <w:tab/>
        <w:t xml:space="preserve">In </w:t>
      </w:r>
      <w:r w:rsidR="00081905">
        <w:t>P</w:t>
      </w:r>
      <w:r>
        <w:t xml:space="preserve">aragraph 100, </w:t>
      </w:r>
      <w:r w:rsidR="00081905">
        <w:t xml:space="preserve">the </w:t>
      </w:r>
      <w:r>
        <w:t>fourth sentence</w:t>
      </w:r>
      <w:r w:rsidR="00081905">
        <w:t xml:space="preserve"> is corrected to </w:t>
      </w:r>
      <w:r>
        <w:t>read</w:t>
      </w:r>
      <w:r w:rsidR="00081905">
        <w:t xml:space="preserve"> a</w:t>
      </w:r>
      <w:r>
        <w:t>s</w:t>
      </w:r>
      <w:r w:rsidR="00081905">
        <w:t xml:space="preserve"> follows</w:t>
      </w:r>
      <w:r>
        <w:t xml:space="preserve">: “It follows that the rule applies </w:t>
      </w:r>
      <w:r w:rsidRPr="00BB61EB">
        <w:rPr>
          <w:i/>
        </w:rPr>
        <w:t>per call</w:t>
      </w:r>
      <w:r>
        <w:t xml:space="preserve"> and that telemarketers should not rely on a consumer’s written consent obtained before the current rule took effect if that consent does not satisfy the current rule.”  </w:t>
      </w:r>
    </w:p>
    <w:p w:rsidR="00F01750" w:rsidRDefault="00081905" w:rsidP="00760FBF">
      <w:pPr>
        <w:keepNext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1750">
        <w:t>FEDERAL COMMUNICATIONS COMMISSION</w:t>
      </w:r>
    </w:p>
    <w:p w:rsidR="00F01750" w:rsidRDefault="00F01750" w:rsidP="00760FBF">
      <w:pPr>
        <w:keepNext/>
      </w:pPr>
    </w:p>
    <w:p w:rsidR="00F01750" w:rsidRDefault="00F01750" w:rsidP="00F01750">
      <w:r>
        <w:tab/>
      </w:r>
      <w:r>
        <w:tab/>
      </w:r>
      <w:r>
        <w:tab/>
      </w:r>
      <w:r>
        <w:tab/>
      </w:r>
    </w:p>
    <w:p w:rsidR="00F01750" w:rsidRDefault="00F01750" w:rsidP="00760FBF"/>
    <w:p w:rsidR="00F01750" w:rsidRDefault="00F01750" w:rsidP="00760FBF"/>
    <w:p w:rsidR="00F01750" w:rsidRDefault="00081905" w:rsidP="00760FB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1750">
        <w:t>Alison Kutler</w:t>
      </w:r>
    </w:p>
    <w:p w:rsidR="00F01750" w:rsidRDefault="00081905" w:rsidP="00760FB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1750">
        <w:t>Acting Chief</w:t>
      </w:r>
    </w:p>
    <w:p w:rsidR="002C00E8" w:rsidRPr="00F01750" w:rsidRDefault="00081905" w:rsidP="00760FBF">
      <w:pPr>
        <w:pStyle w:val="ParaNum"/>
        <w:numPr>
          <w:ilvl w:val="0"/>
          <w:numId w:val="0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1750">
        <w:t>Consumer and Governmental Affairs Bureau</w:t>
      </w:r>
    </w:p>
    <w:sectPr w:rsidR="002C00E8" w:rsidRPr="00F01750" w:rsidSect="00556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0A" w:rsidRDefault="0061180A">
      <w:pPr>
        <w:spacing w:line="20" w:lineRule="exact"/>
      </w:pPr>
    </w:p>
  </w:endnote>
  <w:endnote w:type="continuationSeparator" w:id="0">
    <w:p w:rsidR="0061180A" w:rsidRDefault="0061180A">
      <w:r>
        <w:t xml:space="preserve"> </w:t>
      </w:r>
    </w:p>
  </w:endnote>
  <w:endnote w:type="continuationNotice" w:id="1">
    <w:p w:rsidR="0061180A" w:rsidRDefault="0061180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12D38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0A" w:rsidRDefault="0061180A">
      <w:r>
        <w:separator/>
      </w:r>
    </w:p>
  </w:footnote>
  <w:footnote w:type="continuationSeparator" w:id="0">
    <w:p w:rsidR="0061180A" w:rsidRDefault="0061180A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61180A" w:rsidRDefault="0061180A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3D" w:rsidRDefault="004B5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</w:p>
  <w:p w:rsidR="00D25FB5" w:rsidRDefault="0008190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7AF9E2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081905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40686DB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7"/>
    <w:rsid w:val="00036039"/>
    <w:rsid w:val="00037F90"/>
    <w:rsid w:val="00081905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B5D3D"/>
    <w:rsid w:val="004C2EE3"/>
    <w:rsid w:val="004E4A22"/>
    <w:rsid w:val="00511968"/>
    <w:rsid w:val="0055614C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60FBF"/>
    <w:rsid w:val="00785689"/>
    <w:rsid w:val="0079754B"/>
    <w:rsid w:val="007A1E6D"/>
    <w:rsid w:val="007B0EB2"/>
    <w:rsid w:val="00810B6F"/>
    <w:rsid w:val="00822CE0"/>
    <w:rsid w:val="00841AB1"/>
    <w:rsid w:val="008C68F1"/>
    <w:rsid w:val="00912D38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1750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1">
    <w:name w:val="ParaNum Char1"/>
    <w:link w:val="ParaNum"/>
    <w:rsid w:val="00F01750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081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1905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1">
    <w:name w:val="ParaNum Char1"/>
    <w:link w:val="ParaNum"/>
    <w:rsid w:val="00F01750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081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1905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2204</Characters>
  <Application>Microsoft Office Word</Application>
  <DocSecurity>0</DocSecurity>
  <Lines>197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2558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2015-07-28T20:48:00Z</cp:lastPrinted>
  <dcterms:created xsi:type="dcterms:W3CDTF">2015-07-28T20:57:00Z</dcterms:created>
  <dcterms:modified xsi:type="dcterms:W3CDTF">2015-07-28T20:57:00Z</dcterms:modified>
  <cp:category> </cp:category>
  <cp:contentStatus> </cp:contentStatus>
</cp:coreProperties>
</file>