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FA57" w14:textId="77777777" w:rsidR="00494136" w:rsidRPr="003B59E3" w:rsidRDefault="00093362" w:rsidP="003B59E3">
      <w:pPr>
        <w:jc w:val="center"/>
        <w:rPr>
          <w:b/>
        </w:rPr>
      </w:pPr>
      <w:bookmarkStart w:id="0" w:name="_GoBack"/>
      <w:bookmarkEnd w:id="0"/>
      <w:r w:rsidRPr="003B59E3">
        <w:rPr>
          <w:b/>
        </w:rPr>
        <w:t>F</w:t>
      </w:r>
      <w:r w:rsidR="001226F3">
        <w:rPr>
          <w:b/>
        </w:rPr>
        <w:t>AQs</w:t>
      </w:r>
      <w:r w:rsidRPr="003B59E3">
        <w:rPr>
          <w:b/>
        </w:rPr>
        <w:t xml:space="preserve"> – </w:t>
      </w:r>
      <w:r w:rsidR="00C81F70">
        <w:rPr>
          <w:b/>
        </w:rPr>
        <w:t>Tele-Town Halls</w:t>
      </w:r>
    </w:p>
    <w:p w14:paraId="0426B11A" w14:textId="77777777" w:rsidR="00093362" w:rsidRDefault="00093362"/>
    <w:p w14:paraId="2DBE835E" w14:textId="2A034233" w:rsidR="000A4428" w:rsidRPr="005F3411" w:rsidRDefault="003436DF" w:rsidP="003B764B">
      <w:r w:rsidRPr="003B764B">
        <w:rPr>
          <w:i/>
        </w:rPr>
        <w:t>Summary:</w:t>
      </w:r>
      <w:r w:rsidRPr="005F3411">
        <w:t xml:space="preserve">  </w:t>
      </w:r>
      <w:r w:rsidR="00235B73" w:rsidRPr="00235B73">
        <w:rPr>
          <w:rFonts w:eastAsia="Times New Roman" w:cstheme="minorHAnsi"/>
        </w:rPr>
        <w:t xml:space="preserve"> </w:t>
      </w:r>
      <w:r w:rsidR="00235B73" w:rsidRPr="00C66098">
        <w:rPr>
          <w:rFonts w:eastAsia="Times New Roman" w:cstheme="minorHAnsi"/>
        </w:rPr>
        <w:t xml:space="preserve">There </w:t>
      </w:r>
      <w:r w:rsidR="00CF6873">
        <w:rPr>
          <w:rFonts w:eastAsia="Times New Roman" w:cstheme="minorHAnsi"/>
        </w:rPr>
        <w:t>is understandable</w:t>
      </w:r>
      <w:r w:rsidR="00235B73" w:rsidRPr="00C66098">
        <w:rPr>
          <w:rFonts w:eastAsia="Times New Roman" w:cstheme="minorHAnsi"/>
        </w:rPr>
        <w:t xml:space="preserve"> interest in how the </w:t>
      </w:r>
      <w:r w:rsidR="00D52972">
        <w:rPr>
          <w:rFonts w:eastAsia="Times New Roman" w:cstheme="minorHAnsi"/>
        </w:rPr>
        <w:t>Telephone Consumer Protection Act</w:t>
      </w:r>
      <w:r w:rsidR="000F602E">
        <w:rPr>
          <w:rFonts w:eastAsia="Times New Roman" w:cstheme="minorHAnsi"/>
        </w:rPr>
        <w:t>’s</w:t>
      </w:r>
      <w:r w:rsidR="00D52972">
        <w:rPr>
          <w:rFonts w:eastAsia="Times New Roman" w:cstheme="minorHAnsi"/>
        </w:rPr>
        <w:t xml:space="preserve"> (TCPA)</w:t>
      </w:r>
      <w:r w:rsidR="008D18A9" w:rsidDel="008D18A9">
        <w:rPr>
          <w:rStyle w:val="FootnoteReference"/>
          <w:rFonts w:eastAsia="Times New Roman" w:cstheme="minorHAnsi"/>
        </w:rPr>
        <w:t xml:space="preserve"> </w:t>
      </w:r>
      <w:r w:rsidR="008D18A9">
        <w:rPr>
          <w:rFonts w:eastAsia="Times New Roman" w:cstheme="minorHAnsi"/>
        </w:rPr>
        <w:t xml:space="preserve"> </w:t>
      </w:r>
      <w:r w:rsidR="000F602E" w:rsidRPr="00C66098">
        <w:rPr>
          <w:rFonts w:eastAsia="Times New Roman" w:cstheme="minorHAnsi"/>
        </w:rPr>
        <w:t>robocall restrict</w:t>
      </w:r>
      <w:r w:rsidR="000F602E">
        <w:rPr>
          <w:rFonts w:eastAsia="Times New Roman" w:cstheme="minorHAnsi"/>
        </w:rPr>
        <w:t xml:space="preserve">ions </w:t>
      </w:r>
      <w:r w:rsidR="000A4428">
        <w:rPr>
          <w:rFonts w:eastAsia="Times New Roman" w:cstheme="minorHAnsi"/>
        </w:rPr>
        <w:t>apply to calls made by</w:t>
      </w:r>
      <w:r w:rsidR="00D52972">
        <w:rPr>
          <w:rFonts w:eastAsia="Times New Roman" w:cstheme="minorHAnsi"/>
        </w:rPr>
        <w:t>, or on behalf of,</w:t>
      </w:r>
      <w:r w:rsidR="000A4428">
        <w:rPr>
          <w:rFonts w:eastAsia="Times New Roman" w:cstheme="minorHAnsi"/>
        </w:rPr>
        <w:t xml:space="preserve"> the </w:t>
      </w:r>
      <w:r w:rsidR="00235B73" w:rsidRPr="00C66098">
        <w:rPr>
          <w:rFonts w:eastAsia="Times New Roman" w:cstheme="minorHAnsi"/>
        </w:rPr>
        <w:t xml:space="preserve">federal government, including </w:t>
      </w:r>
      <w:r w:rsidR="000A4428">
        <w:rPr>
          <w:rFonts w:eastAsia="Times New Roman" w:cstheme="minorHAnsi"/>
        </w:rPr>
        <w:t>mass</w:t>
      </w:r>
      <w:r w:rsidR="000F602E">
        <w:rPr>
          <w:rFonts w:eastAsia="Times New Roman" w:cstheme="minorHAnsi"/>
        </w:rPr>
        <w:t>-</w:t>
      </w:r>
      <w:r w:rsidR="000A4428">
        <w:rPr>
          <w:rFonts w:eastAsia="Times New Roman" w:cstheme="minorHAnsi"/>
        </w:rPr>
        <w:t xml:space="preserve">participant </w:t>
      </w:r>
      <w:r w:rsidR="00235B73" w:rsidRPr="00C66098">
        <w:rPr>
          <w:rFonts w:eastAsia="Times New Roman" w:cstheme="minorHAnsi"/>
        </w:rPr>
        <w:t xml:space="preserve">calls made by federal legislators </w:t>
      </w:r>
      <w:r w:rsidR="000A4428">
        <w:rPr>
          <w:rFonts w:eastAsia="Times New Roman" w:cstheme="minorHAnsi"/>
        </w:rPr>
        <w:t>to discuss issues and gather input from their constituents</w:t>
      </w:r>
      <w:r w:rsidR="00235B73" w:rsidRPr="00C66098">
        <w:rPr>
          <w:rFonts w:eastAsia="Times New Roman" w:cstheme="minorHAnsi"/>
        </w:rPr>
        <w:t xml:space="preserve"> (</w:t>
      </w:r>
      <w:r w:rsidR="000A4428">
        <w:rPr>
          <w:rFonts w:eastAsia="Times New Roman" w:cstheme="minorHAnsi"/>
        </w:rPr>
        <w:t>commonly referred to as</w:t>
      </w:r>
      <w:r w:rsidR="00235B73" w:rsidRPr="00C66098">
        <w:rPr>
          <w:rFonts w:eastAsia="Times New Roman" w:cstheme="minorHAnsi"/>
        </w:rPr>
        <w:t xml:space="preserve"> “tele-town halls”).</w:t>
      </w:r>
      <w:r w:rsidR="000A4428">
        <w:rPr>
          <w:rFonts w:eastAsia="Times New Roman" w:cstheme="minorHAnsi"/>
        </w:rPr>
        <w:t xml:space="preserve">  </w:t>
      </w:r>
      <w:r w:rsidR="008D18A9">
        <w:t>The Commission is considering a proposed ruling on a petition asking for a formal clarification</w:t>
      </w:r>
      <w:r w:rsidR="008D18A9" w:rsidRPr="00C66098">
        <w:t xml:space="preserve"> </w:t>
      </w:r>
      <w:r w:rsidR="000A4428">
        <w:t xml:space="preserve">of how tele-town halls </w:t>
      </w:r>
      <w:r w:rsidR="00CF6873">
        <w:t xml:space="preserve">comply with the </w:t>
      </w:r>
      <w:r w:rsidR="00D52972">
        <w:t>TCPA</w:t>
      </w:r>
      <w:r w:rsidR="00235B73">
        <w:t xml:space="preserve">, and </w:t>
      </w:r>
      <w:r w:rsidR="00235B73" w:rsidRPr="009A6E05">
        <w:t>the Supreme Court</w:t>
      </w:r>
      <w:r w:rsidR="00235B73" w:rsidRPr="00C66098">
        <w:t xml:space="preserve"> </w:t>
      </w:r>
      <w:r w:rsidR="00235B73">
        <w:t xml:space="preserve">recently </w:t>
      </w:r>
      <w:r w:rsidR="00235B73" w:rsidRPr="009A6E05">
        <w:t xml:space="preserve">decided a </w:t>
      </w:r>
      <w:r w:rsidR="00235B73">
        <w:t xml:space="preserve">relevant </w:t>
      </w:r>
      <w:r w:rsidR="00235B73" w:rsidRPr="009A6E05">
        <w:t>case</w:t>
      </w:r>
      <w:r w:rsidR="000F602E" w:rsidRPr="009A6E05">
        <w:t xml:space="preserve">, </w:t>
      </w:r>
      <w:r w:rsidR="000F602E" w:rsidRPr="009A6E05">
        <w:rPr>
          <w:i/>
        </w:rPr>
        <w:t xml:space="preserve">Campbell-Ewald </w:t>
      </w:r>
      <w:r w:rsidR="000F602E">
        <w:rPr>
          <w:i/>
        </w:rPr>
        <w:t xml:space="preserve">Co. </w:t>
      </w:r>
      <w:r w:rsidR="000F602E" w:rsidRPr="009A6E05">
        <w:rPr>
          <w:i/>
        </w:rPr>
        <w:t>v. Gomez</w:t>
      </w:r>
      <w:r w:rsidR="000F602E">
        <w:rPr>
          <w:i/>
        </w:rPr>
        <w:t>,</w:t>
      </w:r>
      <w:r w:rsidR="00235B73" w:rsidRPr="009A6E05">
        <w:t xml:space="preserve"> involving robocalls made by a </w:t>
      </w:r>
      <w:r w:rsidR="00235B73">
        <w:t xml:space="preserve">federal </w:t>
      </w:r>
      <w:r w:rsidR="00235B73" w:rsidRPr="009A6E05">
        <w:t>government contractor.</w:t>
      </w:r>
      <w:r w:rsidR="00235B73" w:rsidRPr="00C66098">
        <w:t xml:space="preserve">  The Commission is now reviewing how that </w:t>
      </w:r>
      <w:r w:rsidR="00CF6873">
        <w:t xml:space="preserve">judicial </w:t>
      </w:r>
      <w:r w:rsidR="00235B73" w:rsidRPr="00C66098">
        <w:t>decision impacts the</w:t>
      </w:r>
      <w:r w:rsidR="002250B5">
        <w:t xml:space="preserve"> </w:t>
      </w:r>
      <w:r w:rsidR="00CF6873">
        <w:t>pending request on tele-town halls.</w:t>
      </w:r>
      <w:r w:rsidR="005E1EA2">
        <w:t xml:space="preserve"> </w:t>
      </w:r>
      <w:r w:rsidR="008141A2">
        <w:t>B</w:t>
      </w:r>
      <w:r w:rsidR="000A4428">
        <w:t>elow is</w:t>
      </w:r>
      <w:r w:rsidR="00D52972">
        <w:t xml:space="preserve"> a short Q&amp;A that we hope</w:t>
      </w:r>
      <w:r w:rsidR="001A7018">
        <w:t xml:space="preserve"> will</w:t>
      </w:r>
      <w:r w:rsidR="00D52972">
        <w:t xml:space="preserve"> </w:t>
      </w:r>
      <w:r w:rsidR="000A4428">
        <w:t xml:space="preserve">provide some </w:t>
      </w:r>
      <w:r w:rsidR="00CF6873">
        <w:t xml:space="preserve">interim information </w:t>
      </w:r>
      <w:r w:rsidR="000A4428">
        <w:t>on the issue</w:t>
      </w:r>
      <w:r w:rsidR="00D52972">
        <w:t xml:space="preserve">.  </w:t>
      </w:r>
      <w:r w:rsidR="00CF6873">
        <w:t>Once the Commission completes its review and vote</w:t>
      </w:r>
      <w:r w:rsidR="001A7018">
        <w:t>s</w:t>
      </w:r>
      <w:r w:rsidR="00CF6873">
        <w:t xml:space="preserve"> on the request described above, this material will be updated. </w:t>
      </w:r>
    </w:p>
    <w:p w14:paraId="00C27EF9" w14:textId="77777777" w:rsidR="003436DF" w:rsidRDefault="003436DF"/>
    <w:p w14:paraId="408DD76C" w14:textId="75B08844" w:rsidR="0072046C" w:rsidRPr="003B764B" w:rsidRDefault="0072046C" w:rsidP="003B59E3">
      <w:pPr>
        <w:rPr>
          <w:i/>
        </w:rPr>
      </w:pPr>
      <w:r w:rsidRPr="003B764B">
        <w:rPr>
          <w:i/>
        </w:rPr>
        <w:t xml:space="preserve">Q:  </w:t>
      </w:r>
      <w:r w:rsidR="000E437E" w:rsidRPr="003B764B">
        <w:rPr>
          <w:i/>
        </w:rPr>
        <w:t xml:space="preserve">Are </w:t>
      </w:r>
      <w:r w:rsidRPr="003B764B">
        <w:rPr>
          <w:i/>
        </w:rPr>
        <w:t xml:space="preserve">robocalls </w:t>
      </w:r>
      <w:r w:rsidR="00784E4D" w:rsidRPr="003B764B">
        <w:rPr>
          <w:i/>
        </w:rPr>
        <w:t>for the purpose of obtaining</w:t>
      </w:r>
      <w:r w:rsidRPr="003B764B">
        <w:rPr>
          <w:i/>
        </w:rPr>
        <w:t xml:space="preserve"> constituent participation in </w:t>
      </w:r>
      <w:r w:rsidR="000E437E" w:rsidRPr="003B764B">
        <w:rPr>
          <w:i/>
        </w:rPr>
        <w:t>tele-town halls illegal under the T</w:t>
      </w:r>
      <w:r w:rsidR="000A4428">
        <w:rPr>
          <w:i/>
        </w:rPr>
        <w:t>CPA</w:t>
      </w:r>
      <w:r w:rsidR="000E437E" w:rsidRPr="003B764B">
        <w:rPr>
          <w:i/>
        </w:rPr>
        <w:t xml:space="preserve">?  </w:t>
      </w:r>
    </w:p>
    <w:p w14:paraId="1C8E1039" w14:textId="77777777" w:rsidR="0072046C" w:rsidRDefault="0072046C" w:rsidP="003B59E3"/>
    <w:p w14:paraId="11110C50" w14:textId="19A61F36" w:rsidR="00235B73" w:rsidRPr="00C66098" w:rsidRDefault="0072046C" w:rsidP="005D7696">
      <w:pPr>
        <w:rPr>
          <w:rFonts w:eastAsia="Times New Roman" w:cstheme="minorHAnsi"/>
        </w:rPr>
      </w:pPr>
      <w:r w:rsidRPr="003B23CA">
        <w:t xml:space="preserve">A:  </w:t>
      </w:r>
      <w:r w:rsidR="00235B73" w:rsidRPr="00C66098">
        <w:rPr>
          <w:rFonts w:cstheme="minorHAnsi"/>
        </w:rPr>
        <w:t>The TCPA</w:t>
      </w:r>
      <w:r w:rsidR="00997EE8">
        <w:rPr>
          <w:rFonts w:cstheme="minorHAnsi"/>
        </w:rPr>
        <w:t xml:space="preserve"> </w:t>
      </w:r>
      <w:r w:rsidR="00235B73" w:rsidRPr="00C66098">
        <w:rPr>
          <w:rFonts w:cstheme="minorHAnsi"/>
        </w:rPr>
        <w:t xml:space="preserve">does not </w:t>
      </w:r>
      <w:r w:rsidR="00CF6873">
        <w:rPr>
          <w:rFonts w:cstheme="minorHAnsi"/>
        </w:rPr>
        <w:t xml:space="preserve">specifically </w:t>
      </w:r>
      <w:r w:rsidR="00235B73" w:rsidRPr="00C66098">
        <w:rPr>
          <w:rFonts w:cstheme="minorHAnsi"/>
        </w:rPr>
        <w:t>address whether the federal government must get consent for its own robocalls</w:t>
      </w:r>
      <w:r w:rsidR="00003C9B">
        <w:rPr>
          <w:rFonts w:cstheme="minorHAnsi"/>
        </w:rPr>
        <w:t>,</w:t>
      </w:r>
      <w:r w:rsidR="00235B73" w:rsidRPr="00C66098">
        <w:rPr>
          <w:rFonts w:cstheme="minorHAnsi"/>
        </w:rPr>
        <w:t xml:space="preserve"> whether made by </w:t>
      </w:r>
      <w:r w:rsidR="00235B73">
        <w:rPr>
          <w:rFonts w:cstheme="minorHAnsi"/>
        </w:rPr>
        <w:t xml:space="preserve">federal employees </w:t>
      </w:r>
      <w:r w:rsidR="00235B73" w:rsidRPr="00C66098">
        <w:rPr>
          <w:rFonts w:cstheme="minorHAnsi"/>
        </w:rPr>
        <w:t xml:space="preserve">or contractors on </w:t>
      </w:r>
      <w:r w:rsidR="00235B73">
        <w:rPr>
          <w:rFonts w:cstheme="minorHAnsi"/>
        </w:rPr>
        <w:t xml:space="preserve">the government’s </w:t>
      </w:r>
      <w:r w:rsidR="00235B73" w:rsidRPr="00C66098">
        <w:rPr>
          <w:rFonts w:cstheme="minorHAnsi"/>
        </w:rPr>
        <w:t xml:space="preserve">behalf.  Instead, the TCPA </w:t>
      </w:r>
      <w:r w:rsidR="008D18A9">
        <w:rPr>
          <w:rFonts w:cstheme="minorHAnsi"/>
        </w:rPr>
        <w:t xml:space="preserve">generally defines robocalls as </w:t>
      </w:r>
      <w:r w:rsidR="008D18A9">
        <w:t xml:space="preserve">calls made either with an automatic telephone dialing system (sometimes called an “autodialer”) or with a prerecorded or artificial voice and </w:t>
      </w:r>
      <w:r w:rsidR="00235B73" w:rsidRPr="00C66098">
        <w:rPr>
          <w:rFonts w:cstheme="minorHAnsi"/>
        </w:rPr>
        <w:t>describes two broad categories: telemarketing and informational.</w:t>
      </w:r>
      <w:r w:rsidR="00235B73">
        <w:rPr>
          <w:rFonts w:cstheme="minorHAnsi"/>
        </w:rPr>
        <w:t xml:space="preserve">  </w:t>
      </w:r>
      <w:r w:rsidR="00235B73" w:rsidRPr="00C66098">
        <w:rPr>
          <w:rFonts w:eastAsia="Times New Roman" w:cstheme="minorHAnsi"/>
        </w:rPr>
        <w:t>Federal government r</w:t>
      </w:r>
      <w:r w:rsidR="00235B73" w:rsidRPr="009A6E05">
        <w:rPr>
          <w:rFonts w:eastAsia="Times New Roman" w:cstheme="minorHAnsi"/>
        </w:rPr>
        <w:t>obocalls to constituents</w:t>
      </w:r>
      <w:r w:rsidR="00235B73" w:rsidRPr="00C66098">
        <w:rPr>
          <w:rFonts w:eastAsia="Times New Roman" w:cstheme="minorHAnsi"/>
        </w:rPr>
        <w:t xml:space="preserve">, including those to organize </w:t>
      </w:r>
      <w:r w:rsidR="00235B73" w:rsidRPr="009A6E05">
        <w:rPr>
          <w:rFonts w:eastAsia="Times New Roman" w:cstheme="minorHAnsi"/>
        </w:rPr>
        <w:t>tele-town halls</w:t>
      </w:r>
      <w:r w:rsidR="00FC3893">
        <w:rPr>
          <w:rFonts w:eastAsia="Times New Roman" w:cstheme="minorHAnsi"/>
        </w:rPr>
        <w:t>,</w:t>
      </w:r>
      <w:r w:rsidR="00235B73" w:rsidRPr="009A6E05">
        <w:rPr>
          <w:rFonts w:eastAsia="Times New Roman" w:cstheme="minorHAnsi"/>
        </w:rPr>
        <w:t xml:space="preserve"> are informational, not telemarketing, and </w:t>
      </w:r>
      <w:r w:rsidR="00235B73" w:rsidRPr="00C66098">
        <w:rPr>
          <w:rFonts w:eastAsia="Times New Roman" w:cstheme="minorHAnsi"/>
        </w:rPr>
        <w:t xml:space="preserve">may </w:t>
      </w:r>
      <w:r w:rsidR="00235B73" w:rsidRPr="009A6E05">
        <w:rPr>
          <w:rFonts w:eastAsia="Times New Roman" w:cstheme="minorHAnsi"/>
        </w:rPr>
        <w:t xml:space="preserve">be freely made to a constituent’s </w:t>
      </w:r>
      <w:r w:rsidR="00235B73" w:rsidRPr="009A6E05">
        <w:rPr>
          <w:rFonts w:eastAsia="Times New Roman" w:cstheme="minorHAnsi"/>
          <w:i/>
          <w:u w:val="single"/>
        </w:rPr>
        <w:t>residential landline</w:t>
      </w:r>
      <w:r w:rsidR="00235B73" w:rsidRPr="009A6E05">
        <w:rPr>
          <w:rFonts w:eastAsia="Times New Roman" w:cstheme="minorHAnsi"/>
        </w:rPr>
        <w:t xml:space="preserve"> phone.</w:t>
      </w:r>
      <w:r w:rsidR="00235B73" w:rsidRPr="00C66098">
        <w:rPr>
          <w:rFonts w:eastAsia="Times New Roman" w:cstheme="minorHAnsi"/>
        </w:rPr>
        <w:t xml:space="preserve">  </w:t>
      </w:r>
      <w:r w:rsidR="00235B73" w:rsidRPr="009A6E05">
        <w:rPr>
          <w:rFonts w:eastAsia="Times New Roman" w:cstheme="minorHAnsi"/>
        </w:rPr>
        <w:t xml:space="preserve">The question of </w:t>
      </w:r>
      <w:r w:rsidR="00CF6873">
        <w:rPr>
          <w:rFonts w:eastAsia="Times New Roman" w:cstheme="minorHAnsi"/>
        </w:rPr>
        <w:t xml:space="preserve">federal </w:t>
      </w:r>
      <w:r w:rsidR="00235B73" w:rsidRPr="009A6E05">
        <w:rPr>
          <w:rFonts w:eastAsia="Times New Roman" w:cstheme="minorHAnsi"/>
        </w:rPr>
        <w:t xml:space="preserve">robocalls to </w:t>
      </w:r>
      <w:r w:rsidR="00CF6873">
        <w:rPr>
          <w:rFonts w:eastAsia="Times New Roman" w:cstheme="minorHAnsi"/>
        </w:rPr>
        <w:t xml:space="preserve">a constituent’s </w:t>
      </w:r>
      <w:r w:rsidR="00235B73" w:rsidRPr="009A6E05">
        <w:rPr>
          <w:rFonts w:eastAsia="Times New Roman" w:cstheme="minorHAnsi"/>
          <w:i/>
          <w:u w:val="single"/>
        </w:rPr>
        <w:t>wireless</w:t>
      </w:r>
      <w:r w:rsidR="00235B73" w:rsidRPr="009A6E05">
        <w:rPr>
          <w:rFonts w:eastAsia="Times New Roman" w:cstheme="minorHAnsi"/>
        </w:rPr>
        <w:t xml:space="preserve"> phones, however, is more complicated, as calls to wireless generally </w:t>
      </w:r>
      <w:r w:rsidR="00235B73" w:rsidRPr="009A6E05">
        <w:rPr>
          <w:rFonts w:eastAsia="Times New Roman" w:cstheme="minorHAnsi"/>
          <w:u w:val="single"/>
        </w:rPr>
        <w:t>require the consumer’s prior consent</w:t>
      </w:r>
      <w:r w:rsidR="00235B73" w:rsidRPr="009A6E05">
        <w:rPr>
          <w:rFonts w:eastAsia="Times New Roman" w:cstheme="minorHAnsi"/>
        </w:rPr>
        <w:t xml:space="preserve">. </w:t>
      </w:r>
      <w:r w:rsidR="001A7018">
        <w:rPr>
          <w:rFonts w:eastAsia="Times New Roman" w:cstheme="minorHAnsi"/>
        </w:rPr>
        <w:t xml:space="preserve"> </w:t>
      </w:r>
      <w:r w:rsidR="006F6FB4">
        <w:rPr>
          <w:rFonts w:eastAsia="Times New Roman" w:cstheme="minorHAnsi"/>
        </w:rPr>
        <w:t>T</w:t>
      </w:r>
      <w:r w:rsidR="001A7018">
        <w:rPr>
          <w:rFonts w:eastAsia="Times New Roman" w:cstheme="minorHAnsi"/>
        </w:rPr>
        <w:t xml:space="preserve">he Commission is currently considering </w:t>
      </w:r>
      <w:r w:rsidR="006F6FB4">
        <w:rPr>
          <w:rFonts w:eastAsia="Times New Roman" w:cstheme="minorHAnsi"/>
        </w:rPr>
        <w:t xml:space="preserve">a </w:t>
      </w:r>
      <w:r w:rsidR="001A7018">
        <w:rPr>
          <w:rFonts w:eastAsia="Times New Roman" w:cstheme="minorHAnsi"/>
        </w:rPr>
        <w:t xml:space="preserve">proposed ruling on </w:t>
      </w:r>
      <w:r w:rsidR="006F6FB4">
        <w:rPr>
          <w:rFonts w:eastAsia="Times New Roman" w:cstheme="minorHAnsi"/>
        </w:rPr>
        <w:t>the tele-town hall question</w:t>
      </w:r>
      <w:r w:rsidR="00A02FD3">
        <w:rPr>
          <w:rFonts w:eastAsia="Times New Roman" w:cstheme="minorHAnsi"/>
        </w:rPr>
        <w:t xml:space="preserve">, in light of </w:t>
      </w:r>
      <w:r w:rsidR="001A7018">
        <w:rPr>
          <w:rFonts w:eastAsia="Times New Roman" w:cstheme="minorHAnsi"/>
        </w:rPr>
        <w:t xml:space="preserve">the recent Supreme Court ruling. </w:t>
      </w:r>
    </w:p>
    <w:p w14:paraId="561215FA" w14:textId="77777777" w:rsidR="00235B73" w:rsidRDefault="00235B73" w:rsidP="003B59E3">
      <w:pPr>
        <w:rPr>
          <w:rFonts w:cstheme="minorHAnsi"/>
        </w:rPr>
      </w:pPr>
    </w:p>
    <w:p w14:paraId="0EE20B83" w14:textId="77777777" w:rsidR="00235B73" w:rsidRPr="003B764B" w:rsidRDefault="00235B73" w:rsidP="003B59E3">
      <w:pPr>
        <w:rPr>
          <w:rFonts w:cstheme="minorHAnsi"/>
          <w:i/>
        </w:rPr>
      </w:pPr>
      <w:r w:rsidRPr="003B764B">
        <w:rPr>
          <w:rFonts w:cstheme="minorHAnsi"/>
          <w:i/>
        </w:rPr>
        <w:t>Q:  What is the Commission doing to clarify whether consent is required for robocalls to organize tele-town hall</w:t>
      </w:r>
      <w:r w:rsidR="00003C9B" w:rsidRPr="003B764B">
        <w:rPr>
          <w:rFonts w:cstheme="minorHAnsi"/>
          <w:i/>
        </w:rPr>
        <w:t>s,</w:t>
      </w:r>
      <w:r w:rsidRPr="003B764B">
        <w:rPr>
          <w:rFonts w:cstheme="minorHAnsi"/>
          <w:i/>
        </w:rPr>
        <w:t xml:space="preserve"> along with other federal government calls?</w:t>
      </w:r>
    </w:p>
    <w:p w14:paraId="10E06574" w14:textId="77777777" w:rsidR="00235B73" w:rsidRDefault="00235B73" w:rsidP="003B59E3">
      <w:pPr>
        <w:rPr>
          <w:rFonts w:cstheme="minorHAnsi"/>
        </w:rPr>
      </w:pPr>
    </w:p>
    <w:p w14:paraId="0BA0C3D9" w14:textId="2AEB140F" w:rsidR="00997EE8" w:rsidRPr="00AE6135" w:rsidRDefault="00235B73" w:rsidP="00AE6135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A:  </w:t>
      </w:r>
      <w:r w:rsidR="00997EE8">
        <w:rPr>
          <w:rFonts w:cstheme="minorHAnsi"/>
        </w:rPr>
        <w:t xml:space="preserve">In light of the Supreme Court’s </w:t>
      </w:r>
      <w:r w:rsidR="00997EE8">
        <w:t xml:space="preserve">recent ruling </w:t>
      </w:r>
      <w:r w:rsidR="00CF6873">
        <w:t xml:space="preserve">on what the </w:t>
      </w:r>
      <w:r w:rsidR="003F172B">
        <w:t>f</w:t>
      </w:r>
      <w:r w:rsidR="00997EE8">
        <w:t xml:space="preserve">ederal </w:t>
      </w:r>
      <w:r w:rsidR="003F172B">
        <w:t>g</w:t>
      </w:r>
      <w:r w:rsidR="00997EE8">
        <w:t xml:space="preserve">overnment </w:t>
      </w:r>
      <w:r w:rsidR="00CF6873">
        <w:t xml:space="preserve">may and may not do </w:t>
      </w:r>
      <w:r w:rsidR="00997EE8">
        <w:t xml:space="preserve">under the TCPA, </w:t>
      </w:r>
      <w:r w:rsidR="00997EE8">
        <w:rPr>
          <w:rFonts w:eastAsia="Times New Roman" w:cstheme="minorHAnsi"/>
        </w:rPr>
        <w:t>t</w:t>
      </w:r>
      <w:r w:rsidRPr="00C66098">
        <w:rPr>
          <w:rFonts w:eastAsia="Times New Roman" w:cstheme="minorHAnsi"/>
        </w:rPr>
        <w:t xml:space="preserve">he Chairman </w:t>
      </w:r>
      <w:r w:rsidR="00CF6873">
        <w:rPr>
          <w:rFonts w:eastAsia="Times New Roman" w:cstheme="minorHAnsi"/>
        </w:rPr>
        <w:t xml:space="preserve">recently </w:t>
      </w:r>
      <w:r w:rsidRPr="00C66098">
        <w:rPr>
          <w:rFonts w:eastAsia="Times New Roman" w:cstheme="minorHAnsi"/>
        </w:rPr>
        <w:t>circulated a proposal to his fellow Commissioners that w</w:t>
      </w:r>
      <w:r>
        <w:rPr>
          <w:rFonts w:eastAsia="Times New Roman" w:cstheme="minorHAnsi"/>
        </w:rPr>
        <w:t>ould</w:t>
      </w:r>
      <w:r w:rsidR="00997EE8">
        <w:rPr>
          <w:rFonts w:eastAsia="Times New Roman" w:cstheme="minorHAnsi"/>
        </w:rPr>
        <w:t>, if adopted by the full Commission,</w:t>
      </w:r>
      <w:r>
        <w:rPr>
          <w:rFonts w:eastAsia="Times New Roman" w:cstheme="minorHAnsi"/>
        </w:rPr>
        <w:t xml:space="preserve"> </w:t>
      </w:r>
      <w:r w:rsidR="00CF6873">
        <w:rPr>
          <w:rFonts w:eastAsia="Times New Roman" w:cstheme="minorHAnsi"/>
        </w:rPr>
        <w:t>clarify the situation</w:t>
      </w:r>
      <w:r w:rsidRPr="00C66098">
        <w:rPr>
          <w:rFonts w:eastAsia="Times New Roman" w:cstheme="minorHAnsi"/>
        </w:rPr>
        <w:t>.</w:t>
      </w:r>
      <w:r w:rsidR="00594EA6">
        <w:rPr>
          <w:rFonts w:eastAsia="Times New Roman" w:cstheme="minorHAnsi"/>
        </w:rPr>
        <w:t xml:space="preserve">  Specifically, the Chairman’s proposal </w:t>
      </w:r>
      <w:r w:rsidR="00594EA6" w:rsidRPr="00594EA6">
        <w:rPr>
          <w:rFonts w:eastAsia="Times New Roman" w:cstheme="minorHAnsi"/>
        </w:rPr>
        <w:t>would</w:t>
      </w:r>
      <w:r w:rsidR="00FC3893">
        <w:rPr>
          <w:rFonts w:eastAsia="Times New Roman" w:cstheme="minorHAnsi"/>
        </w:rPr>
        <w:t xml:space="preserve"> </w:t>
      </w:r>
      <w:r w:rsidR="003F172B">
        <w:rPr>
          <w:rFonts w:ascii="Cambria" w:eastAsia="Times New Roman" w:hAnsi="Cambria" w:cstheme="minorHAnsi"/>
        </w:rPr>
        <w:t>address</w:t>
      </w:r>
      <w:r w:rsidR="00003C9B" w:rsidRPr="00AE6135">
        <w:rPr>
          <w:rFonts w:ascii="Cambria" w:eastAsia="Times New Roman" w:hAnsi="Cambria" w:cstheme="minorHAnsi"/>
        </w:rPr>
        <w:t xml:space="preserve"> whether </w:t>
      </w:r>
      <w:r w:rsidR="00594EA6" w:rsidRPr="00AE6135">
        <w:rPr>
          <w:rFonts w:ascii="Cambria" w:eastAsia="Times New Roman" w:hAnsi="Cambria" w:cstheme="minorHAnsi"/>
        </w:rPr>
        <w:t xml:space="preserve">the </w:t>
      </w:r>
      <w:r w:rsidR="002A20F1" w:rsidRPr="00AE6135">
        <w:rPr>
          <w:rFonts w:ascii="Cambria" w:eastAsia="Times New Roman" w:hAnsi="Cambria" w:cstheme="minorHAnsi"/>
        </w:rPr>
        <w:t>f</w:t>
      </w:r>
      <w:r w:rsidR="00594EA6" w:rsidRPr="00AE6135">
        <w:rPr>
          <w:rFonts w:ascii="Cambria" w:eastAsia="Times New Roman" w:hAnsi="Cambria" w:cstheme="minorHAnsi"/>
        </w:rPr>
        <w:t xml:space="preserve">ederal </w:t>
      </w:r>
      <w:r w:rsidR="002A20F1" w:rsidRPr="00AE6135">
        <w:rPr>
          <w:rFonts w:ascii="Cambria" w:eastAsia="Times New Roman" w:hAnsi="Cambria" w:cstheme="minorHAnsi"/>
        </w:rPr>
        <w:t>g</w:t>
      </w:r>
      <w:r w:rsidR="00594EA6" w:rsidRPr="00AE6135">
        <w:rPr>
          <w:rFonts w:ascii="Cambria" w:eastAsia="Times New Roman" w:hAnsi="Cambria" w:cstheme="minorHAnsi"/>
        </w:rPr>
        <w:t>overnment</w:t>
      </w:r>
      <w:r w:rsidR="0095416E" w:rsidRPr="00AE6135">
        <w:rPr>
          <w:rFonts w:ascii="Cambria" w:eastAsia="Times New Roman" w:hAnsi="Cambria" w:cstheme="minorHAnsi"/>
        </w:rPr>
        <w:t>, its agencies,</w:t>
      </w:r>
      <w:r w:rsidR="001A7018">
        <w:rPr>
          <w:rFonts w:ascii="Cambria" w:eastAsia="Times New Roman" w:hAnsi="Cambria" w:cstheme="minorHAnsi"/>
        </w:rPr>
        <w:t xml:space="preserve"> contractors working on their behalf,</w:t>
      </w:r>
      <w:r w:rsidR="0095416E" w:rsidRPr="00AE6135">
        <w:rPr>
          <w:rFonts w:ascii="Cambria" w:eastAsia="Times New Roman" w:hAnsi="Cambria" w:cstheme="minorHAnsi"/>
        </w:rPr>
        <w:t xml:space="preserve"> and its officials</w:t>
      </w:r>
      <w:r w:rsidR="00594EA6" w:rsidRPr="00AE6135">
        <w:rPr>
          <w:rFonts w:ascii="Cambria" w:eastAsia="Times New Roman" w:hAnsi="Cambria" w:cstheme="minorHAnsi"/>
        </w:rPr>
        <w:t xml:space="preserve"> acting in </w:t>
      </w:r>
      <w:r w:rsidR="0095416E" w:rsidRPr="00AE6135">
        <w:rPr>
          <w:rFonts w:ascii="Cambria" w:eastAsia="Times New Roman" w:hAnsi="Cambria" w:cstheme="minorHAnsi"/>
        </w:rPr>
        <w:t xml:space="preserve">an </w:t>
      </w:r>
      <w:r w:rsidR="00594EA6" w:rsidRPr="00AE6135">
        <w:rPr>
          <w:rFonts w:ascii="Cambria" w:eastAsia="Times New Roman" w:hAnsi="Cambria" w:cstheme="minorHAnsi"/>
        </w:rPr>
        <w:t xml:space="preserve">official capacity </w:t>
      </w:r>
      <w:r w:rsidR="0095416E" w:rsidRPr="00AE6135">
        <w:rPr>
          <w:rFonts w:ascii="Cambria" w:eastAsia="Times New Roman" w:hAnsi="Cambria" w:cstheme="minorHAnsi"/>
        </w:rPr>
        <w:t xml:space="preserve">are </w:t>
      </w:r>
      <w:r w:rsidR="00594EA6" w:rsidRPr="00AE6135">
        <w:rPr>
          <w:rFonts w:ascii="Cambria" w:eastAsia="Times New Roman" w:hAnsi="Cambria" w:cstheme="minorHAnsi"/>
        </w:rPr>
        <w:t>subject to the TCPA’s restrictions</w:t>
      </w:r>
      <w:r w:rsidR="003F172B">
        <w:rPr>
          <w:rFonts w:ascii="Cambria" w:eastAsia="Times New Roman" w:hAnsi="Cambria" w:cstheme="minorHAnsi"/>
        </w:rPr>
        <w:t xml:space="preserve">, including when they or their contractors make robocalls in the context of </w:t>
      </w:r>
      <w:r w:rsidR="00CF6873">
        <w:rPr>
          <w:rFonts w:ascii="Cambria" w:eastAsia="Times New Roman" w:hAnsi="Cambria" w:cstheme="minorHAnsi"/>
        </w:rPr>
        <w:t xml:space="preserve">organizing and participating </w:t>
      </w:r>
      <w:r w:rsidR="00CF6873" w:rsidRPr="006A2FE0">
        <w:rPr>
          <w:rFonts w:eastAsia="Times New Roman" w:cstheme="minorHAnsi"/>
        </w:rPr>
        <w:t xml:space="preserve">in </w:t>
      </w:r>
      <w:r w:rsidR="00594EA6" w:rsidRPr="006A2FE0">
        <w:rPr>
          <w:rFonts w:eastAsia="Times New Roman" w:cs="Times New Roman"/>
        </w:rPr>
        <w:t>tele-town halls</w:t>
      </w:r>
      <w:r w:rsidR="003F172B" w:rsidRPr="006A2FE0">
        <w:rPr>
          <w:rFonts w:eastAsia="Times New Roman" w:cs="Times New Roman"/>
        </w:rPr>
        <w:t xml:space="preserve"> relating to official duties. </w:t>
      </w:r>
      <w:r w:rsidR="003F172B">
        <w:rPr>
          <w:rFonts w:ascii="Times New Roman" w:eastAsia="Times New Roman" w:hAnsi="Times New Roman" w:cs="Times New Roman"/>
        </w:rPr>
        <w:t xml:space="preserve"> </w:t>
      </w:r>
    </w:p>
    <w:p w14:paraId="318611DB" w14:textId="77777777" w:rsidR="009D0E02" w:rsidRPr="00FC3893" w:rsidRDefault="009D0E02" w:rsidP="009D0E02">
      <w:pPr>
        <w:rPr>
          <w:rFonts w:eastAsia="Times New Roman" w:cstheme="minorHAnsi"/>
        </w:rPr>
      </w:pPr>
    </w:p>
    <w:p w14:paraId="7F67D6F8" w14:textId="77777777" w:rsidR="00997EE8" w:rsidRPr="003B764B" w:rsidRDefault="00997EE8" w:rsidP="00235B73">
      <w:pPr>
        <w:rPr>
          <w:rFonts w:eastAsia="Times New Roman" w:cstheme="minorHAnsi"/>
          <w:i/>
        </w:rPr>
      </w:pPr>
      <w:r w:rsidRPr="003B764B">
        <w:rPr>
          <w:rFonts w:eastAsia="Times New Roman" w:cstheme="minorHAnsi"/>
          <w:i/>
        </w:rPr>
        <w:t>Q:  Is the Commission considering whether robocalls as part of an election</w:t>
      </w:r>
      <w:r w:rsidR="00A83A24" w:rsidRPr="003B764B">
        <w:rPr>
          <w:rFonts w:eastAsia="Times New Roman" w:cstheme="minorHAnsi"/>
          <w:i/>
        </w:rPr>
        <w:t xml:space="preserve"> campaign</w:t>
      </w:r>
      <w:r w:rsidRPr="003B764B">
        <w:rPr>
          <w:rFonts w:eastAsia="Times New Roman" w:cstheme="minorHAnsi"/>
          <w:i/>
        </w:rPr>
        <w:t xml:space="preserve"> or other </w:t>
      </w:r>
      <w:r w:rsidR="00A83A24" w:rsidRPr="003B764B">
        <w:rPr>
          <w:rFonts w:eastAsia="Times New Roman" w:cstheme="minorHAnsi"/>
          <w:i/>
        </w:rPr>
        <w:t xml:space="preserve">political activity </w:t>
      </w:r>
      <w:r w:rsidRPr="003B764B">
        <w:rPr>
          <w:rFonts w:eastAsia="Times New Roman" w:cstheme="minorHAnsi"/>
          <w:i/>
        </w:rPr>
        <w:t>can be made without consumer consent?</w:t>
      </w:r>
    </w:p>
    <w:p w14:paraId="4DAEF52F" w14:textId="77777777" w:rsidR="00997EE8" w:rsidRDefault="00997EE8" w:rsidP="00235B73">
      <w:pPr>
        <w:rPr>
          <w:rFonts w:eastAsia="Times New Roman" w:cstheme="minorHAnsi"/>
        </w:rPr>
      </w:pPr>
    </w:p>
    <w:p w14:paraId="4C00E71D" w14:textId="7E983EEB" w:rsidR="00235B73" w:rsidRDefault="00997EE8" w:rsidP="00235B73">
      <w:pPr>
        <w:rPr>
          <w:rFonts w:cstheme="minorHAnsi"/>
        </w:rPr>
      </w:pPr>
      <w:r>
        <w:rPr>
          <w:rFonts w:eastAsia="Times New Roman" w:cstheme="minorHAnsi"/>
        </w:rPr>
        <w:lastRenderedPageBreak/>
        <w:t xml:space="preserve">A:  No.  </w:t>
      </w:r>
      <w:r w:rsidR="00CF6873">
        <w:rPr>
          <w:rFonts w:eastAsia="Times New Roman" w:cstheme="minorHAnsi"/>
        </w:rPr>
        <w:t xml:space="preserve">This issue is settled and not part of the Chairman’s proposal. </w:t>
      </w:r>
      <w:r w:rsidR="00594EA6">
        <w:rPr>
          <w:rFonts w:eastAsia="Times New Roman" w:cstheme="minorHAnsi"/>
        </w:rPr>
        <w:t>R</w:t>
      </w:r>
      <w:r w:rsidR="00235B73" w:rsidRPr="00C66098">
        <w:rPr>
          <w:rFonts w:eastAsia="Times New Roman" w:cstheme="minorHAnsi"/>
        </w:rPr>
        <w:t>obocalls made as part of an election</w:t>
      </w:r>
      <w:r>
        <w:rPr>
          <w:rFonts w:eastAsia="Times New Roman" w:cstheme="minorHAnsi"/>
        </w:rPr>
        <w:t xml:space="preserve"> </w:t>
      </w:r>
      <w:r w:rsidR="00A83A24">
        <w:rPr>
          <w:rFonts w:eastAsia="Times New Roman" w:cstheme="minorHAnsi"/>
        </w:rPr>
        <w:t xml:space="preserve">campaign </w:t>
      </w:r>
      <w:r>
        <w:rPr>
          <w:rFonts w:eastAsia="Times New Roman" w:cstheme="minorHAnsi"/>
        </w:rPr>
        <w:t>or other</w:t>
      </w:r>
      <w:r w:rsidR="00A11A4C">
        <w:rPr>
          <w:rFonts w:eastAsia="Times New Roman" w:cstheme="minorHAnsi"/>
        </w:rPr>
        <w:t xml:space="preserve"> political activity</w:t>
      </w:r>
      <w:r w:rsidR="00235B73" w:rsidRPr="00C6609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outside a legislator</w:t>
      </w:r>
      <w:r w:rsidR="00A83A24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s official duties </w:t>
      </w:r>
      <w:r w:rsidR="00235B73" w:rsidRPr="00C66098">
        <w:rPr>
          <w:rFonts w:eastAsia="Times New Roman" w:cstheme="minorHAnsi"/>
        </w:rPr>
        <w:t>require consumer consent when made to wireless phones</w:t>
      </w:r>
      <w:r w:rsidR="00CF6873">
        <w:rPr>
          <w:rFonts w:eastAsia="Times New Roman" w:cstheme="minorHAnsi"/>
        </w:rPr>
        <w:t xml:space="preserve">. </w:t>
      </w:r>
      <w:r w:rsidR="00235B73">
        <w:rPr>
          <w:rFonts w:eastAsia="Times New Roman" w:cstheme="minorHAnsi"/>
        </w:rPr>
        <w:t xml:space="preserve"> </w:t>
      </w:r>
      <w:r w:rsidR="00B933DC">
        <w:rPr>
          <w:rFonts w:eastAsia="Times New Roman" w:cstheme="minorHAnsi"/>
        </w:rPr>
        <w:t>For more information, please review the Commission’s biennial reminder regarding political robocalls and robotexts (</w:t>
      </w:r>
      <w:hyperlink r:id="rId8" w:history="1">
        <w:r w:rsidR="006F6FB4" w:rsidRPr="00B572CD">
          <w:rPr>
            <w:rStyle w:val="Hyperlink"/>
            <w:rFonts w:eastAsia="Times New Roman" w:cstheme="minorHAnsi"/>
          </w:rPr>
          <w:t>http://go.usa.gov/cskTV</w:t>
        </w:r>
      </w:hyperlink>
      <w:r w:rsidR="00B933DC">
        <w:rPr>
          <w:rFonts w:eastAsia="Times New Roman" w:cstheme="minorHAnsi"/>
        </w:rPr>
        <w:t>)</w:t>
      </w:r>
      <w:r w:rsidR="006F6FB4">
        <w:rPr>
          <w:rFonts w:eastAsia="Times New Roman" w:cstheme="minorHAnsi"/>
        </w:rPr>
        <w:t>.</w:t>
      </w:r>
    </w:p>
    <w:p w14:paraId="59AF119C" w14:textId="77777777" w:rsidR="00634370" w:rsidRDefault="00634370" w:rsidP="003B59E3"/>
    <w:p w14:paraId="2C4371DA" w14:textId="77777777" w:rsidR="00634370" w:rsidRPr="003B764B" w:rsidRDefault="00634370" w:rsidP="00634370">
      <w:pPr>
        <w:rPr>
          <w:i/>
          <w:u w:val="single"/>
        </w:rPr>
      </w:pPr>
      <w:r w:rsidRPr="003B764B">
        <w:rPr>
          <w:i/>
        </w:rPr>
        <w:t xml:space="preserve">Q:  Why is there a distinction between </w:t>
      </w:r>
      <w:r w:rsidR="0035448C" w:rsidRPr="003B764B">
        <w:rPr>
          <w:i/>
        </w:rPr>
        <w:t xml:space="preserve">residential </w:t>
      </w:r>
      <w:r w:rsidRPr="003B764B">
        <w:rPr>
          <w:i/>
        </w:rPr>
        <w:t>landline phones and wireless phones?</w:t>
      </w:r>
    </w:p>
    <w:p w14:paraId="32738C6A" w14:textId="77777777" w:rsidR="00634370" w:rsidRPr="00AD41CD" w:rsidRDefault="00634370" w:rsidP="00634370">
      <w:pPr>
        <w:rPr>
          <w:u w:val="single"/>
        </w:rPr>
      </w:pPr>
    </w:p>
    <w:p w14:paraId="15DE9EA5" w14:textId="3FEC6F84" w:rsidR="00634370" w:rsidRPr="003B23CA" w:rsidRDefault="00A83A24" w:rsidP="003B59E3">
      <w:r>
        <w:t xml:space="preserve">A: </w:t>
      </w:r>
      <w:r w:rsidR="00634370" w:rsidRPr="00AD41CD">
        <w:t>The TCPA</w:t>
      </w:r>
      <w:r w:rsidR="00454C92" w:rsidRPr="00AD41CD">
        <w:t xml:space="preserve"> </w:t>
      </w:r>
      <w:r w:rsidR="00AD41CD">
        <w:t>statutory language</w:t>
      </w:r>
      <w:r w:rsidR="00AD41CD" w:rsidRPr="00AD41CD">
        <w:t xml:space="preserve"> </w:t>
      </w:r>
      <w:r w:rsidR="00814C95" w:rsidRPr="00AD41CD">
        <w:t>makes this distinction</w:t>
      </w:r>
      <w:r w:rsidR="00CF6873">
        <w:t xml:space="preserve"> across the board</w:t>
      </w:r>
      <w:r w:rsidR="00814C95" w:rsidRPr="00AD41CD">
        <w:t xml:space="preserve">, in recognition of the </w:t>
      </w:r>
      <w:r w:rsidR="00634370" w:rsidRPr="00AD41CD">
        <w:t xml:space="preserve">cost of calls </w:t>
      </w:r>
      <w:r w:rsidR="00814C95" w:rsidRPr="00AD41CD">
        <w:t xml:space="preserve">to wireless phones when the TCPA was enacted, </w:t>
      </w:r>
      <w:r w:rsidR="00634370" w:rsidRPr="00AD41CD">
        <w:t xml:space="preserve">and the </w:t>
      </w:r>
      <w:r w:rsidR="00814C95" w:rsidRPr="00AD41CD">
        <w:t xml:space="preserve">arguably </w:t>
      </w:r>
      <w:r w:rsidR="00634370" w:rsidRPr="00AD41CD">
        <w:t xml:space="preserve">greater privacy intrusion.  </w:t>
      </w:r>
    </w:p>
    <w:p w14:paraId="1878D525" w14:textId="77777777" w:rsidR="000E437E" w:rsidRDefault="000E437E" w:rsidP="003B59E3"/>
    <w:p w14:paraId="6E959E91" w14:textId="77777777" w:rsidR="0072046C" w:rsidRPr="003B764B" w:rsidRDefault="0072046C" w:rsidP="003B59E3">
      <w:pPr>
        <w:rPr>
          <w:i/>
        </w:rPr>
      </w:pPr>
      <w:r w:rsidRPr="003B764B">
        <w:rPr>
          <w:i/>
        </w:rPr>
        <w:t xml:space="preserve">Q:  </w:t>
      </w:r>
      <w:r w:rsidR="00997EE8" w:rsidRPr="003B764B">
        <w:rPr>
          <w:i/>
        </w:rPr>
        <w:t>How can a robocaller obtain consumer consent for those calls that require it?</w:t>
      </w:r>
      <w:r w:rsidR="000E437E" w:rsidRPr="003B764B">
        <w:rPr>
          <w:i/>
        </w:rPr>
        <w:t xml:space="preserve"> </w:t>
      </w:r>
    </w:p>
    <w:p w14:paraId="7CF10E5E" w14:textId="77777777" w:rsidR="0072046C" w:rsidRDefault="0072046C" w:rsidP="003B59E3"/>
    <w:p w14:paraId="46C1295B" w14:textId="15082792" w:rsidR="000E437E" w:rsidRPr="003B23CA" w:rsidRDefault="003B23CA" w:rsidP="003B59E3">
      <w:r>
        <w:t xml:space="preserve">A:  </w:t>
      </w:r>
      <w:r w:rsidR="000E437E" w:rsidRPr="003B23CA">
        <w:t xml:space="preserve">For </w:t>
      </w:r>
      <w:r w:rsidR="00997EE8">
        <w:t>informational robo</w:t>
      </w:r>
      <w:r w:rsidR="000E437E" w:rsidRPr="003B23CA">
        <w:t>calls to wireless numbers, consent is relatively</w:t>
      </w:r>
      <w:r w:rsidR="0024222B">
        <w:t xml:space="preserve"> </w:t>
      </w:r>
      <w:r w:rsidR="002250B5">
        <w:t>straightforward</w:t>
      </w:r>
      <w:r w:rsidR="000E437E" w:rsidRPr="003B23CA">
        <w:t xml:space="preserve"> to obtain.  It can be either written or oral, can be obtained online, on a (non-robocall) call, or any other reasonable means.  </w:t>
      </w:r>
    </w:p>
    <w:p w14:paraId="7B5C4F9D" w14:textId="77777777" w:rsidR="00BF625B" w:rsidRPr="003B23CA" w:rsidRDefault="00BF625B" w:rsidP="003B59E3">
      <w:pPr>
        <w:rPr>
          <w:color w:val="44546A"/>
        </w:rPr>
      </w:pPr>
    </w:p>
    <w:p w14:paraId="1F6725C9" w14:textId="77777777" w:rsidR="003B59E3" w:rsidRDefault="003B59E3"/>
    <w:p w14:paraId="53214B49" w14:textId="77777777" w:rsidR="00D35BE5" w:rsidRDefault="00D35BE5"/>
    <w:p w14:paraId="3F52235C" w14:textId="77777777" w:rsidR="00093362" w:rsidRDefault="00093362"/>
    <w:p w14:paraId="4D235338" w14:textId="77777777" w:rsidR="00093362" w:rsidRPr="00093362" w:rsidRDefault="00093362"/>
    <w:p w14:paraId="5F3C5A2B" w14:textId="77777777" w:rsidR="00093362" w:rsidRDefault="00093362"/>
    <w:sectPr w:rsidR="00093362" w:rsidSect="00720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E5FF" w14:textId="77777777" w:rsidR="000D2059" w:rsidRDefault="000D2059" w:rsidP="00017F06">
      <w:r>
        <w:separator/>
      </w:r>
    </w:p>
  </w:endnote>
  <w:endnote w:type="continuationSeparator" w:id="0">
    <w:p w14:paraId="2215A442" w14:textId="77777777" w:rsidR="000D2059" w:rsidRDefault="000D2059" w:rsidP="00017F06">
      <w:r>
        <w:continuationSeparator/>
      </w:r>
    </w:p>
  </w:endnote>
  <w:endnote w:type="continuationNotice" w:id="1">
    <w:p w14:paraId="692D2C03" w14:textId="77777777" w:rsidR="000D2059" w:rsidRDefault="000D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6669" w14:textId="77777777" w:rsidR="00460C1A" w:rsidRDefault="00460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16C4" w14:textId="77777777" w:rsidR="00460C1A" w:rsidRDefault="00460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D915" w14:textId="77777777" w:rsidR="00460C1A" w:rsidRDefault="0046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3960" w14:textId="77777777" w:rsidR="000D2059" w:rsidRDefault="000D2059" w:rsidP="00017F06">
      <w:r>
        <w:separator/>
      </w:r>
    </w:p>
  </w:footnote>
  <w:footnote w:type="continuationSeparator" w:id="0">
    <w:p w14:paraId="0B236FE2" w14:textId="77777777" w:rsidR="000D2059" w:rsidRDefault="000D2059" w:rsidP="00017F06">
      <w:r>
        <w:continuationSeparator/>
      </w:r>
    </w:p>
  </w:footnote>
  <w:footnote w:type="continuationNotice" w:id="1">
    <w:p w14:paraId="2032F297" w14:textId="77777777" w:rsidR="000D2059" w:rsidRDefault="000D2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101E" w14:textId="77777777" w:rsidR="00460C1A" w:rsidRDefault="00460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0674" w14:textId="77777777" w:rsidR="00460C1A" w:rsidRDefault="00460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3CCF" w14:textId="77777777" w:rsidR="00460C1A" w:rsidRDefault="00460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BD8"/>
    <w:multiLevelType w:val="hybridMultilevel"/>
    <w:tmpl w:val="004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093F"/>
    <w:multiLevelType w:val="hybridMultilevel"/>
    <w:tmpl w:val="E982B3C0"/>
    <w:lvl w:ilvl="0" w:tplc="A6B02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9C6"/>
    <w:multiLevelType w:val="hybridMultilevel"/>
    <w:tmpl w:val="A49A59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40476"/>
    <w:multiLevelType w:val="hybridMultilevel"/>
    <w:tmpl w:val="286A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2"/>
    <w:rsid w:val="00003C9B"/>
    <w:rsid w:val="00017F06"/>
    <w:rsid w:val="00093362"/>
    <w:rsid w:val="000A4428"/>
    <w:rsid w:val="000D2059"/>
    <w:rsid w:val="000E437E"/>
    <w:rsid w:val="000F602E"/>
    <w:rsid w:val="00100DD3"/>
    <w:rsid w:val="00105A28"/>
    <w:rsid w:val="001226F3"/>
    <w:rsid w:val="00185710"/>
    <w:rsid w:val="001866A1"/>
    <w:rsid w:val="0019325A"/>
    <w:rsid w:val="001A2D30"/>
    <w:rsid w:val="001A7018"/>
    <w:rsid w:val="00220D81"/>
    <w:rsid w:val="002250B5"/>
    <w:rsid w:val="00235B73"/>
    <w:rsid w:val="0024222B"/>
    <w:rsid w:val="0028774C"/>
    <w:rsid w:val="002A20F1"/>
    <w:rsid w:val="002C32F6"/>
    <w:rsid w:val="003303E1"/>
    <w:rsid w:val="003436DF"/>
    <w:rsid w:val="00344200"/>
    <w:rsid w:val="00352F99"/>
    <w:rsid w:val="0035448C"/>
    <w:rsid w:val="00354C9A"/>
    <w:rsid w:val="00390DC8"/>
    <w:rsid w:val="003923C1"/>
    <w:rsid w:val="003B23CA"/>
    <w:rsid w:val="003B59E3"/>
    <w:rsid w:val="003B764B"/>
    <w:rsid w:val="003C7E41"/>
    <w:rsid w:val="003D3D5A"/>
    <w:rsid w:val="003E292C"/>
    <w:rsid w:val="003F172B"/>
    <w:rsid w:val="003F47D8"/>
    <w:rsid w:val="003F7BC9"/>
    <w:rsid w:val="00412CBD"/>
    <w:rsid w:val="00423FA1"/>
    <w:rsid w:val="00434A2F"/>
    <w:rsid w:val="00454C92"/>
    <w:rsid w:val="00460C1A"/>
    <w:rsid w:val="004754BD"/>
    <w:rsid w:val="00483141"/>
    <w:rsid w:val="00494136"/>
    <w:rsid w:val="004B6788"/>
    <w:rsid w:val="00594EA6"/>
    <w:rsid w:val="005D7696"/>
    <w:rsid w:val="005E1EA2"/>
    <w:rsid w:val="005F3411"/>
    <w:rsid w:val="00634370"/>
    <w:rsid w:val="006A2FE0"/>
    <w:rsid w:val="006F6FB4"/>
    <w:rsid w:val="007025AC"/>
    <w:rsid w:val="00716276"/>
    <w:rsid w:val="0072046C"/>
    <w:rsid w:val="00746867"/>
    <w:rsid w:val="007537D2"/>
    <w:rsid w:val="00784E4D"/>
    <w:rsid w:val="00786A2D"/>
    <w:rsid w:val="007C63E9"/>
    <w:rsid w:val="0080361C"/>
    <w:rsid w:val="008141A2"/>
    <w:rsid w:val="00814C95"/>
    <w:rsid w:val="00896734"/>
    <w:rsid w:val="008A3A4F"/>
    <w:rsid w:val="008B01E8"/>
    <w:rsid w:val="008D18A9"/>
    <w:rsid w:val="008F425C"/>
    <w:rsid w:val="00903ACE"/>
    <w:rsid w:val="0090574C"/>
    <w:rsid w:val="0090606B"/>
    <w:rsid w:val="00916458"/>
    <w:rsid w:val="0095416E"/>
    <w:rsid w:val="009601CD"/>
    <w:rsid w:val="00982BE6"/>
    <w:rsid w:val="00996C61"/>
    <w:rsid w:val="00997EE8"/>
    <w:rsid w:val="009A57A9"/>
    <w:rsid w:val="009D0E02"/>
    <w:rsid w:val="00A02FD3"/>
    <w:rsid w:val="00A11A4C"/>
    <w:rsid w:val="00A16E58"/>
    <w:rsid w:val="00A2006B"/>
    <w:rsid w:val="00A63ED0"/>
    <w:rsid w:val="00A83A24"/>
    <w:rsid w:val="00AB4A81"/>
    <w:rsid w:val="00AD41CD"/>
    <w:rsid w:val="00AE6135"/>
    <w:rsid w:val="00B933DC"/>
    <w:rsid w:val="00BB2CCB"/>
    <w:rsid w:val="00BC1B7A"/>
    <w:rsid w:val="00BF625B"/>
    <w:rsid w:val="00BF78C6"/>
    <w:rsid w:val="00C2366B"/>
    <w:rsid w:val="00C51CAC"/>
    <w:rsid w:val="00C81F70"/>
    <w:rsid w:val="00C9542A"/>
    <w:rsid w:val="00CC4304"/>
    <w:rsid w:val="00CF4C13"/>
    <w:rsid w:val="00CF6873"/>
    <w:rsid w:val="00D0020E"/>
    <w:rsid w:val="00D22F22"/>
    <w:rsid w:val="00D35BE5"/>
    <w:rsid w:val="00D52972"/>
    <w:rsid w:val="00D65A46"/>
    <w:rsid w:val="00DC5654"/>
    <w:rsid w:val="00E017C5"/>
    <w:rsid w:val="00E64528"/>
    <w:rsid w:val="00F277FA"/>
    <w:rsid w:val="00F32920"/>
    <w:rsid w:val="00FC3893"/>
    <w:rsid w:val="00FC4C8E"/>
    <w:rsid w:val="00FD148B"/>
    <w:rsid w:val="00FD5EF6"/>
    <w:rsid w:val="00FF3F59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FE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5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E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6DF"/>
    <w:rPr>
      <w:rFonts w:ascii="Times New Roman" w:eastAsiaTheme="minorHAnsi" w:hAnsi="Times New Roman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6DF"/>
    <w:rPr>
      <w:rFonts w:ascii="Times New Roman" w:eastAsiaTheme="minorHAnsi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06"/>
  </w:style>
  <w:style w:type="paragraph" w:styleId="Footer">
    <w:name w:val="footer"/>
    <w:basedOn w:val="Normal"/>
    <w:link w:val="FooterChar"/>
    <w:uiPriority w:val="99"/>
    <w:unhideWhenUsed/>
    <w:rsid w:val="0001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06"/>
  </w:style>
  <w:style w:type="paragraph" w:styleId="FootnoteText">
    <w:name w:val="footnote text"/>
    <w:basedOn w:val="Normal"/>
    <w:link w:val="FootnoteTextChar"/>
    <w:uiPriority w:val="99"/>
    <w:semiHidden/>
    <w:unhideWhenUsed/>
    <w:rsid w:val="000A4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428"/>
    <w:rPr>
      <w:vertAlign w:val="superscript"/>
    </w:rPr>
  </w:style>
  <w:style w:type="paragraph" w:styleId="Revision">
    <w:name w:val="Revision"/>
    <w:hidden/>
    <w:uiPriority w:val="99"/>
    <w:semiHidden/>
    <w:rsid w:val="008141A2"/>
  </w:style>
  <w:style w:type="character" w:styleId="Hyperlink">
    <w:name w:val="Hyperlink"/>
    <w:basedOn w:val="DefaultParagraphFont"/>
    <w:uiPriority w:val="99"/>
    <w:unhideWhenUsed/>
    <w:rsid w:val="006F6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5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E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6DF"/>
    <w:rPr>
      <w:rFonts w:ascii="Times New Roman" w:eastAsiaTheme="minorHAnsi" w:hAnsi="Times New Roman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6DF"/>
    <w:rPr>
      <w:rFonts w:ascii="Times New Roman" w:eastAsiaTheme="minorHAnsi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06"/>
  </w:style>
  <w:style w:type="paragraph" w:styleId="Footer">
    <w:name w:val="footer"/>
    <w:basedOn w:val="Normal"/>
    <w:link w:val="FooterChar"/>
    <w:uiPriority w:val="99"/>
    <w:unhideWhenUsed/>
    <w:rsid w:val="0001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06"/>
  </w:style>
  <w:style w:type="paragraph" w:styleId="FootnoteText">
    <w:name w:val="footnote text"/>
    <w:basedOn w:val="Normal"/>
    <w:link w:val="FootnoteTextChar"/>
    <w:uiPriority w:val="99"/>
    <w:semiHidden/>
    <w:unhideWhenUsed/>
    <w:rsid w:val="000A4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428"/>
    <w:rPr>
      <w:vertAlign w:val="superscript"/>
    </w:rPr>
  </w:style>
  <w:style w:type="paragraph" w:styleId="Revision">
    <w:name w:val="Revision"/>
    <w:hidden/>
    <w:uiPriority w:val="99"/>
    <w:semiHidden/>
    <w:rsid w:val="008141A2"/>
  </w:style>
  <w:style w:type="character" w:styleId="Hyperlink">
    <w:name w:val="Hyperlink"/>
    <w:basedOn w:val="DefaultParagraphFont"/>
    <w:uiPriority w:val="99"/>
    <w:unhideWhenUsed/>
    <w:rsid w:val="006F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sa.gov/cskT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68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3952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2015-07-30T13:42:00Z</cp:lastPrinted>
  <dcterms:created xsi:type="dcterms:W3CDTF">2016-03-31T19:22:00Z</dcterms:created>
  <dcterms:modified xsi:type="dcterms:W3CDTF">2016-03-31T19:22:00Z</dcterms:modified>
  <cp:category> </cp:category>
  <cp:contentStatus> </cp:contentStatus>
</cp:coreProperties>
</file>