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186"/>
        <w:gridCol w:w="2835"/>
        <w:gridCol w:w="2795"/>
        <w:gridCol w:w="40"/>
      </w:tblGrid>
      <w:tr w:rsidR="004F0F1F" w:rsidRPr="008F78D8" w14:paraId="16D5849B" w14:textId="77777777" w:rsidTr="00CA2F20">
        <w:trPr>
          <w:trHeight w:val="2181"/>
        </w:trPr>
        <w:tc>
          <w:tcPr>
            <w:tcW w:w="8640" w:type="dxa"/>
            <w:gridSpan w:val="4"/>
          </w:tcPr>
          <w:p w14:paraId="430FFDA3" w14:textId="77777777" w:rsidR="00FF232D" w:rsidRDefault="00754B04" w:rsidP="006A7D75">
            <w:pPr>
              <w:jc w:val="center"/>
              <w:rPr>
                <w:b/>
              </w:rPr>
            </w:pPr>
            <w:bookmarkStart w:id="0" w:name="_GoBack"/>
            <w:bookmarkEnd w:id="0"/>
            <w:r>
              <w:rPr>
                <w:b/>
                <w:i/>
                <w:noProof/>
                <w:sz w:val="28"/>
                <w:szCs w:val="28"/>
              </w:rPr>
              <w:drawing>
                <wp:inline distT="0" distB="0" distL="0" distR="0" wp14:anchorId="58F76842" wp14:editId="2667981A">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78239B8" w14:textId="77777777" w:rsidR="00426518" w:rsidRDefault="00426518" w:rsidP="00B57131">
            <w:pPr>
              <w:rPr>
                <w:b/>
                <w:bCs/>
              </w:rPr>
            </w:pPr>
          </w:p>
          <w:p w14:paraId="39ED2A13" w14:textId="77777777" w:rsidR="007A44F8" w:rsidRPr="008A3940" w:rsidRDefault="007A44F8" w:rsidP="00BB4E29">
            <w:pPr>
              <w:rPr>
                <w:b/>
                <w:bCs/>
                <w:sz w:val="22"/>
                <w:szCs w:val="22"/>
              </w:rPr>
            </w:pPr>
            <w:r w:rsidRPr="008A3940">
              <w:rPr>
                <w:b/>
                <w:bCs/>
                <w:sz w:val="22"/>
                <w:szCs w:val="22"/>
              </w:rPr>
              <w:t xml:space="preserve">Media Contact: </w:t>
            </w:r>
          </w:p>
          <w:p w14:paraId="5A73F9C3" w14:textId="77777777" w:rsidR="007A44F8" w:rsidRPr="008A3940" w:rsidRDefault="003B05D8" w:rsidP="00BB4E29">
            <w:pPr>
              <w:rPr>
                <w:bCs/>
                <w:sz w:val="22"/>
                <w:szCs w:val="22"/>
              </w:rPr>
            </w:pPr>
            <w:r>
              <w:rPr>
                <w:bCs/>
                <w:sz w:val="22"/>
                <w:szCs w:val="22"/>
              </w:rPr>
              <w:t xml:space="preserve">Mark Wigfield,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14:paraId="2E418608" w14:textId="550717DD" w:rsidR="00FF232D" w:rsidRDefault="001D47DC" w:rsidP="00BB4E29">
            <w:pPr>
              <w:rPr>
                <w:bCs/>
                <w:sz w:val="22"/>
                <w:szCs w:val="22"/>
              </w:rPr>
            </w:pPr>
            <w:hyperlink r:id="rId9" w:history="1">
              <w:r w:rsidR="003B05D8" w:rsidRPr="00E837A0">
                <w:rPr>
                  <w:rStyle w:val="Hyperlink"/>
                  <w:bCs/>
                  <w:sz w:val="22"/>
                  <w:szCs w:val="22"/>
                </w:rPr>
                <w:t>mark.wigfield@fcc.gov</w:t>
              </w:r>
            </w:hyperlink>
          </w:p>
          <w:p w14:paraId="22BFB2BB" w14:textId="77777777" w:rsidR="007A44F8" w:rsidRPr="008A3940" w:rsidRDefault="007A44F8" w:rsidP="00BB4E29">
            <w:pPr>
              <w:rPr>
                <w:bCs/>
                <w:sz w:val="22"/>
                <w:szCs w:val="22"/>
              </w:rPr>
            </w:pPr>
          </w:p>
          <w:p w14:paraId="2F3870E6" w14:textId="77777777" w:rsidR="007A44F8" w:rsidRDefault="007A44F8" w:rsidP="00BB4E29">
            <w:pPr>
              <w:rPr>
                <w:b/>
                <w:sz w:val="22"/>
                <w:szCs w:val="22"/>
              </w:rPr>
            </w:pPr>
            <w:r w:rsidRPr="008A3940">
              <w:rPr>
                <w:b/>
                <w:sz w:val="22"/>
                <w:szCs w:val="22"/>
              </w:rPr>
              <w:t>For Immediate Release</w:t>
            </w:r>
          </w:p>
          <w:p w14:paraId="234FED8A" w14:textId="77777777" w:rsidR="003B05D8" w:rsidRDefault="003B05D8" w:rsidP="00BB4E29">
            <w:pPr>
              <w:rPr>
                <w:b/>
                <w:sz w:val="22"/>
                <w:szCs w:val="22"/>
              </w:rPr>
            </w:pPr>
          </w:p>
          <w:p w14:paraId="4C5893A2" w14:textId="382A7DE9" w:rsidR="003B05D8" w:rsidRPr="00C21076" w:rsidRDefault="00040F30" w:rsidP="003B05D8">
            <w:pPr>
              <w:spacing w:after="240"/>
              <w:jc w:val="center"/>
              <w:rPr>
                <w:b/>
                <w:sz w:val="22"/>
                <w:szCs w:val="22"/>
              </w:rPr>
            </w:pPr>
            <w:r>
              <w:rPr>
                <w:b/>
                <w:sz w:val="22"/>
                <w:szCs w:val="22"/>
              </w:rPr>
              <w:t xml:space="preserve">Windstream </w:t>
            </w:r>
            <w:r w:rsidR="003B05D8" w:rsidRPr="00C21076">
              <w:rPr>
                <w:b/>
                <w:sz w:val="22"/>
                <w:szCs w:val="22"/>
              </w:rPr>
              <w:t>Communications Accepts</w:t>
            </w:r>
            <w:r w:rsidR="0077556E">
              <w:rPr>
                <w:b/>
                <w:sz w:val="22"/>
                <w:szCs w:val="22"/>
              </w:rPr>
              <w:t xml:space="preserve"> </w:t>
            </w:r>
            <w:r w:rsidR="00AC793F">
              <w:rPr>
                <w:b/>
                <w:sz w:val="22"/>
                <w:szCs w:val="22"/>
              </w:rPr>
              <w:t xml:space="preserve">Nearly $175 </w:t>
            </w:r>
            <w:r w:rsidR="003B05D8" w:rsidRPr="00C21076">
              <w:rPr>
                <w:b/>
                <w:sz w:val="22"/>
                <w:szCs w:val="22"/>
              </w:rPr>
              <w:t xml:space="preserve">Million </w:t>
            </w:r>
            <w:r w:rsidR="009E5E69">
              <w:rPr>
                <w:b/>
                <w:sz w:val="22"/>
                <w:szCs w:val="22"/>
              </w:rPr>
              <w:t xml:space="preserve">in Annual Support </w:t>
            </w:r>
            <w:r w:rsidR="00AC793F">
              <w:rPr>
                <w:b/>
                <w:sz w:val="22"/>
                <w:szCs w:val="22"/>
              </w:rPr>
              <w:t xml:space="preserve">from </w:t>
            </w:r>
            <w:r w:rsidR="003B05D8" w:rsidRPr="00C21076">
              <w:rPr>
                <w:b/>
                <w:sz w:val="22"/>
                <w:szCs w:val="22"/>
              </w:rPr>
              <w:t xml:space="preserve">Connect America Fund to Expand and Support Broadband for </w:t>
            </w:r>
            <w:r w:rsidR="0072011C">
              <w:rPr>
                <w:b/>
                <w:sz w:val="22"/>
                <w:szCs w:val="22"/>
              </w:rPr>
              <w:t xml:space="preserve">Over 800,000 </w:t>
            </w:r>
            <w:r w:rsidR="003B05D8" w:rsidRPr="00C21076">
              <w:rPr>
                <w:b/>
                <w:sz w:val="22"/>
                <w:szCs w:val="22"/>
              </w:rPr>
              <w:t>Rural Americans</w:t>
            </w:r>
          </w:p>
          <w:p w14:paraId="7D249925" w14:textId="6A7CC3C2" w:rsidR="003B05D8" w:rsidRPr="00C21076" w:rsidRDefault="003B05D8" w:rsidP="003B05D8">
            <w:pPr>
              <w:spacing w:after="240"/>
              <w:rPr>
                <w:sz w:val="22"/>
                <w:szCs w:val="22"/>
              </w:rPr>
            </w:pPr>
            <w:r w:rsidRPr="00F3058B">
              <w:rPr>
                <w:bCs/>
                <w:sz w:val="22"/>
                <w:szCs w:val="22"/>
              </w:rPr>
              <w:t>Washington, D.C</w:t>
            </w:r>
            <w:r w:rsidRPr="00C21076">
              <w:rPr>
                <w:sz w:val="22"/>
                <w:szCs w:val="22"/>
              </w:rPr>
              <w:t>.</w:t>
            </w:r>
            <w:r w:rsidR="00040F30">
              <w:rPr>
                <w:sz w:val="22"/>
                <w:szCs w:val="22"/>
              </w:rPr>
              <w:t xml:space="preserve"> (Aug. 5</w:t>
            </w:r>
            <w:r w:rsidR="00F3058B">
              <w:rPr>
                <w:sz w:val="22"/>
                <w:szCs w:val="22"/>
              </w:rPr>
              <w:t>, 20</w:t>
            </w:r>
            <w:r w:rsidR="006A0C6E">
              <w:rPr>
                <w:sz w:val="22"/>
                <w:szCs w:val="22"/>
              </w:rPr>
              <w:t>15</w:t>
            </w:r>
            <w:r w:rsidR="00F3058B">
              <w:rPr>
                <w:sz w:val="22"/>
                <w:szCs w:val="22"/>
              </w:rPr>
              <w:t>)</w:t>
            </w:r>
            <w:r w:rsidRPr="00C21076">
              <w:rPr>
                <w:sz w:val="22"/>
                <w:szCs w:val="22"/>
              </w:rPr>
              <w:t xml:space="preserve"> – </w:t>
            </w:r>
            <w:r w:rsidR="00E01263">
              <w:rPr>
                <w:sz w:val="22"/>
                <w:szCs w:val="22"/>
              </w:rPr>
              <w:t xml:space="preserve">Windstream </w:t>
            </w:r>
            <w:r w:rsidR="00E01263" w:rsidRPr="00C21076">
              <w:rPr>
                <w:sz w:val="22"/>
                <w:szCs w:val="22"/>
              </w:rPr>
              <w:t>Communications</w:t>
            </w:r>
            <w:r w:rsidRPr="00C21076">
              <w:rPr>
                <w:sz w:val="22"/>
                <w:szCs w:val="22"/>
              </w:rPr>
              <w:t xml:space="preserve"> Inc. has accepted $</w:t>
            </w:r>
            <w:r w:rsidR="0072011C">
              <w:rPr>
                <w:sz w:val="22"/>
                <w:szCs w:val="22"/>
              </w:rPr>
              <w:t xml:space="preserve">174,895,478 </w:t>
            </w:r>
            <w:r w:rsidR="005B24FF">
              <w:rPr>
                <w:sz w:val="22"/>
                <w:szCs w:val="22"/>
              </w:rPr>
              <w:t xml:space="preserve">in annual, ongoing support </w:t>
            </w:r>
            <w:r w:rsidRPr="00C21076">
              <w:rPr>
                <w:sz w:val="22"/>
                <w:szCs w:val="22"/>
              </w:rPr>
              <w:t>from the Connect America Fund t</w:t>
            </w:r>
            <w:r w:rsidR="000229BD">
              <w:rPr>
                <w:sz w:val="22"/>
                <w:szCs w:val="22"/>
              </w:rPr>
              <w:t>o expand and support broadband for</w:t>
            </w:r>
            <w:r w:rsidRPr="00C21076">
              <w:rPr>
                <w:sz w:val="22"/>
                <w:szCs w:val="22"/>
              </w:rPr>
              <w:t xml:space="preserve"> </w:t>
            </w:r>
            <w:r w:rsidR="0072011C">
              <w:rPr>
                <w:sz w:val="22"/>
                <w:szCs w:val="22"/>
              </w:rPr>
              <w:t>over 800,000</w:t>
            </w:r>
            <w:r w:rsidR="00DD2203">
              <w:rPr>
                <w:sz w:val="22"/>
                <w:szCs w:val="22"/>
              </w:rPr>
              <w:t xml:space="preserve"> </w:t>
            </w:r>
            <w:r w:rsidRPr="00C21076">
              <w:rPr>
                <w:sz w:val="22"/>
                <w:szCs w:val="22"/>
              </w:rPr>
              <w:t xml:space="preserve">of its rural customers in </w:t>
            </w:r>
            <w:r w:rsidR="0072011C">
              <w:rPr>
                <w:sz w:val="22"/>
                <w:szCs w:val="22"/>
              </w:rPr>
              <w:t>17</w:t>
            </w:r>
            <w:r w:rsidR="002F02B3">
              <w:rPr>
                <w:sz w:val="22"/>
                <w:szCs w:val="22"/>
              </w:rPr>
              <w:t xml:space="preserve"> states</w:t>
            </w:r>
            <w:r w:rsidR="00890F0A">
              <w:rPr>
                <w:sz w:val="22"/>
                <w:szCs w:val="22"/>
              </w:rPr>
              <w:t>.</w:t>
            </w:r>
          </w:p>
          <w:p w14:paraId="001424D8" w14:textId="6F162E74" w:rsidR="003B05D8" w:rsidRDefault="005B24FF" w:rsidP="003B05D8">
            <w:pPr>
              <w:pStyle w:val="ListParagraph"/>
              <w:ind w:left="0"/>
              <w:rPr>
                <w:rFonts w:ascii="Times New Roman" w:eastAsia="Times New Roman" w:hAnsi="Times New Roman" w:cs="Times New Roman"/>
              </w:rPr>
            </w:pPr>
            <w:r>
              <w:rPr>
                <w:rFonts w:ascii="Times New Roman" w:eastAsia="Times New Roman" w:hAnsi="Times New Roman" w:cs="Times New Roman"/>
              </w:rPr>
              <w:t>The</w:t>
            </w:r>
            <w:r w:rsidR="003B05D8" w:rsidRPr="00C21076">
              <w:rPr>
                <w:rFonts w:ascii="Times New Roman" w:eastAsia="Times New Roman" w:hAnsi="Times New Roman" w:cs="Times New Roman"/>
              </w:rPr>
              <w:t xml:space="preserve"> Connect America Fund </w:t>
            </w:r>
            <w:r>
              <w:rPr>
                <w:rFonts w:ascii="Times New Roman" w:eastAsia="Times New Roman" w:hAnsi="Times New Roman" w:cs="Times New Roman"/>
              </w:rPr>
              <w:t xml:space="preserve">support will enable Windstream to </w:t>
            </w:r>
            <w:r w:rsidR="003B05D8" w:rsidRPr="00C21076">
              <w:rPr>
                <w:rFonts w:ascii="Times New Roman" w:eastAsia="Times New Roman" w:hAnsi="Times New Roman" w:cs="Times New Roman"/>
              </w:rPr>
              <w:t>deliver broadband at speeds of at least 10 Mbps fo</w:t>
            </w:r>
            <w:r w:rsidR="000229BD">
              <w:rPr>
                <w:rFonts w:ascii="Times New Roman" w:eastAsia="Times New Roman" w:hAnsi="Times New Roman" w:cs="Times New Roman"/>
              </w:rPr>
              <w:t xml:space="preserve">r downloads and 1 Mbps uploads to </w:t>
            </w:r>
            <w:r w:rsidR="003B05D8" w:rsidRPr="00C21076">
              <w:rPr>
                <w:rFonts w:ascii="Times New Roman" w:eastAsia="Times New Roman" w:hAnsi="Times New Roman" w:cs="Times New Roman"/>
              </w:rPr>
              <w:t xml:space="preserve">over </w:t>
            </w:r>
            <w:r w:rsidR="0072011C">
              <w:rPr>
                <w:rFonts w:ascii="Times New Roman" w:eastAsia="Times New Roman" w:hAnsi="Times New Roman" w:cs="Times New Roman"/>
              </w:rPr>
              <w:t>404,000</w:t>
            </w:r>
            <w:r w:rsidR="003B05D8" w:rsidRPr="00C21076">
              <w:rPr>
                <w:rFonts w:ascii="Times New Roman" w:eastAsia="Times New Roman" w:hAnsi="Times New Roman" w:cs="Times New Roman"/>
              </w:rPr>
              <w:t xml:space="preserve"> homes and businesses </w:t>
            </w:r>
            <w:r>
              <w:rPr>
                <w:rFonts w:ascii="Times New Roman" w:eastAsia="Times New Roman" w:hAnsi="Times New Roman" w:cs="Times New Roman"/>
              </w:rPr>
              <w:t xml:space="preserve">in its rural service areas </w:t>
            </w:r>
            <w:r w:rsidR="003B05D8" w:rsidRPr="00C21076">
              <w:rPr>
                <w:rFonts w:ascii="Times New Roman" w:eastAsia="Times New Roman" w:hAnsi="Times New Roman" w:cs="Times New Roman"/>
              </w:rPr>
              <w:t>nationwide</w:t>
            </w:r>
            <w:r>
              <w:rPr>
                <w:rFonts w:ascii="Times New Roman" w:eastAsia="Times New Roman" w:hAnsi="Times New Roman" w:cs="Times New Roman"/>
              </w:rPr>
              <w:t xml:space="preserve"> where the cost of broadband deployment might otherwise be prohibitive.</w:t>
            </w:r>
          </w:p>
          <w:p w14:paraId="1FD62473" w14:textId="77777777" w:rsidR="006A0C6E" w:rsidRPr="00C21076" w:rsidRDefault="006A0C6E" w:rsidP="003B05D8">
            <w:pPr>
              <w:pStyle w:val="ListParagraph"/>
              <w:ind w:left="0"/>
              <w:rPr>
                <w:rFonts w:ascii="Times New Roman" w:eastAsia="Times New Roman" w:hAnsi="Times New Roman" w:cs="Times New Roman"/>
              </w:rPr>
            </w:pPr>
          </w:p>
          <w:p w14:paraId="4639DB8F" w14:textId="77777777" w:rsidR="009A6524" w:rsidRDefault="009A6524" w:rsidP="009A6524">
            <w:pPr>
              <w:rPr>
                <w:sz w:val="22"/>
                <w:szCs w:val="22"/>
              </w:rPr>
            </w:pPr>
            <w:r w:rsidRPr="00C21076">
              <w:rPr>
                <w:sz w:val="22"/>
                <w:szCs w:val="22"/>
              </w:rPr>
              <w:t>“</w:t>
            </w:r>
            <w:r>
              <w:rPr>
                <w:sz w:val="22"/>
                <w:szCs w:val="22"/>
              </w:rPr>
              <w:t xml:space="preserve">Windstream’s decision to accept support from the Connect America Fund will greatly benefit its rural customers by expanding robust broadband in their communities,” said FCC Chairman Tom Wheeler. </w:t>
            </w:r>
            <w:r w:rsidRPr="00C21076">
              <w:rPr>
                <w:sz w:val="22"/>
                <w:szCs w:val="22"/>
              </w:rPr>
              <w:t>“</w:t>
            </w:r>
            <w:r>
              <w:rPr>
                <w:sz w:val="22"/>
                <w:szCs w:val="22"/>
              </w:rPr>
              <w:t xml:space="preserve">The Connect America Fund is delivering on its promise of ensuring that </w:t>
            </w:r>
            <w:r w:rsidRPr="00C21076">
              <w:rPr>
                <w:sz w:val="22"/>
                <w:szCs w:val="22"/>
              </w:rPr>
              <w:t xml:space="preserve">all Americans have access to </w:t>
            </w:r>
            <w:r>
              <w:rPr>
                <w:sz w:val="22"/>
                <w:szCs w:val="22"/>
              </w:rPr>
              <w:t xml:space="preserve">the opportunities provided by </w:t>
            </w:r>
            <w:r w:rsidRPr="00C21076">
              <w:rPr>
                <w:sz w:val="22"/>
                <w:szCs w:val="22"/>
              </w:rPr>
              <w:t xml:space="preserve">modern broadband </w:t>
            </w:r>
            <w:r>
              <w:rPr>
                <w:sz w:val="22"/>
                <w:szCs w:val="22"/>
              </w:rPr>
              <w:t xml:space="preserve">service, </w:t>
            </w:r>
            <w:r w:rsidRPr="00C21076">
              <w:rPr>
                <w:sz w:val="22"/>
                <w:szCs w:val="22"/>
              </w:rPr>
              <w:t>no matter where they live.”</w:t>
            </w:r>
          </w:p>
          <w:p w14:paraId="5B09C9B4" w14:textId="77777777" w:rsidR="002F02B3" w:rsidRDefault="002F02B3" w:rsidP="003B05D8">
            <w:pPr>
              <w:rPr>
                <w:sz w:val="22"/>
                <w:szCs w:val="22"/>
              </w:rPr>
            </w:pPr>
          </w:p>
          <w:p w14:paraId="218BEDD0" w14:textId="512D137C" w:rsidR="002F02B3" w:rsidRDefault="009A6524" w:rsidP="003B05D8">
            <w:pPr>
              <w:rPr>
                <w:sz w:val="22"/>
                <w:szCs w:val="22"/>
              </w:rPr>
            </w:pPr>
            <w:r>
              <w:rPr>
                <w:sz w:val="22"/>
                <w:szCs w:val="22"/>
              </w:rPr>
              <w:t xml:space="preserve">Below is a state-by-state list of the amount of </w:t>
            </w:r>
            <w:r w:rsidR="009E5E69">
              <w:rPr>
                <w:sz w:val="22"/>
                <w:szCs w:val="22"/>
              </w:rPr>
              <w:t xml:space="preserve">annual </w:t>
            </w:r>
            <w:r>
              <w:rPr>
                <w:sz w:val="22"/>
                <w:szCs w:val="22"/>
              </w:rPr>
              <w:t>support provided and number of homes and businesses served</w:t>
            </w:r>
            <w:r w:rsidR="002F02B3">
              <w:rPr>
                <w:sz w:val="22"/>
                <w:szCs w:val="22"/>
              </w:rPr>
              <w:t>:</w:t>
            </w:r>
          </w:p>
          <w:p w14:paraId="21546AE7" w14:textId="77777777" w:rsidR="002F02B3" w:rsidRDefault="002F02B3" w:rsidP="00CA2F20">
            <w:pPr>
              <w:rPr>
                <w:sz w:val="22"/>
                <w:szCs w:val="22"/>
              </w:rPr>
            </w:pPr>
          </w:p>
          <w:p w14:paraId="3E95E095" w14:textId="77777777" w:rsidR="00EE0E90" w:rsidRPr="00E644FE" w:rsidRDefault="00EE0E90" w:rsidP="00142C13">
            <w:pPr>
              <w:ind w:left="360" w:right="498"/>
              <w:jc w:val="center"/>
              <w:rPr>
                <w:b/>
                <w:bCs/>
                <w:sz w:val="18"/>
                <w:szCs w:val="18"/>
              </w:rPr>
            </w:pPr>
          </w:p>
        </w:tc>
      </w:tr>
      <w:tr w:rsidR="00CA2F20" w14:paraId="32309A68" w14:textId="77777777" w:rsidTr="00F007C1">
        <w:tblPrEx>
          <w:tblLook w:val="04A0" w:firstRow="1" w:lastRow="0" w:firstColumn="1" w:lastColumn="0" w:noHBand="0" w:noVBand="1"/>
        </w:tblPrEx>
        <w:trPr>
          <w:gridAfter w:val="1"/>
          <w:wAfter w:w="73" w:type="dxa"/>
          <w:trHeight w:val="1155"/>
        </w:trPr>
        <w:tc>
          <w:tcPr>
            <w:tcW w:w="309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C199CCD" w14:textId="77777777" w:rsidR="00CA2F20" w:rsidRDefault="00CA2F20">
            <w:pPr>
              <w:jc w:val="center"/>
              <w:rPr>
                <w:b/>
                <w:bCs/>
                <w:sz w:val="22"/>
                <w:szCs w:val="22"/>
              </w:rPr>
            </w:pPr>
            <w:r>
              <w:rPr>
                <w:b/>
                <w:bCs/>
                <w:sz w:val="22"/>
                <w:szCs w:val="22"/>
              </w:rPr>
              <w:t>CAFII - Final Adopted Model for Offer of Model - Based Support to Price Cap Carriers - CAM 4.3</w:t>
            </w:r>
          </w:p>
        </w:tc>
        <w:tc>
          <w:tcPr>
            <w:tcW w:w="2755" w:type="dxa"/>
            <w:tcBorders>
              <w:top w:val="single" w:sz="4" w:space="0" w:color="auto"/>
              <w:left w:val="nil"/>
              <w:bottom w:val="single" w:sz="4" w:space="0" w:color="auto"/>
              <w:right w:val="single" w:sz="4" w:space="0" w:color="auto"/>
            </w:tcBorders>
            <w:shd w:val="clear" w:color="000000" w:fill="BFBFBF"/>
            <w:vAlign w:val="bottom"/>
            <w:hideMark/>
          </w:tcPr>
          <w:p w14:paraId="2DA145F5" w14:textId="77777777" w:rsidR="00CA2F20" w:rsidRDefault="00CA2F20">
            <w:pPr>
              <w:jc w:val="center"/>
              <w:rPr>
                <w:b/>
                <w:bCs/>
                <w:sz w:val="22"/>
                <w:szCs w:val="22"/>
              </w:rPr>
            </w:pPr>
            <w:r>
              <w:rPr>
                <w:b/>
                <w:bCs/>
                <w:sz w:val="22"/>
                <w:szCs w:val="22"/>
              </w:rPr>
              <w:t>Homes and Businesses Supported</w:t>
            </w:r>
          </w:p>
        </w:tc>
        <w:tc>
          <w:tcPr>
            <w:tcW w:w="2716" w:type="dxa"/>
            <w:tcBorders>
              <w:top w:val="single" w:sz="4" w:space="0" w:color="auto"/>
              <w:left w:val="nil"/>
              <w:bottom w:val="single" w:sz="4" w:space="0" w:color="auto"/>
              <w:right w:val="single" w:sz="4" w:space="0" w:color="auto"/>
            </w:tcBorders>
            <w:shd w:val="clear" w:color="000000" w:fill="BFBFBF"/>
            <w:vAlign w:val="bottom"/>
            <w:hideMark/>
          </w:tcPr>
          <w:p w14:paraId="1F05879F" w14:textId="77777777" w:rsidR="00CA2F20" w:rsidRDefault="00CA2F20">
            <w:pPr>
              <w:jc w:val="center"/>
              <w:rPr>
                <w:b/>
                <w:bCs/>
                <w:sz w:val="22"/>
                <w:szCs w:val="22"/>
              </w:rPr>
            </w:pPr>
            <w:r>
              <w:rPr>
                <w:b/>
                <w:bCs/>
                <w:sz w:val="22"/>
                <w:szCs w:val="22"/>
              </w:rPr>
              <w:t>Support Amount by State</w:t>
            </w:r>
          </w:p>
        </w:tc>
      </w:tr>
      <w:tr w:rsidR="00CA2F20" w14:paraId="156DF0B9" w14:textId="77777777" w:rsidTr="00F007C1">
        <w:tblPrEx>
          <w:tblLook w:val="04A0" w:firstRow="1" w:lastRow="0" w:firstColumn="1" w:lastColumn="0" w:noHBand="0" w:noVBand="1"/>
        </w:tblPrEx>
        <w:trPr>
          <w:gridAfter w:val="1"/>
          <w:wAfter w:w="73" w:type="dxa"/>
          <w:trHeight w:val="315"/>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0DA051BD" w14:textId="74896693" w:rsidR="00CA2F20" w:rsidRDefault="00CA2F20">
            <w:pPr>
              <w:rPr>
                <w:sz w:val="22"/>
                <w:szCs w:val="22"/>
              </w:rPr>
            </w:pPr>
            <w:bookmarkStart w:id="1" w:name="RANGE!A6:C24"/>
            <w:r>
              <w:rPr>
                <w:sz w:val="22"/>
                <w:szCs w:val="22"/>
              </w:rPr>
              <w:t xml:space="preserve"> Windstream Total </w:t>
            </w:r>
            <w:bookmarkEnd w:id="1"/>
          </w:p>
        </w:tc>
        <w:tc>
          <w:tcPr>
            <w:tcW w:w="2755" w:type="dxa"/>
            <w:tcBorders>
              <w:top w:val="nil"/>
              <w:left w:val="nil"/>
              <w:bottom w:val="single" w:sz="4" w:space="0" w:color="auto"/>
              <w:right w:val="single" w:sz="4" w:space="0" w:color="auto"/>
            </w:tcBorders>
            <w:shd w:val="clear" w:color="auto" w:fill="auto"/>
            <w:noWrap/>
            <w:vAlign w:val="bottom"/>
            <w:hideMark/>
          </w:tcPr>
          <w:p w14:paraId="5A6C7DD9" w14:textId="77777777" w:rsidR="00CA2F20" w:rsidRDefault="00CA2F20">
            <w:pPr>
              <w:rPr>
                <w:sz w:val="22"/>
                <w:szCs w:val="22"/>
              </w:rPr>
            </w:pPr>
            <w:r>
              <w:rPr>
                <w:sz w:val="22"/>
                <w:szCs w:val="22"/>
              </w:rPr>
              <w:t xml:space="preserve">                             404,625 </w:t>
            </w:r>
          </w:p>
        </w:tc>
        <w:tc>
          <w:tcPr>
            <w:tcW w:w="2716" w:type="dxa"/>
            <w:tcBorders>
              <w:top w:val="nil"/>
              <w:left w:val="nil"/>
              <w:bottom w:val="single" w:sz="4" w:space="0" w:color="auto"/>
              <w:right w:val="single" w:sz="4" w:space="0" w:color="auto"/>
            </w:tcBorders>
            <w:shd w:val="clear" w:color="auto" w:fill="auto"/>
            <w:noWrap/>
            <w:vAlign w:val="bottom"/>
            <w:hideMark/>
          </w:tcPr>
          <w:p w14:paraId="0F24E4E5" w14:textId="77777777" w:rsidR="00CA2F20" w:rsidRDefault="00CA2F20">
            <w:pPr>
              <w:rPr>
                <w:sz w:val="22"/>
                <w:szCs w:val="22"/>
              </w:rPr>
            </w:pPr>
            <w:r>
              <w:rPr>
                <w:sz w:val="22"/>
                <w:szCs w:val="22"/>
              </w:rPr>
              <w:t xml:space="preserve"> $                 174,895,478 </w:t>
            </w:r>
          </w:p>
        </w:tc>
      </w:tr>
      <w:tr w:rsidR="00CA2F20" w14:paraId="13BD0CC1"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000000" w:fill="969696"/>
            <w:vAlign w:val="bottom"/>
            <w:hideMark/>
          </w:tcPr>
          <w:p w14:paraId="35B8A048" w14:textId="77777777" w:rsidR="00CA2F20" w:rsidRDefault="00CA2F20">
            <w:pPr>
              <w:jc w:val="center"/>
              <w:rPr>
                <w:b/>
                <w:bCs/>
                <w:sz w:val="22"/>
                <w:szCs w:val="22"/>
              </w:rPr>
            </w:pPr>
            <w:r>
              <w:rPr>
                <w:b/>
                <w:bCs/>
                <w:sz w:val="22"/>
                <w:szCs w:val="22"/>
              </w:rPr>
              <w:t> </w:t>
            </w:r>
          </w:p>
        </w:tc>
        <w:tc>
          <w:tcPr>
            <w:tcW w:w="2755" w:type="dxa"/>
            <w:tcBorders>
              <w:top w:val="nil"/>
              <w:left w:val="nil"/>
              <w:bottom w:val="single" w:sz="4" w:space="0" w:color="auto"/>
              <w:right w:val="single" w:sz="4" w:space="0" w:color="auto"/>
            </w:tcBorders>
            <w:shd w:val="clear" w:color="000000" w:fill="969696"/>
            <w:vAlign w:val="bottom"/>
            <w:hideMark/>
          </w:tcPr>
          <w:p w14:paraId="06E9B10B" w14:textId="77777777" w:rsidR="00CA2F20" w:rsidRDefault="00CA2F20">
            <w:pPr>
              <w:jc w:val="center"/>
              <w:rPr>
                <w:b/>
                <w:bCs/>
                <w:sz w:val="22"/>
                <w:szCs w:val="22"/>
              </w:rPr>
            </w:pPr>
            <w:r>
              <w:rPr>
                <w:b/>
                <w:bCs/>
                <w:sz w:val="22"/>
                <w:szCs w:val="22"/>
              </w:rPr>
              <w:t> </w:t>
            </w:r>
          </w:p>
        </w:tc>
        <w:tc>
          <w:tcPr>
            <w:tcW w:w="2716" w:type="dxa"/>
            <w:tcBorders>
              <w:top w:val="nil"/>
              <w:left w:val="nil"/>
              <w:bottom w:val="single" w:sz="4" w:space="0" w:color="auto"/>
              <w:right w:val="single" w:sz="4" w:space="0" w:color="auto"/>
            </w:tcBorders>
            <w:shd w:val="clear" w:color="000000" w:fill="969696"/>
            <w:vAlign w:val="bottom"/>
            <w:hideMark/>
          </w:tcPr>
          <w:p w14:paraId="4E39A007" w14:textId="77777777" w:rsidR="00CA2F20" w:rsidRDefault="00CA2F20">
            <w:pPr>
              <w:jc w:val="center"/>
              <w:rPr>
                <w:b/>
                <w:bCs/>
                <w:color w:val="000000"/>
                <w:sz w:val="22"/>
                <w:szCs w:val="22"/>
              </w:rPr>
            </w:pPr>
            <w:r>
              <w:rPr>
                <w:b/>
                <w:bCs/>
                <w:color w:val="000000"/>
                <w:sz w:val="22"/>
                <w:szCs w:val="22"/>
              </w:rPr>
              <w:t> </w:t>
            </w:r>
          </w:p>
        </w:tc>
      </w:tr>
      <w:tr w:rsidR="00CA2F20" w14:paraId="2BDF7512"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69F0448" w14:textId="77777777" w:rsidR="00CA2F20" w:rsidRDefault="00CA2F20">
            <w:pPr>
              <w:jc w:val="center"/>
              <w:rPr>
                <w:color w:val="000000"/>
                <w:sz w:val="22"/>
                <w:szCs w:val="22"/>
              </w:rPr>
            </w:pPr>
            <w:r>
              <w:rPr>
                <w:color w:val="000000"/>
                <w:sz w:val="22"/>
                <w:szCs w:val="22"/>
              </w:rPr>
              <w:t>AL</w:t>
            </w:r>
          </w:p>
        </w:tc>
        <w:tc>
          <w:tcPr>
            <w:tcW w:w="2755" w:type="dxa"/>
            <w:tcBorders>
              <w:top w:val="nil"/>
              <w:left w:val="nil"/>
              <w:bottom w:val="single" w:sz="4" w:space="0" w:color="auto"/>
              <w:right w:val="single" w:sz="4" w:space="0" w:color="auto"/>
            </w:tcBorders>
            <w:shd w:val="clear" w:color="auto" w:fill="auto"/>
            <w:noWrap/>
            <w:vAlign w:val="bottom"/>
            <w:hideMark/>
          </w:tcPr>
          <w:p w14:paraId="2D741287" w14:textId="77777777" w:rsidR="00CA2F20" w:rsidRDefault="00CA2F20">
            <w:pPr>
              <w:rPr>
                <w:color w:val="000000"/>
                <w:sz w:val="22"/>
                <w:szCs w:val="22"/>
              </w:rPr>
            </w:pPr>
            <w:r>
              <w:rPr>
                <w:color w:val="000000"/>
                <w:sz w:val="22"/>
                <w:szCs w:val="22"/>
              </w:rPr>
              <w:t xml:space="preserve">                                1,889 </w:t>
            </w:r>
          </w:p>
        </w:tc>
        <w:tc>
          <w:tcPr>
            <w:tcW w:w="2716" w:type="dxa"/>
            <w:tcBorders>
              <w:top w:val="nil"/>
              <w:left w:val="nil"/>
              <w:bottom w:val="single" w:sz="4" w:space="0" w:color="auto"/>
              <w:right w:val="single" w:sz="4" w:space="0" w:color="auto"/>
            </w:tcBorders>
            <w:shd w:val="clear" w:color="auto" w:fill="auto"/>
            <w:noWrap/>
            <w:vAlign w:val="bottom"/>
            <w:hideMark/>
          </w:tcPr>
          <w:p w14:paraId="58F78CC0" w14:textId="77777777" w:rsidR="00CA2F20" w:rsidRDefault="00CA2F20">
            <w:pPr>
              <w:rPr>
                <w:color w:val="000000"/>
                <w:sz w:val="22"/>
                <w:szCs w:val="22"/>
              </w:rPr>
            </w:pPr>
            <w:r>
              <w:rPr>
                <w:color w:val="000000"/>
                <w:sz w:val="22"/>
                <w:szCs w:val="22"/>
              </w:rPr>
              <w:t xml:space="preserve"> $                       511,038 </w:t>
            </w:r>
          </w:p>
        </w:tc>
      </w:tr>
      <w:tr w:rsidR="00CA2F20" w14:paraId="0238C4F4"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369B0CC8" w14:textId="77777777" w:rsidR="00CA2F20" w:rsidRDefault="00CA2F20">
            <w:pPr>
              <w:jc w:val="center"/>
              <w:rPr>
                <w:color w:val="000000"/>
                <w:sz w:val="22"/>
                <w:szCs w:val="22"/>
              </w:rPr>
            </w:pPr>
            <w:r>
              <w:rPr>
                <w:color w:val="000000"/>
                <w:sz w:val="22"/>
                <w:szCs w:val="22"/>
              </w:rPr>
              <w:t>AR</w:t>
            </w:r>
          </w:p>
        </w:tc>
        <w:tc>
          <w:tcPr>
            <w:tcW w:w="2755" w:type="dxa"/>
            <w:tcBorders>
              <w:top w:val="nil"/>
              <w:left w:val="nil"/>
              <w:bottom w:val="single" w:sz="4" w:space="0" w:color="auto"/>
              <w:right w:val="single" w:sz="4" w:space="0" w:color="auto"/>
            </w:tcBorders>
            <w:shd w:val="clear" w:color="auto" w:fill="auto"/>
            <w:noWrap/>
            <w:vAlign w:val="bottom"/>
            <w:hideMark/>
          </w:tcPr>
          <w:p w14:paraId="754614F1" w14:textId="77777777" w:rsidR="00CA2F20" w:rsidRDefault="00CA2F20">
            <w:pPr>
              <w:rPr>
                <w:color w:val="000000"/>
                <w:sz w:val="22"/>
                <w:szCs w:val="22"/>
              </w:rPr>
            </w:pPr>
            <w:r>
              <w:rPr>
                <w:color w:val="000000"/>
                <w:sz w:val="22"/>
                <w:szCs w:val="22"/>
              </w:rPr>
              <w:t xml:space="preserve">                              32,312 </w:t>
            </w:r>
          </w:p>
        </w:tc>
        <w:tc>
          <w:tcPr>
            <w:tcW w:w="2716" w:type="dxa"/>
            <w:tcBorders>
              <w:top w:val="nil"/>
              <w:left w:val="nil"/>
              <w:bottom w:val="single" w:sz="4" w:space="0" w:color="auto"/>
              <w:right w:val="single" w:sz="4" w:space="0" w:color="auto"/>
            </w:tcBorders>
            <w:shd w:val="clear" w:color="auto" w:fill="auto"/>
            <w:noWrap/>
            <w:vAlign w:val="bottom"/>
            <w:hideMark/>
          </w:tcPr>
          <w:p w14:paraId="1C9E5BE9" w14:textId="77777777" w:rsidR="00CA2F20" w:rsidRDefault="00CA2F20">
            <w:pPr>
              <w:rPr>
                <w:color w:val="000000"/>
                <w:sz w:val="22"/>
                <w:szCs w:val="22"/>
              </w:rPr>
            </w:pPr>
            <w:r>
              <w:rPr>
                <w:color w:val="000000"/>
                <w:sz w:val="22"/>
                <w:szCs w:val="22"/>
              </w:rPr>
              <w:t xml:space="preserve"> $                  13,163,783 </w:t>
            </w:r>
          </w:p>
        </w:tc>
      </w:tr>
      <w:tr w:rsidR="00CA2F20" w14:paraId="18DF1DA6"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6E866CF" w14:textId="77777777" w:rsidR="00CA2F20" w:rsidRDefault="00CA2F20">
            <w:pPr>
              <w:jc w:val="center"/>
              <w:rPr>
                <w:color w:val="000000"/>
                <w:sz w:val="22"/>
                <w:szCs w:val="22"/>
              </w:rPr>
            </w:pPr>
            <w:r>
              <w:rPr>
                <w:color w:val="000000"/>
                <w:sz w:val="22"/>
                <w:szCs w:val="22"/>
              </w:rPr>
              <w:t>FL</w:t>
            </w:r>
          </w:p>
        </w:tc>
        <w:tc>
          <w:tcPr>
            <w:tcW w:w="2755" w:type="dxa"/>
            <w:tcBorders>
              <w:top w:val="nil"/>
              <w:left w:val="nil"/>
              <w:bottom w:val="single" w:sz="4" w:space="0" w:color="auto"/>
              <w:right w:val="single" w:sz="4" w:space="0" w:color="auto"/>
            </w:tcBorders>
            <w:shd w:val="clear" w:color="auto" w:fill="auto"/>
            <w:noWrap/>
            <w:vAlign w:val="bottom"/>
            <w:hideMark/>
          </w:tcPr>
          <w:p w14:paraId="2CBCE673" w14:textId="77777777" w:rsidR="00CA2F20" w:rsidRDefault="00CA2F20">
            <w:pPr>
              <w:rPr>
                <w:color w:val="000000"/>
                <w:sz w:val="22"/>
                <w:szCs w:val="22"/>
              </w:rPr>
            </w:pPr>
            <w:r>
              <w:rPr>
                <w:color w:val="000000"/>
                <w:sz w:val="22"/>
                <w:szCs w:val="22"/>
              </w:rPr>
              <w:t xml:space="preserve">                              17,891 </w:t>
            </w:r>
          </w:p>
        </w:tc>
        <w:tc>
          <w:tcPr>
            <w:tcW w:w="2716" w:type="dxa"/>
            <w:tcBorders>
              <w:top w:val="nil"/>
              <w:left w:val="nil"/>
              <w:bottom w:val="single" w:sz="4" w:space="0" w:color="auto"/>
              <w:right w:val="single" w:sz="4" w:space="0" w:color="auto"/>
            </w:tcBorders>
            <w:shd w:val="clear" w:color="auto" w:fill="auto"/>
            <w:noWrap/>
            <w:vAlign w:val="bottom"/>
            <w:hideMark/>
          </w:tcPr>
          <w:p w14:paraId="65E18CB0" w14:textId="77777777" w:rsidR="00CA2F20" w:rsidRDefault="00CA2F20">
            <w:pPr>
              <w:rPr>
                <w:color w:val="000000"/>
                <w:sz w:val="22"/>
                <w:szCs w:val="22"/>
              </w:rPr>
            </w:pPr>
            <w:r>
              <w:rPr>
                <w:color w:val="000000"/>
                <w:sz w:val="22"/>
                <w:szCs w:val="22"/>
              </w:rPr>
              <w:t xml:space="preserve"> $                    5,236,626 </w:t>
            </w:r>
          </w:p>
        </w:tc>
      </w:tr>
      <w:tr w:rsidR="00CA2F20" w14:paraId="2C907CFC"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42811763" w14:textId="77777777" w:rsidR="00CA2F20" w:rsidRDefault="00CA2F20">
            <w:pPr>
              <w:jc w:val="center"/>
              <w:rPr>
                <w:color w:val="000000"/>
                <w:sz w:val="22"/>
                <w:szCs w:val="22"/>
              </w:rPr>
            </w:pPr>
            <w:r>
              <w:rPr>
                <w:color w:val="000000"/>
                <w:sz w:val="22"/>
                <w:szCs w:val="22"/>
              </w:rPr>
              <w:t>GA</w:t>
            </w:r>
          </w:p>
        </w:tc>
        <w:tc>
          <w:tcPr>
            <w:tcW w:w="2755" w:type="dxa"/>
            <w:tcBorders>
              <w:top w:val="nil"/>
              <w:left w:val="nil"/>
              <w:bottom w:val="single" w:sz="4" w:space="0" w:color="auto"/>
              <w:right w:val="single" w:sz="4" w:space="0" w:color="auto"/>
            </w:tcBorders>
            <w:shd w:val="clear" w:color="auto" w:fill="auto"/>
            <w:noWrap/>
            <w:vAlign w:val="bottom"/>
            <w:hideMark/>
          </w:tcPr>
          <w:p w14:paraId="6D6AFFA3" w14:textId="77777777" w:rsidR="00CA2F20" w:rsidRDefault="00CA2F20">
            <w:pPr>
              <w:rPr>
                <w:color w:val="000000"/>
                <w:sz w:val="22"/>
                <w:szCs w:val="22"/>
              </w:rPr>
            </w:pPr>
            <w:r>
              <w:rPr>
                <w:color w:val="000000"/>
                <w:sz w:val="22"/>
                <w:szCs w:val="22"/>
              </w:rPr>
              <w:t xml:space="preserve">                              64,721 </w:t>
            </w:r>
          </w:p>
        </w:tc>
        <w:tc>
          <w:tcPr>
            <w:tcW w:w="2716" w:type="dxa"/>
            <w:tcBorders>
              <w:top w:val="nil"/>
              <w:left w:val="nil"/>
              <w:bottom w:val="single" w:sz="4" w:space="0" w:color="auto"/>
              <w:right w:val="single" w:sz="4" w:space="0" w:color="auto"/>
            </w:tcBorders>
            <w:shd w:val="clear" w:color="auto" w:fill="auto"/>
            <w:noWrap/>
            <w:vAlign w:val="bottom"/>
            <w:hideMark/>
          </w:tcPr>
          <w:p w14:paraId="3CDE05C7" w14:textId="77777777" w:rsidR="00CA2F20" w:rsidRDefault="00CA2F20">
            <w:pPr>
              <w:rPr>
                <w:color w:val="000000"/>
                <w:sz w:val="22"/>
                <w:szCs w:val="22"/>
              </w:rPr>
            </w:pPr>
            <w:r>
              <w:rPr>
                <w:color w:val="000000"/>
                <w:sz w:val="22"/>
                <w:szCs w:val="22"/>
              </w:rPr>
              <w:t xml:space="preserve"> $                  24,867,807 </w:t>
            </w:r>
          </w:p>
        </w:tc>
      </w:tr>
      <w:tr w:rsidR="00CA2F20" w14:paraId="7CA176B7"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3E179348" w14:textId="77777777" w:rsidR="00CA2F20" w:rsidRDefault="00CA2F20">
            <w:pPr>
              <w:jc w:val="center"/>
              <w:rPr>
                <w:color w:val="000000"/>
                <w:sz w:val="22"/>
                <w:szCs w:val="22"/>
              </w:rPr>
            </w:pPr>
            <w:r>
              <w:rPr>
                <w:color w:val="000000"/>
                <w:sz w:val="22"/>
                <w:szCs w:val="22"/>
              </w:rPr>
              <w:t>IA</w:t>
            </w:r>
          </w:p>
        </w:tc>
        <w:tc>
          <w:tcPr>
            <w:tcW w:w="2755" w:type="dxa"/>
            <w:tcBorders>
              <w:top w:val="nil"/>
              <w:left w:val="nil"/>
              <w:bottom w:val="single" w:sz="4" w:space="0" w:color="auto"/>
              <w:right w:val="single" w:sz="4" w:space="0" w:color="auto"/>
            </w:tcBorders>
            <w:shd w:val="clear" w:color="auto" w:fill="auto"/>
            <w:noWrap/>
            <w:vAlign w:val="bottom"/>
            <w:hideMark/>
          </w:tcPr>
          <w:p w14:paraId="297A12CA" w14:textId="77777777" w:rsidR="00CA2F20" w:rsidRDefault="00CA2F20">
            <w:pPr>
              <w:rPr>
                <w:color w:val="000000"/>
                <w:sz w:val="22"/>
                <w:szCs w:val="22"/>
              </w:rPr>
            </w:pPr>
            <w:r>
              <w:rPr>
                <w:color w:val="000000"/>
                <w:sz w:val="22"/>
                <w:szCs w:val="22"/>
              </w:rPr>
              <w:t xml:space="preserve">                              44,930 </w:t>
            </w:r>
          </w:p>
        </w:tc>
        <w:tc>
          <w:tcPr>
            <w:tcW w:w="2716" w:type="dxa"/>
            <w:tcBorders>
              <w:top w:val="nil"/>
              <w:left w:val="nil"/>
              <w:bottom w:val="single" w:sz="4" w:space="0" w:color="auto"/>
              <w:right w:val="single" w:sz="4" w:space="0" w:color="auto"/>
            </w:tcBorders>
            <w:shd w:val="clear" w:color="auto" w:fill="auto"/>
            <w:noWrap/>
            <w:vAlign w:val="bottom"/>
            <w:hideMark/>
          </w:tcPr>
          <w:p w14:paraId="4B2F9CDC" w14:textId="77777777" w:rsidR="00CA2F20" w:rsidRDefault="00CA2F20">
            <w:pPr>
              <w:rPr>
                <w:color w:val="000000"/>
                <w:sz w:val="22"/>
                <w:szCs w:val="22"/>
              </w:rPr>
            </w:pPr>
            <w:r>
              <w:rPr>
                <w:color w:val="000000"/>
                <w:sz w:val="22"/>
                <w:szCs w:val="22"/>
              </w:rPr>
              <w:t xml:space="preserve"> $                  28,672,554 </w:t>
            </w:r>
          </w:p>
        </w:tc>
      </w:tr>
      <w:tr w:rsidR="00CA2F20" w14:paraId="4C965B36"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9543FAB" w14:textId="77777777" w:rsidR="00CA2F20" w:rsidRDefault="00CA2F20">
            <w:pPr>
              <w:jc w:val="center"/>
              <w:rPr>
                <w:color w:val="000000"/>
                <w:sz w:val="22"/>
                <w:szCs w:val="22"/>
              </w:rPr>
            </w:pPr>
            <w:r>
              <w:rPr>
                <w:color w:val="000000"/>
                <w:sz w:val="22"/>
                <w:szCs w:val="22"/>
              </w:rPr>
              <w:t>KY</w:t>
            </w:r>
          </w:p>
        </w:tc>
        <w:tc>
          <w:tcPr>
            <w:tcW w:w="2755" w:type="dxa"/>
            <w:tcBorders>
              <w:top w:val="nil"/>
              <w:left w:val="nil"/>
              <w:bottom w:val="single" w:sz="4" w:space="0" w:color="auto"/>
              <w:right w:val="single" w:sz="4" w:space="0" w:color="auto"/>
            </w:tcBorders>
            <w:shd w:val="clear" w:color="auto" w:fill="auto"/>
            <w:noWrap/>
            <w:vAlign w:val="bottom"/>
            <w:hideMark/>
          </w:tcPr>
          <w:p w14:paraId="101B6043" w14:textId="77777777" w:rsidR="00CA2F20" w:rsidRDefault="00CA2F20">
            <w:pPr>
              <w:rPr>
                <w:color w:val="000000"/>
                <w:sz w:val="22"/>
                <w:szCs w:val="22"/>
              </w:rPr>
            </w:pPr>
            <w:r>
              <w:rPr>
                <w:color w:val="000000"/>
                <w:sz w:val="22"/>
                <w:szCs w:val="22"/>
              </w:rPr>
              <w:t xml:space="preserve">                              62,070 </w:t>
            </w:r>
          </w:p>
        </w:tc>
        <w:tc>
          <w:tcPr>
            <w:tcW w:w="2716" w:type="dxa"/>
            <w:tcBorders>
              <w:top w:val="nil"/>
              <w:left w:val="nil"/>
              <w:bottom w:val="single" w:sz="4" w:space="0" w:color="auto"/>
              <w:right w:val="single" w:sz="4" w:space="0" w:color="auto"/>
            </w:tcBorders>
            <w:shd w:val="clear" w:color="auto" w:fill="auto"/>
            <w:noWrap/>
            <w:vAlign w:val="bottom"/>
            <w:hideMark/>
          </w:tcPr>
          <w:p w14:paraId="0548955A" w14:textId="77777777" w:rsidR="00CA2F20" w:rsidRDefault="00CA2F20">
            <w:pPr>
              <w:rPr>
                <w:color w:val="000000"/>
                <w:sz w:val="22"/>
                <w:szCs w:val="22"/>
              </w:rPr>
            </w:pPr>
            <w:r>
              <w:rPr>
                <w:color w:val="000000"/>
                <w:sz w:val="22"/>
                <w:szCs w:val="22"/>
              </w:rPr>
              <w:t xml:space="preserve"> $                  21,576,987 </w:t>
            </w:r>
          </w:p>
        </w:tc>
      </w:tr>
      <w:tr w:rsidR="00CA2F20" w14:paraId="75660310"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3F360554" w14:textId="77777777" w:rsidR="00CA2F20" w:rsidRDefault="00CA2F20">
            <w:pPr>
              <w:jc w:val="center"/>
              <w:rPr>
                <w:color w:val="000000"/>
                <w:sz w:val="22"/>
                <w:szCs w:val="22"/>
              </w:rPr>
            </w:pPr>
            <w:r>
              <w:rPr>
                <w:color w:val="000000"/>
                <w:sz w:val="22"/>
                <w:szCs w:val="22"/>
              </w:rPr>
              <w:t>MN</w:t>
            </w:r>
          </w:p>
        </w:tc>
        <w:tc>
          <w:tcPr>
            <w:tcW w:w="2755" w:type="dxa"/>
            <w:tcBorders>
              <w:top w:val="nil"/>
              <w:left w:val="nil"/>
              <w:bottom w:val="single" w:sz="4" w:space="0" w:color="auto"/>
              <w:right w:val="single" w:sz="4" w:space="0" w:color="auto"/>
            </w:tcBorders>
            <w:shd w:val="clear" w:color="auto" w:fill="auto"/>
            <w:noWrap/>
            <w:vAlign w:val="bottom"/>
            <w:hideMark/>
          </w:tcPr>
          <w:p w14:paraId="167731C6" w14:textId="77777777" w:rsidR="00CA2F20" w:rsidRDefault="00CA2F20">
            <w:pPr>
              <w:rPr>
                <w:color w:val="000000"/>
                <w:sz w:val="22"/>
                <w:szCs w:val="22"/>
              </w:rPr>
            </w:pPr>
            <w:r>
              <w:rPr>
                <w:color w:val="000000"/>
                <w:sz w:val="22"/>
                <w:szCs w:val="22"/>
              </w:rPr>
              <w:t xml:space="preserve">                                4,440 </w:t>
            </w:r>
          </w:p>
        </w:tc>
        <w:tc>
          <w:tcPr>
            <w:tcW w:w="2716" w:type="dxa"/>
            <w:tcBorders>
              <w:top w:val="nil"/>
              <w:left w:val="nil"/>
              <w:bottom w:val="single" w:sz="4" w:space="0" w:color="auto"/>
              <w:right w:val="single" w:sz="4" w:space="0" w:color="auto"/>
            </w:tcBorders>
            <w:shd w:val="clear" w:color="auto" w:fill="auto"/>
            <w:noWrap/>
            <w:vAlign w:val="bottom"/>
            <w:hideMark/>
          </w:tcPr>
          <w:p w14:paraId="75BD2CA1" w14:textId="77777777" w:rsidR="00CA2F20" w:rsidRDefault="00CA2F20">
            <w:pPr>
              <w:rPr>
                <w:color w:val="000000"/>
                <w:sz w:val="22"/>
                <w:szCs w:val="22"/>
              </w:rPr>
            </w:pPr>
            <w:r>
              <w:rPr>
                <w:color w:val="000000"/>
                <w:sz w:val="22"/>
                <w:szCs w:val="22"/>
              </w:rPr>
              <w:t xml:space="preserve"> $                    1,519,855 </w:t>
            </w:r>
          </w:p>
        </w:tc>
      </w:tr>
      <w:tr w:rsidR="00CA2F20" w14:paraId="2B8FF41A"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5907046" w14:textId="77777777" w:rsidR="00CA2F20" w:rsidRDefault="00CA2F20">
            <w:pPr>
              <w:jc w:val="center"/>
              <w:rPr>
                <w:color w:val="000000"/>
                <w:sz w:val="22"/>
                <w:szCs w:val="22"/>
              </w:rPr>
            </w:pPr>
            <w:r>
              <w:rPr>
                <w:color w:val="000000"/>
                <w:sz w:val="22"/>
                <w:szCs w:val="22"/>
              </w:rPr>
              <w:t>MO</w:t>
            </w:r>
          </w:p>
        </w:tc>
        <w:tc>
          <w:tcPr>
            <w:tcW w:w="2755" w:type="dxa"/>
            <w:tcBorders>
              <w:top w:val="nil"/>
              <w:left w:val="nil"/>
              <w:bottom w:val="single" w:sz="4" w:space="0" w:color="auto"/>
              <w:right w:val="single" w:sz="4" w:space="0" w:color="auto"/>
            </w:tcBorders>
            <w:shd w:val="clear" w:color="auto" w:fill="auto"/>
            <w:noWrap/>
            <w:vAlign w:val="bottom"/>
            <w:hideMark/>
          </w:tcPr>
          <w:p w14:paraId="71302A2F" w14:textId="77777777" w:rsidR="00CA2F20" w:rsidRDefault="00CA2F20">
            <w:pPr>
              <w:rPr>
                <w:color w:val="000000"/>
                <w:sz w:val="22"/>
                <w:szCs w:val="22"/>
              </w:rPr>
            </w:pPr>
            <w:r>
              <w:rPr>
                <w:color w:val="000000"/>
                <w:sz w:val="22"/>
                <w:szCs w:val="22"/>
              </w:rPr>
              <w:t xml:space="preserve">                              27,509 </w:t>
            </w:r>
          </w:p>
        </w:tc>
        <w:tc>
          <w:tcPr>
            <w:tcW w:w="2716" w:type="dxa"/>
            <w:tcBorders>
              <w:top w:val="nil"/>
              <w:left w:val="nil"/>
              <w:bottom w:val="single" w:sz="4" w:space="0" w:color="auto"/>
              <w:right w:val="single" w:sz="4" w:space="0" w:color="auto"/>
            </w:tcBorders>
            <w:shd w:val="clear" w:color="auto" w:fill="auto"/>
            <w:noWrap/>
            <w:vAlign w:val="bottom"/>
            <w:hideMark/>
          </w:tcPr>
          <w:p w14:paraId="5FCF3779" w14:textId="77777777" w:rsidR="00CA2F20" w:rsidRDefault="00CA2F20">
            <w:pPr>
              <w:rPr>
                <w:color w:val="000000"/>
                <w:sz w:val="22"/>
                <w:szCs w:val="22"/>
              </w:rPr>
            </w:pPr>
            <w:r>
              <w:rPr>
                <w:color w:val="000000"/>
                <w:sz w:val="22"/>
                <w:szCs w:val="22"/>
              </w:rPr>
              <w:t xml:space="preserve"> $                  14,187,910 </w:t>
            </w:r>
          </w:p>
        </w:tc>
      </w:tr>
      <w:tr w:rsidR="00CA2F20" w14:paraId="0E0A95F7"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4C944670" w14:textId="77777777" w:rsidR="00CA2F20" w:rsidRDefault="00CA2F20">
            <w:pPr>
              <w:jc w:val="center"/>
              <w:rPr>
                <w:color w:val="000000"/>
                <w:sz w:val="22"/>
                <w:szCs w:val="22"/>
              </w:rPr>
            </w:pPr>
            <w:r>
              <w:rPr>
                <w:color w:val="000000"/>
                <w:sz w:val="22"/>
                <w:szCs w:val="22"/>
              </w:rPr>
              <w:t>MS</w:t>
            </w:r>
          </w:p>
        </w:tc>
        <w:tc>
          <w:tcPr>
            <w:tcW w:w="2755" w:type="dxa"/>
            <w:tcBorders>
              <w:top w:val="nil"/>
              <w:left w:val="nil"/>
              <w:bottom w:val="single" w:sz="4" w:space="0" w:color="auto"/>
              <w:right w:val="single" w:sz="4" w:space="0" w:color="auto"/>
            </w:tcBorders>
            <w:shd w:val="clear" w:color="auto" w:fill="auto"/>
            <w:noWrap/>
            <w:vAlign w:val="bottom"/>
            <w:hideMark/>
          </w:tcPr>
          <w:p w14:paraId="6F5F0AFB" w14:textId="77777777" w:rsidR="00CA2F20" w:rsidRDefault="00CA2F20">
            <w:pPr>
              <w:rPr>
                <w:color w:val="000000"/>
                <w:sz w:val="22"/>
                <w:szCs w:val="22"/>
              </w:rPr>
            </w:pPr>
            <w:r>
              <w:rPr>
                <w:color w:val="000000"/>
                <w:sz w:val="22"/>
                <w:szCs w:val="22"/>
              </w:rPr>
              <w:t xml:space="preserve">                                2,760 </w:t>
            </w:r>
          </w:p>
        </w:tc>
        <w:tc>
          <w:tcPr>
            <w:tcW w:w="2716" w:type="dxa"/>
            <w:tcBorders>
              <w:top w:val="nil"/>
              <w:left w:val="nil"/>
              <w:bottom w:val="single" w:sz="4" w:space="0" w:color="auto"/>
              <w:right w:val="single" w:sz="4" w:space="0" w:color="auto"/>
            </w:tcBorders>
            <w:shd w:val="clear" w:color="auto" w:fill="auto"/>
            <w:noWrap/>
            <w:vAlign w:val="bottom"/>
            <w:hideMark/>
          </w:tcPr>
          <w:p w14:paraId="2C352649" w14:textId="77777777" w:rsidR="00CA2F20" w:rsidRDefault="00CA2F20">
            <w:pPr>
              <w:rPr>
                <w:color w:val="000000"/>
                <w:sz w:val="22"/>
                <w:szCs w:val="22"/>
              </w:rPr>
            </w:pPr>
            <w:r>
              <w:rPr>
                <w:color w:val="000000"/>
                <w:sz w:val="22"/>
                <w:szCs w:val="22"/>
              </w:rPr>
              <w:t xml:space="preserve"> $                       917,403 </w:t>
            </w:r>
          </w:p>
        </w:tc>
      </w:tr>
      <w:tr w:rsidR="00CA2F20" w14:paraId="5FACC9FF"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4727D73B" w14:textId="77777777" w:rsidR="00CA2F20" w:rsidRDefault="00CA2F20">
            <w:pPr>
              <w:jc w:val="center"/>
              <w:rPr>
                <w:color w:val="000000"/>
                <w:sz w:val="22"/>
                <w:szCs w:val="22"/>
              </w:rPr>
            </w:pPr>
            <w:r>
              <w:rPr>
                <w:color w:val="000000"/>
                <w:sz w:val="22"/>
                <w:szCs w:val="22"/>
              </w:rPr>
              <w:t>NC</w:t>
            </w:r>
          </w:p>
        </w:tc>
        <w:tc>
          <w:tcPr>
            <w:tcW w:w="2755" w:type="dxa"/>
            <w:tcBorders>
              <w:top w:val="nil"/>
              <w:left w:val="nil"/>
              <w:bottom w:val="single" w:sz="4" w:space="0" w:color="auto"/>
              <w:right w:val="single" w:sz="4" w:space="0" w:color="auto"/>
            </w:tcBorders>
            <w:shd w:val="clear" w:color="auto" w:fill="auto"/>
            <w:noWrap/>
            <w:vAlign w:val="bottom"/>
            <w:hideMark/>
          </w:tcPr>
          <w:p w14:paraId="5E78DC9B" w14:textId="77777777" w:rsidR="00CA2F20" w:rsidRDefault="00CA2F20">
            <w:pPr>
              <w:rPr>
                <w:color w:val="000000"/>
                <w:sz w:val="22"/>
                <w:szCs w:val="22"/>
              </w:rPr>
            </w:pPr>
            <w:r>
              <w:rPr>
                <w:color w:val="000000"/>
                <w:sz w:val="22"/>
                <w:szCs w:val="22"/>
              </w:rPr>
              <w:t xml:space="preserve">                                6,988 </w:t>
            </w:r>
          </w:p>
        </w:tc>
        <w:tc>
          <w:tcPr>
            <w:tcW w:w="2716" w:type="dxa"/>
            <w:tcBorders>
              <w:top w:val="nil"/>
              <w:left w:val="nil"/>
              <w:bottom w:val="single" w:sz="4" w:space="0" w:color="auto"/>
              <w:right w:val="single" w:sz="4" w:space="0" w:color="auto"/>
            </w:tcBorders>
            <w:shd w:val="clear" w:color="auto" w:fill="auto"/>
            <w:noWrap/>
            <w:vAlign w:val="bottom"/>
            <w:hideMark/>
          </w:tcPr>
          <w:p w14:paraId="5DB40EE8" w14:textId="77777777" w:rsidR="00CA2F20" w:rsidRDefault="00CA2F20">
            <w:pPr>
              <w:rPr>
                <w:color w:val="000000"/>
                <w:sz w:val="22"/>
                <w:szCs w:val="22"/>
              </w:rPr>
            </w:pPr>
            <w:r>
              <w:rPr>
                <w:color w:val="000000"/>
                <w:sz w:val="22"/>
                <w:szCs w:val="22"/>
              </w:rPr>
              <w:t xml:space="preserve"> $                    1,952,082 </w:t>
            </w:r>
          </w:p>
        </w:tc>
      </w:tr>
      <w:tr w:rsidR="00CA2F20" w14:paraId="43A193C2"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02CE352D" w14:textId="77777777" w:rsidR="00CA2F20" w:rsidRDefault="00CA2F20">
            <w:pPr>
              <w:jc w:val="center"/>
              <w:rPr>
                <w:color w:val="000000"/>
                <w:sz w:val="22"/>
                <w:szCs w:val="22"/>
              </w:rPr>
            </w:pPr>
            <w:r>
              <w:rPr>
                <w:color w:val="000000"/>
                <w:sz w:val="22"/>
                <w:szCs w:val="22"/>
              </w:rPr>
              <w:t>NE</w:t>
            </w:r>
          </w:p>
        </w:tc>
        <w:tc>
          <w:tcPr>
            <w:tcW w:w="2755" w:type="dxa"/>
            <w:tcBorders>
              <w:top w:val="nil"/>
              <w:left w:val="nil"/>
              <w:bottom w:val="single" w:sz="4" w:space="0" w:color="auto"/>
              <w:right w:val="single" w:sz="4" w:space="0" w:color="auto"/>
            </w:tcBorders>
            <w:shd w:val="clear" w:color="auto" w:fill="auto"/>
            <w:noWrap/>
            <w:vAlign w:val="bottom"/>
            <w:hideMark/>
          </w:tcPr>
          <w:p w14:paraId="3BDAA44A" w14:textId="77777777" w:rsidR="00CA2F20" w:rsidRDefault="00CA2F20">
            <w:pPr>
              <w:rPr>
                <w:color w:val="000000"/>
                <w:sz w:val="22"/>
                <w:szCs w:val="22"/>
              </w:rPr>
            </w:pPr>
            <w:r>
              <w:rPr>
                <w:color w:val="000000"/>
                <w:sz w:val="22"/>
                <w:szCs w:val="22"/>
              </w:rPr>
              <w:t xml:space="preserve">                              21,560 </w:t>
            </w:r>
          </w:p>
        </w:tc>
        <w:tc>
          <w:tcPr>
            <w:tcW w:w="2716" w:type="dxa"/>
            <w:tcBorders>
              <w:top w:val="nil"/>
              <w:left w:val="nil"/>
              <w:bottom w:val="single" w:sz="4" w:space="0" w:color="auto"/>
              <w:right w:val="single" w:sz="4" w:space="0" w:color="auto"/>
            </w:tcBorders>
            <w:shd w:val="clear" w:color="auto" w:fill="auto"/>
            <w:noWrap/>
            <w:vAlign w:val="bottom"/>
            <w:hideMark/>
          </w:tcPr>
          <w:p w14:paraId="4DDD736A" w14:textId="77777777" w:rsidR="00CA2F20" w:rsidRDefault="00CA2F20">
            <w:pPr>
              <w:rPr>
                <w:color w:val="000000"/>
                <w:sz w:val="22"/>
                <w:szCs w:val="22"/>
              </w:rPr>
            </w:pPr>
            <w:r>
              <w:rPr>
                <w:color w:val="000000"/>
                <w:sz w:val="22"/>
                <w:szCs w:val="22"/>
              </w:rPr>
              <w:t xml:space="preserve"> $                  13,591,437 </w:t>
            </w:r>
          </w:p>
        </w:tc>
      </w:tr>
      <w:tr w:rsidR="00CA2F20" w14:paraId="6E41972A"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28AE42AF" w14:textId="77777777" w:rsidR="00CA2F20" w:rsidRDefault="00CA2F20">
            <w:pPr>
              <w:jc w:val="center"/>
              <w:rPr>
                <w:color w:val="000000"/>
                <w:sz w:val="22"/>
                <w:szCs w:val="22"/>
              </w:rPr>
            </w:pPr>
            <w:r>
              <w:rPr>
                <w:color w:val="000000"/>
                <w:sz w:val="22"/>
                <w:szCs w:val="22"/>
              </w:rPr>
              <w:t>NY</w:t>
            </w:r>
          </w:p>
        </w:tc>
        <w:tc>
          <w:tcPr>
            <w:tcW w:w="2755" w:type="dxa"/>
            <w:tcBorders>
              <w:top w:val="nil"/>
              <w:left w:val="nil"/>
              <w:bottom w:val="single" w:sz="4" w:space="0" w:color="auto"/>
              <w:right w:val="single" w:sz="4" w:space="0" w:color="auto"/>
            </w:tcBorders>
            <w:shd w:val="clear" w:color="auto" w:fill="auto"/>
            <w:noWrap/>
            <w:vAlign w:val="bottom"/>
            <w:hideMark/>
          </w:tcPr>
          <w:p w14:paraId="4040F8CF" w14:textId="77777777" w:rsidR="00CA2F20" w:rsidRDefault="00CA2F20">
            <w:pPr>
              <w:rPr>
                <w:color w:val="000000"/>
                <w:sz w:val="22"/>
                <w:szCs w:val="22"/>
              </w:rPr>
            </w:pPr>
            <w:r>
              <w:rPr>
                <w:color w:val="000000"/>
                <w:sz w:val="22"/>
                <w:szCs w:val="22"/>
              </w:rPr>
              <w:t xml:space="preserve">                                5,210 </w:t>
            </w:r>
          </w:p>
        </w:tc>
        <w:tc>
          <w:tcPr>
            <w:tcW w:w="2716" w:type="dxa"/>
            <w:tcBorders>
              <w:top w:val="nil"/>
              <w:left w:val="nil"/>
              <w:bottom w:val="single" w:sz="4" w:space="0" w:color="auto"/>
              <w:right w:val="single" w:sz="4" w:space="0" w:color="auto"/>
            </w:tcBorders>
            <w:shd w:val="clear" w:color="auto" w:fill="auto"/>
            <w:noWrap/>
            <w:vAlign w:val="bottom"/>
            <w:hideMark/>
          </w:tcPr>
          <w:p w14:paraId="1795F0BF" w14:textId="77777777" w:rsidR="00CA2F20" w:rsidRDefault="00CA2F20">
            <w:pPr>
              <w:rPr>
                <w:color w:val="000000"/>
                <w:sz w:val="22"/>
                <w:szCs w:val="22"/>
              </w:rPr>
            </w:pPr>
            <w:r>
              <w:rPr>
                <w:color w:val="000000"/>
                <w:sz w:val="22"/>
                <w:szCs w:val="22"/>
              </w:rPr>
              <w:t xml:space="preserve"> $                    1,557,976 </w:t>
            </w:r>
          </w:p>
        </w:tc>
      </w:tr>
      <w:tr w:rsidR="00CA2F20" w14:paraId="74217702"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55126E8" w14:textId="77777777" w:rsidR="00CA2F20" w:rsidRDefault="00CA2F20">
            <w:pPr>
              <w:jc w:val="center"/>
              <w:rPr>
                <w:color w:val="000000"/>
                <w:sz w:val="22"/>
                <w:szCs w:val="22"/>
              </w:rPr>
            </w:pPr>
            <w:r>
              <w:rPr>
                <w:color w:val="000000"/>
                <w:sz w:val="22"/>
                <w:szCs w:val="22"/>
              </w:rPr>
              <w:t>OH</w:t>
            </w:r>
          </w:p>
        </w:tc>
        <w:tc>
          <w:tcPr>
            <w:tcW w:w="2755" w:type="dxa"/>
            <w:tcBorders>
              <w:top w:val="nil"/>
              <w:left w:val="nil"/>
              <w:bottom w:val="single" w:sz="4" w:space="0" w:color="auto"/>
              <w:right w:val="single" w:sz="4" w:space="0" w:color="auto"/>
            </w:tcBorders>
            <w:shd w:val="clear" w:color="auto" w:fill="auto"/>
            <w:noWrap/>
            <w:vAlign w:val="bottom"/>
            <w:hideMark/>
          </w:tcPr>
          <w:p w14:paraId="754E8DD6" w14:textId="77777777" w:rsidR="00CA2F20" w:rsidRDefault="00CA2F20">
            <w:pPr>
              <w:rPr>
                <w:color w:val="000000"/>
                <w:sz w:val="22"/>
                <w:szCs w:val="22"/>
              </w:rPr>
            </w:pPr>
            <w:r>
              <w:rPr>
                <w:color w:val="000000"/>
                <w:sz w:val="22"/>
                <w:szCs w:val="22"/>
              </w:rPr>
              <w:t xml:space="preserve">                              13,073 </w:t>
            </w:r>
          </w:p>
        </w:tc>
        <w:tc>
          <w:tcPr>
            <w:tcW w:w="2716" w:type="dxa"/>
            <w:tcBorders>
              <w:top w:val="nil"/>
              <w:left w:val="nil"/>
              <w:bottom w:val="single" w:sz="4" w:space="0" w:color="auto"/>
              <w:right w:val="single" w:sz="4" w:space="0" w:color="auto"/>
            </w:tcBorders>
            <w:shd w:val="clear" w:color="auto" w:fill="auto"/>
            <w:noWrap/>
            <w:vAlign w:val="bottom"/>
            <w:hideMark/>
          </w:tcPr>
          <w:p w14:paraId="61A438BC" w14:textId="77777777" w:rsidR="00CA2F20" w:rsidRDefault="00CA2F20">
            <w:pPr>
              <w:rPr>
                <w:color w:val="000000"/>
                <w:sz w:val="22"/>
                <w:szCs w:val="22"/>
              </w:rPr>
            </w:pPr>
            <w:r>
              <w:rPr>
                <w:color w:val="000000"/>
                <w:sz w:val="22"/>
                <w:szCs w:val="22"/>
              </w:rPr>
              <w:t xml:space="preserve"> $                    4,154,270 </w:t>
            </w:r>
          </w:p>
        </w:tc>
      </w:tr>
      <w:tr w:rsidR="00CA2F20" w14:paraId="6F76608F"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42DF8B73" w14:textId="77777777" w:rsidR="00CA2F20" w:rsidRDefault="00CA2F20">
            <w:pPr>
              <w:jc w:val="center"/>
              <w:rPr>
                <w:color w:val="000000"/>
                <w:sz w:val="22"/>
                <w:szCs w:val="22"/>
              </w:rPr>
            </w:pPr>
            <w:r>
              <w:rPr>
                <w:color w:val="000000"/>
                <w:sz w:val="22"/>
                <w:szCs w:val="22"/>
              </w:rPr>
              <w:t>OK</w:t>
            </w:r>
          </w:p>
        </w:tc>
        <w:tc>
          <w:tcPr>
            <w:tcW w:w="2755" w:type="dxa"/>
            <w:tcBorders>
              <w:top w:val="nil"/>
              <w:left w:val="nil"/>
              <w:bottom w:val="single" w:sz="4" w:space="0" w:color="auto"/>
              <w:right w:val="single" w:sz="4" w:space="0" w:color="auto"/>
            </w:tcBorders>
            <w:shd w:val="clear" w:color="auto" w:fill="auto"/>
            <w:noWrap/>
            <w:vAlign w:val="bottom"/>
            <w:hideMark/>
          </w:tcPr>
          <w:p w14:paraId="14F5A135" w14:textId="77777777" w:rsidR="00CA2F20" w:rsidRDefault="00CA2F20">
            <w:pPr>
              <w:rPr>
                <w:color w:val="000000"/>
                <w:sz w:val="22"/>
                <w:szCs w:val="22"/>
              </w:rPr>
            </w:pPr>
            <w:r>
              <w:rPr>
                <w:color w:val="000000"/>
                <w:sz w:val="22"/>
                <w:szCs w:val="22"/>
              </w:rPr>
              <w:t xml:space="preserve">                              16,741 </w:t>
            </w:r>
          </w:p>
        </w:tc>
        <w:tc>
          <w:tcPr>
            <w:tcW w:w="2716" w:type="dxa"/>
            <w:tcBorders>
              <w:top w:val="nil"/>
              <w:left w:val="nil"/>
              <w:bottom w:val="single" w:sz="4" w:space="0" w:color="auto"/>
              <w:right w:val="single" w:sz="4" w:space="0" w:color="auto"/>
            </w:tcBorders>
            <w:shd w:val="clear" w:color="auto" w:fill="auto"/>
            <w:noWrap/>
            <w:vAlign w:val="bottom"/>
            <w:hideMark/>
          </w:tcPr>
          <w:p w14:paraId="2E362D58" w14:textId="77777777" w:rsidR="00CA2F20" w:rsidRDefault="00CA2F20">
            <w:pPr>
              <w:rPr>
                <w:color w:val="000000"/>
                <w:sz w:val="22"/>
                <w:szCs w:val="22"/>
              </w:rPr>
            </w:pPr>
            <w:r>
              <w:rPr>
                <w:color w:val="000000"/>
                <w:sz w:val="22"/>
                <w:szCs w:val="22"/>
              </w:rPr>
              <w:t xml:space="preserve"> $                    7,788,213 </w:t>
            </w:r>
          </w:p>
        </w:tc>
      </w:tr>
      <w:tr w:rsidR="00CA2F20" w14:paraId="244305A0"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2B6334C1" w14:textId="77777777" w:rsidR="00CA2F20" w:rsidRDefault="00CA2F20">
            <w:pPr>
              <w:jc w:val="center"/>
              <w:rPr>
                <w:color w:val="000000"/>
                <w:sz w:val="22"/>
                <w:szCs w:val="22"/>
              </w:rPr>
            </w:pPr>
            <w:r>
              <w:rPr>
                <w:color w:val="000000"/>
                <w:sz w:val="22"/>
                <w:szCs w:val="22"/>
              </w:rPr>
              <w:t>PA</w:t>
            </w:r>
          </w:p>
        </w:tc>
        <w:tc>
          <w:tcPr>
            <w:tcW w:w="2755" w:type="dxa"/>
            <w:tcBorders>
              <w:top w:val="nil"/>
              <w:left w:val="nil"/>
              <w:bottom w:val="single" w:sz="4" w:space="0" w:color="auto"/>
              <w:right w:val="single" w:sz="4" w:space="0" w:color="auto"/>
            </w:tcBorders>
            <w:shd w:val="clear" w:color="auto" w:fill="auto"/>
            <w:noWrap/>
            <w:vAlign w:val="bottom"/>
            <w:hideMark/>
          </w:tcPr>
          <w:p w14:paraId="17EB8BAF" w14:textId="77777777" w:rsidR="00CA2F20" w:rsidRDefault="00CA2F20">
            <w:pPr>
              <w:rPr>
                <w:color w:val="000000"/>
                <w:sz w:val="22"/>
                <w:szCs w:val="22"/>
              </w:rPr>
            </w:pPr>
            <w:r>
              <w:rPr>
                <w:color w:val="000000"/>
                <w:sz w:val="22"/>
                <w:szCs w:val="22"/>
              </w:rPr>
              <w:t xml:space="preserve">                              34,807 </w:t>
            </w:r>
          </w:p>
        </w:tc>
        <w:tc>
          <w:tcPr>
            <w:tcW w:w="2716" w:type="dxa"/>
            <w:tcBorders>
              <w:top w:val="nil"/>
              <w:left w:val="nil"/>
              <w:bottom w:val="single" w:sz="4" w:space="0" w:color="auto"/>
              <w:right w:val="single" w:sz="4" w:space="0" w:color="auto"/>
            </w:tcBorders>
            <w:shd w:val="clear" w:color="auto" w:fill="auto"/>
            <w:noWrap/>
            <w:vAlign w:val="bottom"/>
            <w:hideMark/>
          </w:tcPr>
          <w:p w14:paraId="425A7B8F" w14:textId="77777777" w:rsidR="00CA2F20" w:rsidRDefault="00CA2F20">
            <w:pPr>
              <w:rPr>
                <w:color w:val="000000"/>
                <w:sz w:val="22"/>
                <w:szCs w:val="22"/>
              </w:rPr>
            </w:pPr>
            <w:r>
              <w:rPr>
                <w:color w:val="000000"/>
                <w:sz w:val="22"/>
                <w:szCs w:val="22"/>
              </w:rPr>
              <w:t xml:space="preserve"> $                  13,001,364 </w:t>
            </w:r>
          </w:p>
        </w:tc>
      </w:tr>
      <w:tr w:rsidR="00CA2F20" w14:paraId="7AF1A2AB"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3A3B9B73" w14:textId="77777777" w:rsidR="00CA2F20" w:rsidRDefault="00CA2F20">
            <w:pPr>
              <w:jc w:val="center"/>
              <w:rPr>
                <w:color w:val="000000"/>
                <w:sz w:val="22"/>
                <w:szCs w:val="22"/>
              </w:rPr>
            </w:pPr>
            <w:r>
              <w:rPr>
                <w:color w:val="000000"/>
                <w:sz w:val="22"/>
                <w:szCs w:val="22"/>
              </w:rPr>
              <w:t>SC</w:t>
            </w:r>
          </w:p>
        </w:tc>
        <w:tc>
          <w:tcPr>
            <w:tcW w:w="2755" w:type="dxa"/>
            <w:tcBorders>
              <w:top w:val="nil"/>
              <w:left w:val="nil"/>
              <w:bottom w:val="single" w:sz="4" w:space="0" w:color="auto"/>
              <w:right w:val="single" w:sz="4" w:space="0" w:color="auto"/>
            </w:tcBorders>
            <w:shd w:val="clear" w:color="auto" w:fill="auto"/>
            <w:noWrap/>
            <w:vAlign w:val="bottom"/>
            <w:hideMark/>
          </w:tcPr>
          <w:p w14:paraId="1BC759D4" w14:textId="77777777" w:rsidR="00CA2F20" w:rsidRDefault="00CA2F20">
            <w:pPr>
              <w:rPr>
                <w:color w:val="000000"/>
                <w:sz w:val="22"/>
                <w:szCs w:val="22"/>
              </w:rPr>
            </w:pPr>
            <w:r>
              <w:rPr>
                <w:color w:val="000000"/>
                <w:sz w:val="22"/>
                <w:szCs w:val="22"/>
              </w:rPr>
              <w:t xml:space="preserve">                                3,144 </w:t>
            </w:r>
          </w:p>
        </w:tc>
        <w:tc>
          <w:tcPr>
            <w:tcW w:w="2716" w:type="dxa"/>
            <w:tcBorders>
              <w:top w:val="nil"/>
              <w:left w:val="nil"/>
              <w:bottom w:val="single" w:sz="4" w:space="0" w:color="auto"/>
              <w:right w:val="single" w:sz="4" w:space="0" w:color="auto"/>
            </w:tcBorders>
            <w:shd w:val="clear" w:color="auto" w:fill="auto"/>
            <w:noWrap/>
            <w:vAlign w:val="bottom"/>
            <w:hideMark/>
          </w:tcPr>
          <w:p w14:paraId="49CDE5B1" w14:textId="77777777" w:rsidR="00CA2F20" w:rsidRDefault="00CA2F20">
            <w:pPr>
              <w:rPr>
                <w:color w:val="000000"/>
                <w:sz w:val="22"/>
                <w:szCs w:val="22"/>
              </w:rPr>
            </w:pPr>
            <w:r>
              <w:rPr>
                <w:color w:val="000000"/>
                <w:sz w:val="22"/>
                <w:szCs w:val="22"/>
              </w:rPr>
              <w:t xml:space="preserve"> $                       935,383 </w:t>
            </w:r>
          </w:p>
        </w:tc>
      </w:tr>
      <w:tr w:rsidR="00CA2F20" w14:paraId="56762595" w14:textId="77777777" w:rsidTr="00F007C1">
        <w:tblPrEx>
          <w:tblLook w:val="04A0" w:firstRow="1" w:lastRow="0" w:firstColumn="1" w:lastColumn="0" w:noHBand="0" w:noVBand="1"/>
        </w:tblPrEx>
        <w:trPr>
          <w:gridAfter w:val="1"/>
          <w:wAfter w:w="73" w:type="dxa"/>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22FA857D" w14:textId="77777777" w:rsidR="00CA2F20" w:rsidRDefault="00CA2F20">
            <w:pPr>
              <w:jc w:val="center"/>
              <w:rPr>
                <w:color w:val="000000"/>
                <w:sz w:val="22"/>
                <w:szCs w:val="22"/>
              </w:rPr>
            </w:pPr>
            <w:r>
              <w:rPr>
                <w:color w:val="000000"/>
                <w:sz w:val="22"/>
                <w:szCs w:val="22"/>
              </w:rPr>
              <w:t>TX</w:t>
            </w:r>
          </w:p>
        </w:tc>
        <w:tc>
          <w:tcPr>
            <w:tcW w:w="2755" w:type="dxa"/>
            <w:tcBorders>
              <w:top w:val="nil"/>
              <w:left w:val="nil"/>
              <w:bottom w:val="single" w:sz="4" w:space="0" w:color="auto"/>
              <w:right w:val="single" w:sz="4" w:space="0" w:color="auto"/>
            </w:tcBorders>
            <w:shd w:val="clear" w:color="auto" w:fill="auto"/>
            <w:noWrap/>
            <w:vAlign w:val="bottom"/>
            <w:hideMark/>
          </w:tcPr>
          <w:p w14:paraId="7FDFE08D" w14:textId="77777777" w:rsidR="00CA2F20" w:rsidRDefault="00CA2F20">
            <w:pPr>
              <w:rPr>
                <w:color w:val="000000"/>
                <w:sz w:val="22"/>
                <w:szCs w:val="22"/>
              </w:rPr>
            </w:pPr>
            <w:r>
              <w:rPr>
                <w:color w:val="000000"/>
                <w:sz w:val="22"/>
                <w:szCs w:val="22"/>
              </w:rPr>
              <w:t xml:space="preserve">                              44,580 </w:t>
            </w:r>
          </w:p>
        </w:tc>
        <w:tc>
          <w:tcPr>
            <w:tcW w:w="2716" w:type="dxa"/>
            <w:tcBorders>
              <w:top w:val="nil"/>
              <w:left w:val="nil"/>
              <w:bottom w:val="single" w:sz="4" w:space="0" w:color="auto"/>
              <w:right w:val="single" w:sz="4" w:space="0" w:color="auto"/>
            </w:tcBorders>
            <w:shd w:val="clear" w:color="auto" w:fill="auto"/>
            <w:noWrap/>
            <w:vAlign w:val="bottom"/>
            <w:hideMark/>
          </w:tcPr>
          <w:p w14:paraId="4AB680C0" w14:textId="77777777" w:rsidR="00CA2F20" w:rsidRDefault="00CA2F20">
            <w:pPr>
              <w:rPr>
                <w:color w:val="000000"/>
                <w:sz w:val="22"/>
                <w:szCs w:val="22"/>
              </w:rPr>
            </w:pPr>
            <w:r>
              <w:rPr>
                <w:color w:val="000000"/>
                <w:sz w:val="22"/>
                <w:szCs w:val="22"/>
              </w:rPr>
              <w:t xml:space="preserve"> $                  21,260,790 </w:t>
            </w:r>
          </w:p>
        </w:tc>
      </w:tr>
      <w:tr w:rsidR="004514AA" w:rsidRPr="008F78D8" w14:paraId="217576AA" w14:textId="77777777" w:rsidTr="00CA2F20">
        <w:trPr>
          <w:trHeight w:val="2181"/>
        </w:trPr>
        <w:tc>
          <w:tcPr>
            <w:tcW w:w="8640" w:type="dxa"/>
            <w:gridSpan w:val="4"/>
          </w:tcPr>
          <w:p w14:paraId="0B566BF0" w14:textId="77777777" w:rsidR="004514AA" w:rsidRDefault="004514AA" w:rsidP="006A7D75">
            <w:pPr>
              <w:jc w:val="center"/>
              <w:rPr>
                <w:b/>
                <w:i/>
                <w:noProof/>
                <w:sz w:val="28"/>
                <w:szCs w:val="28"/>
              </w:rPr>
            </w:pPr>
          </w:p>
          <w:p w14:paraId="02EA33E2" w14:textId="77777777" w:rsidR="009F357F" w:rsidRDefault="009F357F" w:rsidP="00CA2F20">
            <w:pPr>
              <w:pStyle w:val="ListParagraph"/>
              <w:ind w:left="0"/>
              <w:rPr>
                <w:rFonts w:ascii="Times New Roman" w:eastAsia="Times New Roman" w:hAnsi="Times New Roman" w:cs="Times New Roman"/>
              </w:rPr>
            </w:pPr>
          </w:p>
          <w:p w14:paraId="0D779D00" w14:textId="77777777" w:rsidR="00CA2F20" w:rsidRPr="00C21076" w:rsidRDefault="00CA2F20" w:rsidP="00CA2F20">
            <w:pPr>
              <w:pStyle w:val="ListParagraph"/>
              <w:ind w:left="0"/>
              <w:rPr>
                <w:rFonts w:ascii="Times New Roman" w:eastAsia="Times New Roman" w:hAnsi="Times New Roman" w:cs="Times New Roman"/>
              </w:rPr>
            </w:pPr>
            <w:r w:rsidRPr="00C21076">
              <w:rPr>
                <w:rFonts w:ascii="Times New Roman" w:eastAsia="Times New Roman" w:hAnsi="Times New Roman" w:cs="Times New Roman"/>
              </w:rPr>
              <w:t>Like telephone service in the 20</w:t>
            </w:r>
            <w:r w:rsidRPr="00C21076">
              <w:rPr>
                <w:rFonts w:ascii="Times New Roman" w:eastAsia="Times New Roman" w:hAnsi="Times New Roman" w:cs="Times New Roman"/>
                <w:vertAlign w:val="superscript"/>
              </w:rPr>
              <w:t>th</w:t>
            </w:r>
            <w:r w:rsidRPr="00C21076">
              <w:rPr>
                <w:rFonts w:ascii="Times New Roman" w:eastAsia="Times New Roman" w:hAnsi="Times New Roman" w:cs="Times New Roman"/>
              </w:rPr>
              <w:t xml:space="preserve"> Century, broadband has become essential to life in the 21</w:t>
            </w:r>
            <w:r w:rsidRPr="00C21076">
              <w:rPr>
                <w:rFonts w:ascii="Times New Roman" w:eastAsia="Times New Roman" w:hAnsi="Times New Roman" w:cs="Times New Roman"/>
                <w:vertAlign w:val="superscript"/>
              </w:rPr>
              <w:t>st</w:t>
            </w:r>
            <w:r w:rsidRPr="00C21076">
              <w:rPr>
                <w:rFonts w:ascii="Times New Roman" w:eastAsia="Times New Roman" w:hAnsi="Times New Roman" w:cs="Times New Roman"/>
              </w:rPr>
              <w:t xml:space="preserve"> Century. But, according to the FCC’s latest Broadband Progress Report, nearly one in three rural Americans lack access to 10/1 broadband, compared to only one in 100 urban Americans.</w:t>
            </w:r>
            <w:r>
              <w:rPr>
                <w:rFonts w:ascii="Times New Roman" w:eastAsia="Times New Roman" w:hAnsi="Times New Roman" w:cs="Times New Roman"/>
              </w:rPr>
              <w:t xml:space="preserve"> The Connect America Fund is designed to close that rural-urban digital divide.</w:t>
            </w:r>
            <w:r w:rsidRPr="00C21076">
              <w:rPr>
                <w:rFonts w:ascii="Times New Roman" w:eastAsia="Times New Roman" w:hAnsi="Times New Roman" w:cs="Times New Roman"/>
              </w:rPr>
              <w:t xml:space="preserve">  </w:t>
            </w:r>
            <w:r w:rsidRPr="00C21076">
              <w:rPr>
                <w:rFonts w:ascii="Times New Roman" w:eastAsia="Times New Roman" w:hAnsi="Times New Roman" w:cs="Times New Roman"/>
              </w:rPr>
              <w:br/>
            </w:r>
          </w:p>
          <w:p w14:paraId="40CEAF10" w14:textId="77777777" w:rsidR="00CA2F20" w:rsidRPr="00C21076" w:rsidRDefault="00CA2F20" w:rsidP="00CA2F20">
            <w:pPr>
              <w:pStyle w:val="ListParagraph"/>
              <w:ind w:left="0"/>
              <w:rPr>
                <w:rFonts w:ascii="Times New Roman" w:eastAsia="Times New Roman" w:hAnsi="Times New Roman" w:cs="Times New Roman"/>
              </w:rPr>
            </w:pPr>
            <w:r w:rsidRPr="00C21076">
              <w:rPr>
                <w:rFonts w:ascii="Times New Roman" w:eastAsia="Times New Roman" w:hAnsi="Times New Roman" w:cs="Times New Roman"/>
              </w:rPr>
              <w:t xml:space="preserve">The FCC’s traditional universal service program succeeded in ensuring telephone network coverage in rural America by providing subsidies where the cost of service would otherwise be prohibitive. In late 2011, the FCC modernized the program to support networks capable of providing broadband and voice services, and created the Connect America Fund to efficiently and effectively administer that support to expand broadband in rural areas where market forces alone can’t support expansion. </w:t>
            </w:r>
          </w:p>
          <w:p w14:paraId="541EDD24" w14:textId="77777777" w:rsidR="00CA2F20" w:rsidRPr="00C21076" w:rsidRDefault="00CA2F20" w:rsidP="00CA2F20">
            <w:pPr>
              <w:pStyle w:val="ListParagraph"/>
              <w:ind w:left="0"/>
              <w:rPr>
                <w:rFonts w:ascii="Times New Roman" w:eastAsia="Times New Roman" w:hAnsi="Times New Roman" w:cs="Times New Roman"/>
              </w:rPr>
            </w:pPr>
          </w:p>
          <w:p w14:paraId="3F16903C" w14:textId="77777777" w:rsidR="00CA2F20" w:rsidRDefault="00CA2F20" w:rsidP="00CA2F20">
            <w:pPr>
              <w:pStyle w:val="ListParagraph"/>
              <w:ind w:left="0"/>
              <w:rPr>
                <w:rFonts w:ascii="Times New Roman" w:eastAsia="Times New Roman" w:hAnsi="Times New Roman" w:cs="Times New Roman"/>
              </w:rPr>
            </w:pPr>
            <w:r w:rsidRPr="00C21076">
              <w:rPr>
                <w:rFonts w:ascii="Times New Roman" w:eastAsia="Times New Roman" w:hAnsi="Times New Roman" w:cs="Times New Roman"/>
              </w:rPr>
              <w:t>Since then, Phase I of Connect America has provided $438 million</w:t>
            </w:r>
            <w:r>
              <w:rPr>
                <w:rFonts w:ascii="Times New Roman" w:eastAsia="Times New Roman" w:hAnsi="Times New Roman" w:cs="Times New Roman"/>
              </w:rPr>
              <w:t>,</w:t>
            </w:r>
            <w:r w:rsidRPr="00905515">
              <w:rPr>
                <w:rFonts w:ascii="Times New Roman" w:eastAsia="Times New Roman" w:hAnsi="Times New Roman" w:cs="Times New Roman"/>
              </w:rPr>
              <w:t xml:space="preserve"> including over $87.3 million to Windstream</w:t>
            </w:r>
            <w:r>
              <w:rPr>
                <w:rFonts w:ascii="Times New Roman" w:eastAsia="Times New Roman" w:hAnsi="Times New Roman" w:cs="Times New Roman"/>
              </w:rPr>
              <w:t>,</w:t>
            </w:r>
            <w:r w:rsidRPr="00C21076">
              <w:rPr>
                <w:rFonts w:ascii="Times New Roman" w:eastAsia="Times New Roman" w:hAnsi="Times New Roman" w:cs="Times New Roman"/>
              </w:rPr>
              <w:t xml:space="preserve"> to expand broadband to nearly 1.7 million people in over 637,000 </w:t>
            </w:r>
            <w:r>
              <w:rPr>
                <w:rFonts w:ascii="Times New Roman" w:eastAsia="Times New Roman" w:hAnsi="Times New Roman" w:cs="Times New Roman"/>
              </w:rPr>
              <w:t xml:space="preserve">rural </w:t>
            </w:r>
            <w:r w:rsidRPr="00C21076">
              <w:rPr>
                <w:rFonts w:ascii="Times New Roman" w:eastAsia="Times New Roman" w:hAnsi="Times New Roman" w:cs="Times New Roman"/>
              </w:rPr>
              <w:t>homes and businesses in 45 states and Puerto Rico</w:t>
            </w:r>
            <w:r w:rsidRPr="00905515">
              <w:rPr>
                <w:rFonts w:ascii="Times New Roman" w:eastAsia="Times New Roman" w:hAnsi="Times New Roman" w:cs="Times New Roman"/>
              </w:rPr>
              <w:t xml:space="preserve">, </w:t>
            </w:r>
            <w:r w:rsidRPr="00C21076">
              <w:rPr>
                <w:rFonts w:ascii="Times New Roman" w:eastAsia="Times New Roman" w:hAnsi="Times New Roman" w:cs="Times New Roman"/>
              </w:rPr>
              <w:t>Over the next six years, Phase II of Connect America will provide more than $10 billion to expand broadband-capable networks thro</w:t>
            </w:r>
            <w:r>
              <w:rPr>
                <w:rFonts w:ascii="Times New Roman" w:eastAsia="Times New Roman" w:hAnsi="Times New Roman" w:cs="Times New Roman"/>
              </w:rPr>
              <w:t>ughout rural America nationwide</w:t>
            </w:r>
            <w:r w:rsidRPr="00593710">
              <w:rPr>
                <w:rFonts w:ascii="Times New Roman" w:eastAsia="Times New Roman" w:hAnsi="Times New Roman" w:cs="Times New Roman"/>
              </w:rPr>
              <w:t>, all without increasing the cost of the program to ratepayers.</w:t>
            </w:r>
          </w:p>
          <w:p w14:paraId="5FA825B0" w14:textId="77777777" w:rsidR="00CA2F20" w:rsidRDefault="00CA2F20" w:rsidP="00CA2F20">
            <w:pPr>
              <w:pStyle w:val="ListParagraph"/>
              <w:ind w:left="0"/>
              <w:rPr>
                <w:rFonts w:ascii="Times New Roman" w:eastAsia="Times New Roman" w:hAnsi="Times New Roman" w:cs="Times New Roman"/>
              </w:rPr>
            </w:pPr>
          </w:p>
          <w:p w14:paraId="50BAAD40" w14:textId="77777777" w:rsidR="00CA2F20" w:rsidRDefault="00CA2F20" w:rsidP="00CA2F20">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In addition to Windstream, Frontier Communications Inc. has also accepted Phase II funding, which will expand service to 1.3 million Frontier customers in 28 states. </w:t>
            </w:r>
            <w:r w:rsidRPr="006A0C6E">
              <w:rPr>
                <w:rFonts w:ascii="Times New Roman" w:eastAsia="Times New Roman" w:hAnsi="Times New Roman" w:cs="Times New Roman"/>
              </w:rPr>
              <w:t>Overall, the FCC’s Universal Service Fund allocates $4.5 billion annually through various universal service programs for high-cost areas to support voice- and broadband-capable networks in rural America.</w:t>
            </w:r>
          </w:p>
          <w:p w14:paraId="249541B3" w14:textId="77777777" w:rsidR="00CA2F20" w:rsidRDefault="00CA2F20" w:rsidP="00CA2F20">
            <w:pPr>
              <w:pStyle w:val="ListParagraph"/>
              <w:ind w:left="0"/>
              <w:rPr>
                <w:rFonts w:ascii="Times New Roman" w:eastAsia="Times New Roman" w:hAnsi="Times New Roman" w:cs="Times New Roman"/>
              </w:rPr>
            </w:pPr>
          </w:p>
          <w:p w14:paraId="0D063484" w14:textId="77777777" w:rsidR="00CA2F20" w:rsidRPr="00C21076" w:rsidRDefault="00CA2F20" w:rsidP="00CA2F20">
            <w:pPr>
              <w:pStyle w:val="ListParagraph"/>
              <w:ind w:left="0"/>
            </w:pPr>
            <w:r w:rsidRPr="00C21076">
              <w:rPr>
                <w:rFonts w:ascii="Times New Roman" w:eastAsia="Times New Roman" w:hAnsi="Times New Roman" w:cs="Times New Roman"/>
              </w:rPr>
              <w:t xml:space="preserve">Carriers receiving </w:t>
            </w:r>
            <w:r>
              <w:rPr>
                <w:rFonts w:ascii="Times New Roman" w:eastAsia="Times New Roman" w:hAnsi="Times New Roman" w:cs="Times New Roman"/>
              </w:rPr>
              <w:t xml:space="preserve">Connect America Fund </w:t>
            </w:r>
            <w:r w:rsidRPr="00C21076">
              <w:rPr>
                <w:rFonts w:ascii="Times New Roman" w:eastAsia="Times New Roman" w:hAnsi="Times New Roman" w:cs="Times New Roman"/>
              </w:rPr>
              <w:t>support must build out broadband to 40% of funded locations by the end 2017, 60% by end of 2018, and 100% by the end of 2020.</w:t>
            </w:r>
          </w:p>
          <w:p w14:paraId="4219602E" w14:textId="77777777" w:rsidR="00CA2F20" w:rsidRPr="00C21076" w:rsidRDefault="00CA2F20" w:rsidP="00CA2F20">
            <w:pPr>
              <w:rPr>
                <w:sz w:val="22"/>
                <w:szCs w:val="22"/>
              </w:rPr>
            </w:pPr>
          </w:p>
          <w:p w14:paraId="628B8F56" w14:textId="77777777" w:rsidR="00CA2F20" w:rsidRDefault="00CA2F20" w:rsidP="00CA2F20">
            <w:pPr>
              <w:pStyle w:val="ListParagraph"/>
              <w:ind w:left="0"/>
              <w:rPr>
                <w:rFonts w:ascii="Times New Roman" w:eastAsia="Times New Roman" w:hAnsi="Times New Roman" w:cs="Times New Roman"/>
              </w:rPr>
            </w:pPr>
          </w:p>
          <w:p w14:paraId="1F06D326" w14:textId="77777777" w:rsidR="00CA2F20" w:rsidRDefault="00CA2F20" w:rsidP="00CA2F20">
            <w:pPr>
              <w:jc w:val="center"/>
              <w:rPr>
                <w:sz w:val="22"/>
                <w:szCs w:val="22"/>
              </w:rPr>
            </w:pPr>
            <w:r>
              <w:rPr>
                <w:sz w:val="22"/>
                <w:szCs w:val="22"/>
              </w:rPr>
              <w:t>###</w:t>
            </w:r>
          </w:p>
          <w:p w14:paraId="66E95BD9" w14:textId="77777777" w:rsidR="00CA2F20" w:rsidRDefault="00CA2F20" w:rsidP="006A7D75">
            <w:pPr>
              <w:jc w:val="center"/>
              <w:rPr>
                <w:b/>
                <w:i/>
                <w:noProof/>
                <w:sz w:val="28"/>
                <w:szCs w:val="28"/>
              </w:rPr>
            </w:pPr>
          </w:p>
        </w:tc>
      </w:tr>
    </w:tbl>
    <w:p w14:paraId="184CE4EF" w14:textId="77777777" w:rsidR="00D24C3D" w:rsidRDefault="00D24C3D" w:rsidP="00F007C1">
      <w:pPr>
        <w:ind w:right="498"/>
        <w:rPr>
          <w:b/>
          <w:bCs/>
          <w:sz w:val="32"/>
          <w:szCs w:val="32"/>
        </w:rPr>
      </w:pPr>
    </w:p>
    <w:sectPr w:rsidR="00D24C3D" w:rsidSect="00CA2F2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04838" w14:textId="77777777" w:rsidR="00300898" w:rsidRDefault="00300898" w:rsidP="00755733">
      <w:r>
        <w:separator/>
      </w:r>
    </w:p>
  </w:endnote>
  <w:endnote w:type="continuationSeparator" w:id="0">
    <w:p w14:paraId="3FA1196B" w14:textId="77777777" w:rsidR="00300898" w:rsidRDefault="00300898" w:rsidP="0075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6D1E" w14:textId="77777777" w:rsidR="009074EC" w:rsidRDefault="00907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EEA4B" w14:textId="77777777" w:rsidR="009074EC" w:rsidRDefault="00907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F6C3D" w14:textId="77777777" w:rsidR="009074EC" w:rsidRDefault="00907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688B" w14:textId="77777777" w:rsidR="00300898" w:rsidRDefault="00300898" w:rsidP="00755733">
      <w:r>
        <w:separator/>
      </w:r>
    </w:p>
  </w:footnote>
  <w:footnote w:type="continuationSeparator" w:id="0">
    <w:p w14:paraId="22735F13" w14:textId="77777777" w:rsidR="00300898" w:rsidRDefault="00300898" w:rsidP="0075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BA037" w14:textId="77777777" w:rsidR="009074EC" w:rsidRDefault="00907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25C0" w14:textId="77777777" w:rsidR="009074EC" w:rsidRDefault="00907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0508" w14:textId="77777777" w:rsidR="009074EC" w:rsidRDefault="00907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29BD"/>
    <w:rsid w:val="0002500C"/>
    <w:rsid w:val="000311FC"/>
    <w:rsid w:val="00040127"/>
    <w:rsid w:val="00040F30"/>
    <w:rsid w:val="00060147"/>
    <w:rsid w:val="00072476"/>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76FF0"/>
    <w:rsid w:val="001807AB"/>
    <w:rsid w:val="001865A9"/>
    <w:rsid w:val="00187DB2"/>
    <w:rsid w:val="001B20BB"/>
    <w:rsid w:val="001C4370"/>
    <w:rsid w:val="001D3779"/>
    <w:rsid w:val="001D47DC"/>
    <w:rsid w:val="001F0469"/>
    <w:rsid w:val="00203A98"/>
    <w:rsid w:val="00206EDD"/>
    <w:rsid w:val="0021247E"/>
    <w:rsid w:val="002146F6"/>
    <w:rsid w:val="00231C32"/>
    <w:rsid w:val="00240345"/>
    <w:rsid w:val="002421F0"/>
    <w:rsid w:val="00247274"/>
    <w:rsid w:val="00266966"/>
    <w:rsid w:val="00294C0C"/>
    <w:rsid w:val="002A0934"/>
    <w:rsid w:val="002B1013"/>
    <w:rsid w:val="002B3AE6"/>
    <w:rsid w:val="002D03E5"/>
    <w:rsid w:val="002E3F1D"/>
    <w:rsid w:val="002F02B3"/>
    <w:rsid w:val="002F31D0"/>
    <w:rsid w:val="00300359"/>
    <w:rsid w:val="00300898"/>
    <w:rsid w:val="0031773E"/>
    <w:rsid w:val="00347716"/>
    <w:rsid w:val="003506E1"/>
    <w:rsid w:val="003727E3"/>
    <w:rsid w:val="00380437"/>
    <w:rsid w:val="00385A93"/>
    <w:rsid w:val="003910F1"/>
    <w:rsid w:val="003B05D8"/>
    <w:rsid w:val="003E42FC"/>
    <w:rsid w:val="003E5991"/>
    <w:rsid w:val="003F344A"/>
    <w:rsid w:val="00403FF0"/>
    <w:rsid w:val="0042046D"/>
    <w:rsid w:val="00425AEF"/>
    <w:rsid w:val="00426518"/>
    <w:rsid w:val="00427B06"/>
    <w:rsid w:val="00441F59"/>
    <w:rsid w:val="00444E07"/>
    <w:rsid w:val="00444FA9"/>
    <w:rsid w:val="004514AA"/>
    <w:rsid w:val="00473E9C"/>
    <w:rsid w:val="00480099"/>
    <w:rsid w:val="004949BC"/>
    <w:rsid w:val="00497858"/>
    <w:rsid w:val="004A4C31"/>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93710"/>
    <w:rsid w:val="005A7972"/>
    <w:rsid w:val="005B17E7"/>
    <w:rsid w:val="005B24FF"/>
    <w:rsid w:val="005B2643"/>
    <w:rsid w:val="005D17FD"/>
    <w:rsid w:val="005F0D55"/>
    <w:rsid w:val="005F183E"/>
    <w:rsid w:val="00600DDA"/>
    <w:rsid w:val="00604211"/>
    <w:rsid w:val="00604FB1"/>
    <w:rsid w:val="00613498"/>
    <w:rsid w:val="00617B94"/>
    <w:rsid w:val="00620BED"/>
    <w:rsid w:val="006415B4"/>
    <w:rsid w:val="00644E3D"/>
    <w:rsid w:val="00651B9E"/>
    <w:rsid w:val="00652019"/>
    <w:rsid w:val="00657EC9"/>
    <w:rsid w:val="00665633"/>
    <w:rsid w:val="00674C86"/>
    <w:rsid w:val="0068015E"/>
    <w:rsid w:val="006833CE"/>
    <w:rsid w:val="006861AB"/>
    <w:rsid w:val="00686B89"/>
    <w:rsid w:val="00694A96"/>
    <w:rsid w:val="006A0C6E"/>
    <w:rsid w:val="006A2FC5"/>
    <w:rsid w:val="006A7D75"/>
    <w:rsid w:val="006B0A70"/>
    <w:rsid w:val="006B606A"/>
    <w:rsid w:val="006C33AF"/>
    <w:rsid w:val="006D5D22"/>
    <w:rsid w:val="006E0324"/>
    <w:rsid w:val="006E4A76"/>
    <w:rsid w:val="006F1DBD"/>
    <w:rsid w:val="00700556"/>
    <w:rsid w:val="007167DD"/>
    <w:rsid w:val="0072011C"/>
    <w:rsid w:val="0072478B"/>
    <w:rsid w:val="0073414D"/>
    <w:rsid w:val="0075235E"/>
    <w:rsid w:val="00754B04"/>
    <w:rsid w:val="00755733"/>
    <w:rsid w:val="007732CC"/>
    <w:rsid w:val="00774079"/>
    <w:rsid w:val="00775316"/>
    <w:rsid w:val="0077556E"/>
    <w:rsid w:val="0077752B"/>
    <w:rsid w:val="00790938"/>
    <w:rsid w:val="00793D6F"/>
    <w:rsid w:val="00794090"/>
    <w:rsid w:val="007A44F8"/>
    <w:rsid w:val="007D21BF"/>
    <w:rsid w:val="007D63DF"/>
    <w:rsid w:val="007F3C12"/>
    <w:rsid w:val="007F5205"/>
    <w:rsid w:val="008215E7"/>
    <w:rsid w:val="00830FC6"/>
    <w:rsid w:val="00865EAA"/>
    <w:rsid w:val="00866F06"/>
    <w:rsid w:val="008728F5"/>
    <w:rsid w:val="008824C2"/>
    <w:rsid w:val="00890F0A"/>
    <w:rsid w:val="008960E4"/>
    <w:rsid w:val="008A3940"/>
    <w:rsid w:val="008B13C9"/>
    <w:rsid w:val="008B74CE"/>
    <w:rsid w:val="008C248C"/>
    <w:rsid w:val="008C5432"/>
    <w:rsid w:val="008C7BF1"/>
    <w:rsid w:val="008D00D6"/>
    <w:rsid w:val="008D4D00"/>
    <w:rsid w:val="008D4E5E"/>
    <w:rsid w:val="008D7ABD"/>
    <w:rsid w:val="008E55A2"/>
    <w:rsid w:val="008F1609"/>
    <w:rsid w:val="008F78D8"/>
    <w:rsid w:val="009074EC"/>
    <w:rsid w:val="00961620"/>
    <w:rsid w:val="009734B6"/>
    <w:rsid w:val="0098096F"/>
    <w:rsid w:val="0098437A"/>
    <w:rsid w:val="00986C92"/>
    <w:rsid w:val="00993C47"/>
    <w:rsid w:val="009A6524"/>
    <w:rsid w:val="009B4B16"/>
    <w:rsid w:val="009E54A1"/>
    <w:rsid w:val="009E5E69"/>
    <w:rsid w:val="009F357F"/>
    <w:rsid w:val="009F4E25"/>
    <w:rsid w:val="009F5B1F"/>
    <w:rsid w:val="009F7D2C"/>
    <w:rsid w:val="00A33682"/>
    <w:rsid w:val="00A35DFD"/>
    <w:rsid w:val="00A702DF"/>
    <w:rsid w:val="00A775A3"/>
    <w:rsid w:val="00A81B5B"/>
    <w:rsid w:val="00A82FAD"/>
    <w:rsid w:val="00A9673A"/>
    <w:rsid w:val="00A96EF2"/>
    <w:rsid w:val="00AA5C35"/>
    <w:rsid w:val="00AA5ED9"/>
    <w:rsid w:val="00AC0A38"/>
    <w:rsid w:val="00AC4E0E"/>
    <w:rsid w:val="00AC517B"/>
    <w:rsid w:val="00AC793F"/>
    <w:rsid w:val="00AD0D19"/>
    <w:rsid w:val="00AF051B"/>
    <w:rsid w:val="00B037A2"/>
    <w:rsid w:val="00B048CB"/>
    <w:rsid w:val="00B31870"/>
    <w:rsid w:val="00B320B8"/>
    <w:rsid w:val="00B35EE2"/>
    <w:rsid w:val="00B36DEF"/>
    <w:rsid w:val="00B57131"/>
    <w:rsid w:val="00B62F2C"/>
    <w:rsid w:val="00B719D5"/>
    <w:rsid w:val="00B727C9"/>
    <w:rsid w:val="00B735C8"/>
    <w:rsid w:val="00B76A63"/>
    <w:rsid w:val="00BA6350"/>
    <w:rsid w:val="00BB4E29"/>
    <w:rsid w:val="00BB74C9"/>
    <w:rsid w:val="00BC3AB6"/>
    <w:rsid w:val="00BD19E8"/>
    <w:rsid w:val="00BD4273"/>
    <w:rsid w:val="00C432E4"/>
    <w:rsid w:val="00C54406"/>
    <w:rsid w:val="00C66F72"/>
    <w:rsid w:val="00C70C26"/>
    <w:rsid w:val="00C72001"/>
    <w:rsid w:val="00C772B7"/>
    <w:rsid w:val="00C80347"/>
    <w:rsid w:val="00CA2F20"/>
    <w:rsid w:val="00CB7C1A"/>
    <w:rsid w:val="00CC5E08"/>
    <w:rsid w:val="00CF6860"/>
    <w:rsid w:val="00D02AC6"/>
    <w:rsid w:val="00D03F0C"/>
    <w:rsid w:val="00D04312"/>
    <w:rsid w:val="00D16A7F"/>
    <w:rsid w:val="00D16AD2"/>
    <w:rsid w:val="00D22596"/>
    <w:rsid w:val="00D22691"/>
    <w:rsid w:val="00D24C3D"/>
    <w:rsid w:val="00D46CB1"/>
    <w:rsid w:val="00D723F0"/>
    <w:rsid w:val="00D7511A"/>
    <w:rsid w:val="00D8133F"/>
    <w:rsid w:val="00D95B05"/>
    <w:rsid w:val="00D97E2D"/>
    <w:rsid w:val="00DA103D"/>
    <w:rsid w:val="00DA45D3"/>
    <w:rsid w:val="00DA4772"/>
    <w:rsid w:val="00DB2667"/>
    <w:rsid w:val="00DB67B7"/>
    <w:rsid w:val="00DC15A9"/>
    <w:rsid w:val="00DC40AA"/>
    <w:rsid w:val="00DD1750"/>
    <w:rsid w:val="00DD2203"/>
    <w:rsid w:val="00E0126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4B95"/>
    <w:rsid w:val="00F007C1"/>
    <w:rsid w:val="00F01B0D"/>
    <w:rsid w:val="00F1238F"/>
    <w:rsid w:val="00F16485"/>
    <w:rsid w:val="00F228ED"/>
    <w:rsid w:val="00F253F3"/>
    <w:rsid w:val="00F26E31"/>
    <w:rsid w:val="00F27C6C"/>
    <w:rsid w:val="00F3058B"/>
    <w:rsid w:val="00F324CD"/>
    <w:rsid w:val="00F34A8D"/>
    <w:rsid w:val="00F50D25"/>
    <w:rsid w:val="00F535D8"/>
    <w:rsid w:val="00F61155"/>
    <w:rsid w:val="00F708E3"/>
    <w:rsid w:val="00F76561"/>
    <w:rsid w:val="00F84736"/>
    <w:rsid w:val="00FA55A2"/>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6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Header">
    <w:name w:val="header"/>
    <w:basedOn w:val="Normal"/>
    <w:link w:val="HeaderChar"/>
    <w:unhideWhenUsed/>
    <w:rsid w:val="00755733"/>
    <w:pPr>
      <w:tabs>
        <w:tab w:val="center" w:pos="4680"/>
        <w:tab w:val="right" w:pos="9360"/>
      </w:tabs>
    </w:pPr>
  </w:style>
  <w:style w:type="character" w:customStyle="1" w:styleId="HeaderChar">
    <w:name w:val="Header Char"/>
    <w:basedOn w:val="DefaultParagraphFont"/>
    <w:link w:val="Header"/>
    <w:rsid w:val="00755733"/>
    <w:rPr>
      <w:sz w:val="24"/>
      <w:szCs w:val="24"/>
    </w:rPr>
  </w:style>
  <w:style w:type="paragraph" w:styleId="Footer">
    <w:name w:val="footer"/>
    <w:basedOn w:val="Normal"/>
    <w:link w:val="FooterChar"/>
    <w:unhideWhenUsed/>
    <w:rsid w:val="00755733"/>
    <w:pPr>
      <w:tabs>
        <w:tab w:val="center" w:pos="4680"/>
        <w:tab w:val="right" w:pos="9360"/>
      </w:tabs>
    </w:pPr>
  </w:style>
  <w:style w:type="character" w:customStyle="1" w:styleId="FooterChar">
    <w:name w:val="Footer Char"/>
    <w:basedOn w:val="DefaultParagraphFont"/>
    <w:link w:val="Footer"/>
    <w:rsid w:val="00755733"/>
    <w:rPr>
      <w:sz w:val="24"/>
      <w:szCs w:val="24"/>
    </w:rPr>
  </w:style>
  <w:style w:type="character" w:styleId="CommentReference">
    <w:name w:val="annotation reference"/>
    <w:basedOn w:val="DefaultParagraphFont"/>
    <w:semiHidden/>
    <w:unhideWhenUsed/>
    <w:rsid w:val="004A4C31"/>
    <w:rPr>
      <w:sz w:val="16"/>
      <w:szCs w:val="16"/>
    </w:rPr>
  </w:style>
  <w:style w:type="paragraph" w:styleId="CommentText">
    <w:name w:val="annotation text"/>
    <w:basedOn w:val="Normal"/>
    <w:link w:val="CommentTextChar"/>
    <w:semiHidden/>
    <w:unhideWhenUsed/>
    <w:rsid w:val="004A4C31"/>
    <w:rPr>
      <w:sz w:val="20"/>
      <w:szCs w:val="20"/>
    </w:rPr>
  </w:style>
  <w:style w:type="character" w:customStyle="1" w:styleId="CommentTextChar">
    <w:name w:val="Comment Text Char"/>
    <w:basedOn w:val="DefaultParagraphFont"/>
    <w:link w:val="CommentText"/>
    <w:semiHidden/>
    <w:rsid w:val="004A4C31"/>
  </w:style>
  <w:style w:type="paragraph" w:styleId="CommentSubject">
    <w:name w:val="annotation subject"/>
    <w:basedOn w:val="CommentText"/>
    <w:next w:val="CommentText"/>
    <w:link w:val="CommentSubjectChar"/>
    <w:semiHidden/>
    <w:unhideWhenUsed/>
    <w:rsid w:val="004A4C31"/>
    <w:rPr>
      <w:b/>
      <w:bCs/>
    </w:rPr>
  </w:style>
  <w:style w:type="character" w:customStyle="1" w:styleId="CommentSubjectChar">
    <w:name w:val="Comment Subject Char"/>
    <w:basedOn w:val="CommentTextChar"/>
    <w:link w:val="CommentSubject"/>
    <w:semiHidden/>
    <w:rsid w:val="004A4C31"/>
    <w:rPr>
      <w:b/>
      <w:bCs/>
    </w:rPr>
  </w:style>
  <w:style w:type="paragraph" w:styleId="BalloonText">
    <w:name w:val="Balloon Text"/>
    <w:basedOn w:val="Normal"/>
    <w:link w:val="BalloonTextChar"/>
    <w:semiHidden/>
    <w:unhideWhenUsed/>
    <w:rsid w:val="004A4C31"/>
    <w:rPr>
      <w:rFonts w:ascii="Segoe UI" w:hAnsi="Segoe UI" w:cs="Segoe UI"/>
      <w:sz w:val="18"/>
      <w:szCs w:val="18"/>
    </w:rPr>
  </w:style>
  <w:style w:type="character" w:customStyle="1" w:styleId="BalloonTextChar">
    <w:name w:val="Balloon Text Char"/>
    <w:basedOn w:val="DefaultParagraphFont"/>
    <w:link w:val="BalloonText"/>
    <w:semiHidden/>
    <w:rsid w:val="004A4C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Header">
    <w:name w:val="header"/>
    <w:basedOn w:val="Normal"/>
    <w:link w:val="HeaderChar"/>
    <w:unhideWhenUsed/>
    <w:rsid w:val="00755733"/>
    <w:pPr>
      <w:tabs>
        <w:tab w:val="center" w:pos="4680"/>
        <w:tab w:val="right" w:pos="9360"/>
      </w:tabs>
    </w:pPr>
  </w:style>
  <w:style w:type="character" w:customStyle="1" w:styleId="HeaderChar">
    <w:name w:val="Header Char"/>
    <w:basedOn w:val="DefaultParagraphFont"/>
    <w:link w:val="Header"/>
    <w:rsid w:val="00755733"/>
    <w:rPr>
      <w:sz w:val="24"/>
      <w:szCs w:val="24"/>
    </w:rPr>
  </w:style>
  <w:style w:type="paragraph" w:styleId="Footer">
    <w:name w:val="footer"/>
    <w:basedOn w:val="Normal"/>
    <w:link w:val="FooterChar"/>
    <w:unhideWhenUsed/>
    <w:rsid w:val="00755733"/>
    <w:pPr>
      <w:tabs>
        <w:tab w:val="center" w:pos="4680"/>
        <w:tab w:val="right" w:pos="9360"/>
      </w:tabs>
    </w:pPr>
  </w:style>
  <w:style w:type="character" w:customStyle="1" w:styleId="FooterChar">
    <w:name w:val="Footer Char"/>
    <w:basedOn w:val="DefaultParagraphFont"/>
    <w:link w:val="Footer"/>
    <w:rsid w:val="00755733"/>
    <w:rPr>
      <w:sz w:val="24"/>
      <w:szCs w:val="24"/>
    </w:rPr>
  </w:style>
  <w:style w:type="character" w:styleId="CommentReference">
    <w:name w:val="annotation reference"/>
    <w:basedOn w:val="DefaultParagraphFont"/>
    <w:semiHidden/>
    <w:unhideWhenUsed/>
    <w:rsid w:val="004A4C31"/>
    <w:rPr>
      <w:sz w:val="16"/>
      <w:szCs w:val="16"/>
    </w:rPr>
  </w:style>
  <w:style w:type="paragraph" w:styleId="CommentText">
    <w:name w:val="annotation text"/>
    <w:basedOn w:val="Normal"/>
    <w:link w:val="CommentTextChar"/>
    <w:semiHidden/>
    <w:unhideWhenUsed/>
    <w:rsid w:val="004A4C31"/>
    <w:rPr>
      <w:sz w:val="20"/>
      <w:szCs w:val="20"/>
    </w:rPr>
  </w:style>
  <w:style w:type="character" w:customStyle="1" w:styleId="CommentTextChar">
    <w:name w:val="Comment Text Char"/>
    <w:basedOn w:val="DefaultParagraphFont"/>
    <w:link w:val="CommentText"/>
    <w:semiHidden/>
    <w:rsid w:val="004A4C31"/>
  </w:style>
  <w:style w:type="paragraph" w:styleId="CommentSubject">
    <w:name w:val="annotation subject"/>
    <w:basedOn w:val="CommentText"/>
    <w:next w:val="CommentText"/>
    <w:link w:val="CommentSubjectChar"/>
    <w:semiHidden/>
    <w:unhideWhenUsed/>
    <w:rsid w:val="004A4C31"/>
    <w:rPr>
      <w:b/>
      <w:bCs/>
    </w:rPr>
  </w:style>
  <w:style w:type="character" w:customStyle="1" w:styleId="CommentSubjectChar">
    <w:name w:val="Comment Subject Char"/>
    <w:basedOn w:val="CommentTextChar"/>
    <w:link w:val="CommentSubject"/>
    <w:semiHidden/>
    <w:rsid w:val="004A4C31"/>
    <w:rPr>
      <w:b/>
      <w:bCs/>
    </w:rPr>
  </w:style>
  <w:style w:type="paragraph" w:styleId="BalloonText">
    <w:name w:val="Balloon Text"/>
    <w:basedOn w:val="Normal"/>
    <w:link w:val="BalloonTextChar"/>
    <w:semiHidden/>
    <w:unhideWhenUsed/>
    <w:rsid w:val="004A4C31"/>
    <w:rPr>
      <w:rFonts w:ascii="Segoe UI" w:hAnsi="Segoe UI" w:cs="Segoe UI"/>
      <w:sz w:val="18"/>
      <w:szCs w:val="18"/>
    </w:rPr>
  </w:style>
  <w:style w:type="character" w:customStyle="1" w:styleId="BalloonTextChar">
    <w:name w:val="Balloon Text Char"/>
    <w:basedOn w:val="DefaultParagraphFont"/>
    <w:link w:val="BalloonText"/>
    <w:semiHidden/>
    <w:rsid w:val="004A4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785">
      <w:bodyDiv w:val="1"/>
      <w:marLeft w:val="0"/>
      <w:marRight w:val="0"/>
      <w:marTop w:val="0"/>
      <w:marBottom w:val="0"/>
      <w:divBdr>
        <w:top w:val="none" w:sz="0" w:space="0" w:color="auto"/>
        <w:left w:val="none" w:sz="0" w:space="0" w:color="auto"/>
        <w:bottom w:val="none" w:sz="0" w:space="0" w:color="auto"/>
        <w:right w:val="none" w:sz="0" w:space="0" w:color="auto"/>
      </w:divBdr>
    </w:div>
    <w:div w:id="104692397">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63793660">
      <w:bodyDiv w:val="1"/>
      <w:marLeft w:val="0"/>
      <w:marRight w:val="0"/>
      <w:marTop w:val="0"/>
      <w:marBottom w:val="0"/>
      <w:divBdr>
        <w:top w:val="none" w:sz="0" w:space="0" w:color="auto"/>
        <w:left w:val="none" w:sz="0" w:space="0" w:color="auto"/>
        <w:bottom w:val="none" w:sz="0" w:space="0" w:color="auto"/>
        <w:right w:val="none" w:sz="0" w:space="0" w:color="auto"/>
      </w:divBdr>
    </w:div>
    <w:div w:id="5366216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41423979">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333847">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0902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32406061">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17556">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764567">
      <w:bodyDiv w:val="1"/>
      <w:marLeft w:val="0"/>
      <w:marRight w:val="0"/>
      <w:marTop w:val="0"/>
      <w:marBottom w:val="0"/>
      <w:divBdr>
        <w:top w:val="none" w:sz="0" w:space="0" w:color="auto"/>
        <w:left w:val="none" w:sz="0" w:space="0" w:color="auto"/>
        <w:bottom w:val="none" w:sz="0" w:space="0" w:color="auto"/>
        <w:right w:val="none" w:sz="0" w:space="0" w:color="auto"/>
      </w:divBdr>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6548293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01285511">
      <w:bodyDiv w:val="1"/>
      <w:marLeft w:val="0"/>
      <w:marRight w:val="0"/>
      <w:marTop w:val="0"/>
      <w:marBottom w:val="0"/>
      <w:divBdr>
        <w:top w:val="none" w:sz="0" w:space="0" w:color="auto"/>
        <w:left w:val="none" w:sz="0" w:space="0" w:color="auto"/>
        <w:bottom w:val="none" w:sz="0" w:space="0" w:color="auto"/>
        <w:right w:val="none" w:sz="0" w:space="0" w:color="auto"/>
      </w:divBdr>
    </w:div>
    <w:div w:id="1928659620">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wigfield@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3094</Characters>
  <Application>Microsoft Office Word</Application>
  <DocSecurity>0</DocSecurity>
  <Lines>124</Lines>
  <Paragraphs>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2015-08-05T16:48:00Z</dcterms:created>
  <dcterms:modified xsi:type="dcterms:W3CDTF">2015-08-05T16:48:00Z</dcterms:modified>
  <cp:category> </cp:category>
  <cp:contentStatus> </cp:contentStatus>
</cp:coreProperties>
</file>