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EE2" w:rsidRPr="00146F7E" w:rsidRDefault="00B31EE2" w:rsidP="00B31EE2">
      <w:pPr>
        <w:spacing w:after="0" w:line="240" w:lineRule="auto"/>
        <w:jc w:val="center"/>
        <w:rPr>
          <w:rFonts w:ascii="Times New Roman Bold" w:hAnsi="Times New Roman Bold" w:cs="Times New Roman"/>
          <w:b/>
          <w:caps/>
        </w:rPr>
      </w:pPr>
      <w:bookmarkStart w:id="0" w:name="_GoBack"/>
      <w:bookmarkEnd w:id="0"/>
      <w:r w:rsidRPr="00146F7E">
        <w:rPr>
          <w:rFonts w:ascii="Times New Roman Bold" w:hAnsi="Times New Roman Bold" w:cs="Times New Roman"/>
          <w:b/>
          <w:caps/>
        </w:rPr>
        <w:t>Dissenting Statement of</w:t>
      </w:r>
    </w:p>
    <w:p w:rsidR="00B31EE2" w:rsidRDefault="00B31EE2" w:rsidP="00B31EE2">
      <w:pPr>
        <w:spacing w:after="0" w:line="240" w:lineRule="auto"/>
        <w:jc w:val="center"/>
        <w:rPr>
          <w:rFonts w:ascii="Times New Roman" w:hAnsi="Times New Roman" w:cs="Times New Roman"/>
          <w:b/>
        </w:rPr>
      </w:pPr>
      <w:r w:rsidRPr="00146F7E">
        <w:rPr>
          <w:rFonts w:ascii="Times New Roman Bold" w:hAnsi="Times New Roman Bold" w:cs="Times New Roman"/>
          <w:b/>
          <w:caps/>
        </w:rPr>
        <w:t>Commissioner Michael O’Rielly</w:t>
      </w:r>
    </w:p>
    <w:p w:rsidR="00B31EE2" w:rsidRPr="00A473D4" w:rsidRDefault="00B31EE2" w:rsidP="00B31EE2">
      <w:pPr>
        <w:spacing w:after="0" w:line="240" w:lineRule="auto"/>
        <w:jc w:val="center"/>
        <w:rPr>
          <w:rFonts w:ascii="Times New Roman" w:hAnsi="Times New Roman" w:cs="Times New Roman"/>
          <w:b/>
        </w:rPr>
      </w:pPr>
    </w:p>
    <w:p w:rsidR="00B31EE2" w:rsidRPr="00B31EE2" w:rsidRDefault="00146F7E" w:rsidP="00FC7209">
      <w:pPr>
        <w:tabs>
          <w:tab w:val="left" w:pos="720"/>
          <w:tab w:val="center" w:pos="4680"/>
        </w:tabs>
        <w:suppressAutoHyphens/>
        <w:spacing w:after="0" w:line="240" w:lineRule="auto"/>
        <w:ind w:left="720" w:hanging="720"/>
        <w:rPr>
          <w:rFonts w:ascii="Times New Roman" w:hAnsi="Times New Roman" w:cs="Times New Roman"/>
          <w:i/>
        </w:rPr>
      </w:pPr>
      <w:r w:rsidRPr="00146F7E">
        <w:rPr>
          <w:rFonts w:ascii="Times New Roman" w:eastAsia="Calibri" w:hAnsi="Times New Roman" w:cs="Times New Roman"/>
        </w:rPr>
        <w:t>Re:</w:t>
      </w:r>
      <w:r w:rsidRPr="00146F7E">
        <w:rPr>
          <w:rFonts w:ascii="Times New Roman" w:eastAsia="Calibri" w:hAnsi="Times New Roman" w:cs="Times New Roman"/>
        </w:rPr>
        <w:tab/>
      </w:r>
      <w:r w:rsidRPr="00146F7E">
        <w:rPr>
          <w:rFonts w:ascii="Times New Roman" w:eastAsia="Calibri" w:hAnsi="Times New Roman" w:cs="Times New Roman"/>
          <w:i/>
        </w:rPr>
        <w:t>Technology Transitions</w:t>
      </w:r>
      <w:r w:rsidRPr="00146F7E">
        <w:rPr>
          <w:rFonts w:ascii="Times New Roman" w:eastAsia="Calibri" w:hAnsi="Times New Roman" w:cs="Times New Roman"/>
        </w:rPr>
        <w:t xml:space="preserve">, GN Docket No. 13-5, </w:t>
      </w:r>
      <w:r w:rsidRPr="00146F7E">
        <w:rPr>
          <w:rFonts w:ascii="Times New Roman" w:eastAsia="Calibri" w:hAnsi="Times New Roman" w:cs="Times New Roman"/>
          <w:i/>
        </w:rPr>
        <w:t>Policies and Rules Governing Retirement of Copper Loops by Incumbent Local Exchange Carriers</w:t>
      </w:r>
      <w:r w:rsidRPr="00146F7E">
        <w:rPr>
          <w:rFonts w:ascii="Times New Roman" w:eastAsia="Calibri" w:hAnsi="Times New Roman" w:cs="Times New Roman"/>
        </w:rPr>
        <w:t xml:space="preserve">, RM-11358, </w:t>
      </w:r>
      <w:r w:rsidRPr="00146F7E">
        <w:rPr>
          <w:rFonts w:ascii="Times New Roman" w:eastAsia="Calibri" w:hAnsi="Times New Roman" w:cs="Times New Roman"/>
          <w:i/>
        </w:rPr>
        <w:t>Special Access for Price Cap Local Exchange Carriers</w:t>
      </w:r>
      <w:r w:rsidRPr="00146F7E">
        <w:rPr>
          <w:rFonts w:ascii="Times New Roman" w:eastAsia="Calibri" w:hAnsi="Times New Roman" w:cs="Times New Roman"/>
        </w:rPr>
        <w:t xml:space="preserve">, WC Docket No. 05-25, </w:t>
      </w:r>
      <w:r w:rsidRPr="00146F7E">
        <w:rPr>
          <w:rFonts w:ascii="Times New Roman" w:eastAsia="Calibri" w:hAnsi="Times New Roman" w:cs="Times New Roman"/>
          <w:i/>
        </w:rPr>
        <w:t>AT&amp;T Corporation Petition for Rulemaking to Reform Regulation of Incumbent Local Exchange Carrier Rates for Interstate Special Access Services</w:t>
      </w:r>
      <w:r w:rsidRPr="00146F7E">
        <w:rPr>
          <w:rFonts w:ascii="Times New Roman" w:eastAsia="Calibri" w:hAnsi="Times New Roman" w:cs="Times New Roman"/>
        </w:rPr>
        <w:t>, RM-10593.</w:t>
      </w:r>
    </w:p>
    <w:p w:rsidR="00FC7209" w:rsidRDefault="00FC7209" w:rsidP="00FC7209">
      <w:pPr>
        <w:spacing w:after="0" w:line="240" w:lineRule="auto"/>
        <w:ind w:firstLine="720"/>
        <w:rPr>
          <w:rFonts w:ascii="Times New Roman" w:hAnsi="Times New Roman"/>
        </w:rPr>
      </w:pPr>
    </w:p>
    <w:p w:rsidR="00FC7209" w:rsidRDefault="00FC7209" w:rsidP="00FC7209">
      <w:pPr>
        <w:spacing w:after="0" w:line="240" w:lineRule="auto"/>
        <w:ind w:firstLine="720"/>
        <w:rPr>
          <w:rFonts w:ascii="Times New Roman" w:hAnsi="Times New Roman"/>
        </w:rPr>
      </w:pPr>
      <w:r>
        <w:rPr>
          <w:rFonts w:ascii="Times New Roman" w:hAnsi="Times New Roman"/>
        </w:rPr>
        <w:t>Throughout the communications industry,</w:t>
      </w:r>
      <w:r w:rsidRPr="00FC7209">
        <w:rPr>
          <w:rFonts w:ascii="Times New Roman" w:hAnsi="Times New Roman"/>
        </w:rPr>
        <w:t xml:space="preserve"> technological breakthroughs and transitions are occurring </w:t>
      </w:r>
      <w:r>
        <w:rPr>
          <w:rFonts w:ascii="Times New Roman" w:hAnsi="Times New Roman"/>
        </w:rPr>
        <w:t>at a rapid pace</w:t>
      </w:r>
      <w:r w:rsidRPr="00FC7209">
        <w:rPr>
          <w:rFonts w:ascii="Times New Roman" w:hAnsi="Times New Roman"/>
        </w:rPr>
        <w:t xml:space="preserve">. </w:t>
      </w:r>
      <w:r>
        <w:rPr>
          <w:rFonts w:ascii="Times New Roman" w:hAnsi="Times New Roman"/>
        </w:rPr>
        <w:t>As a Commissioner, I</w:t>
      </w:r>
      <w:r w:rsidRPr="00FC7209">
        <w:rPr>
          <w:rFonts w:ascii="Times New Roman" w:hAnsi="Times New Roman"/>
        </w:rPr>
        <w:t xml:space="preserve"> try my best to ensure that nothing this agency does will impede that progress or otherwise discourage innovation and investment.  While </w:t>
      </w:r>
      <w:r w:rsidR="00F76A33">
        <w:rPr>
          <w:rFonts w:ascii="Times New Roman" w:hAnsi="Times New Roman"/>
        </w:rPr>
        <w:t xml:space="preserve">history has proven that </w:t>
      </w:r>
      <w:r w:rsidR="002C7769">
        <w:rPr>
          <w:rFonts w:ascii="Times New Roman" w:hAnsi="Times New Roman"/>
        </w:rPr>
        <w:t xml:space="preserve">almost every </w:t>
      </w:r>
      <w:r w:rsidR="00E25596">
        <w:rPr>
          <w:rFonts w:ascii="Times New Roman" w:hAnsi="Times New Roman"/>
        </w:rPr>
        <w:t xml:space="preserve">major </w:t>
      </w:r>
      <w:r w:rsidR="00F76A33">
        <w:rPr>
          <w:rFonts w:ascii="Times New Roman" w:hAnsi="Times New Roman"/>
        </w:rPr>
        <w:t xml:space="preserve">technological </w:t>
      </w:r>
      <w:r w:rsidRPr="00FC7209">
        <w:rPr>
          <w:rFonts w:ascii="Times New Roman" w:hAnsi="Times New Roman"/>
        </w:rPr>
        <w:t>change</w:t>
      </w:r>
      <w:r w:rsidR="00F76A33">
        <w:rPr>
          <w:rFonts w:ascii="Times New Roman" w:hAnsi="Times New Roman"/>
        </w:rPr>
        <w:t>, no matter how disruptive,</w:t>
      </w:r>
      <w:r w:rsidRPr="00FC7209">
        <w:rPr>
          <w:rFonts w:ascii="Times New Roman" w:hAnsi="Times New Roman"/>
        </w:rPr>
        <w:t xml:space="preserve"> </w:t>
      </w:r>
      <w:r w:rsidR="00F76A33">
        <w:rPr>
          <w:rFonts w:ascii="Times New Roman" w:hAnsi="Times New Roman"/>
        </w:rPr>
        <w:t xml:space="preserve">eventually </w:t>
      </w:r>
      <w:r w:rsidRPr="00FC7209">
        <w:rPr>
          <w:rFonts w:ascii="Times New Roman" w:hAnsi="Times New Roman"/>
        </w:rPr>
        <w:t>benefit</w:t>
      </w:r>
      <w:r w:rsidR="002C7769">
        <w:rPr>
          <w:rFonts w:ascii="Times New Roman" w:hAnsi="Times New Roman"/>
        </w:rPr>
        <w:t>s</w:t>
      </w:r>
      <w:r w:rsidRPr="00FC7209">
        <w:rPr>
          <w:rFonts w:ascii="Times New Roman" w:hAnsi="Times New Roman"/>
        </w:rPr>
        <w:t xml:space="preserve"> businesses and consumers, </w:t>
      </w:r>
      <w:r w:rsidR="002B239B">
        <w:rPr>
          <w:rFonts w:ascii="Times New Roman" w:hAnsi="Times New Roman"/>
        </w:rPr>
        <w:t>some</w:t>
      </w:r>
      <w:r w:rsidR="002B239B" w:rsidRPr="00FC7209">
        <w:rPr>
          <w:rFonts w:ascii="Times New Roman" w:hAnsi="Times New Roman"/>
        </w:rPr>
        <w:t xml:space="preserve"> </w:t>
      </w:r>
      <w:r w:rsidRPr="00FC7209">
        <w:rPr>
          <w:rFonts w:ascii="Times New Roman" w:hAnsi="Times New Roman"/>
        </w:rPr>
        <w:t xml:space="preserve">seem </w:t>
      </w:r>
      <w:r>
        <w:rPr>
          <w:rFonts w:ascii="Times New Roman" w:hAnsi="Times New Roman"/>
        </w:rPr>
        <w:t>to fear the</w:t>
      </w:r>
      <w:r w:rsidRPr="00FC7209">
        <w:rPr>
          <w:rFonts w:ascii="Times New Roman" w:hAnsi="Times New Roman"/>
        </w:rPr>
        <w:t xml:space="preserve"> unknown.  </w:t>
      </w:r>
      <w:r w:rsidR="00F76A33">
        <w:rPr>
          <w:rFonts w:ascii="Times New Roman" w:hAnsi="Times New Roman"/>
        </w:rPr>
        <w:t>L</w:t>
      </w:r>
      <w:r w:rsidRPr="00FC7209">
        <w:rPr>
          <w:rFonts w:ascii="Times New Roman" w:hAnsi="Times New Roman"/>
        </w:rPr>
        <w:t xml:space="preserve">et’s not lose sight of the big picture:  we are talking about superior technologies and better choices.  Yes, there will be adjustments, and yes, the FCC should monitor developments, but no, we should not assume that the regulatory constructs of </w:t>
      </w:r>
      <w:r w:rsidR="00E25596">
        <w:rPr>
          <w:rFonts w:ascii="Times New Roman" w:hAnsi="Times New Roman"/>
        </w:rPr>
        <w:t xml:space="preserve">the </w:t>
      </w:r>
      <w:r w:rsidRPr="00FC7209">
        <w:rPr>
          <w:rFonts w:ascii="Times New Roman" w:hAnsi="Times New Roman"/>
        </w:rPr>
        <w:t xml:space="preserve">past should </w:t>
      </w:r>
      <w:r w:rsidR="007064CD">
        <w:rPr>
          <w:rFonts w:ascii="Times New Roman" w:hAnsi="Times New Roman"/>
        </w:rPr>
        <w:t xml:space="preserve">automatically </w:t>
      </w:r>
      <w:r w:rsidRPr="00FC7209">
        <w:rPr>
          <w:rFonts w:ascii="Times New Roman" w:hAnsi="Times New Roman"/>
        </w:rPr>
        <w:t>apply to services of the future.‎</w:t>
      </w:r>
      <w:r w:rsidR="008B6D40">
        <w:rPr>
          <w:rFonts w:ascii="Times New Roman" w:hAnsi="Times New Roman"/>
        </w:rPr>
        <w:t xml:space="preserve">  </w:t>
      </w:r>
      <w:r>
        <w:rPr>
          <w:rFonts w:ascii="Times New Roman" w:hAnsi="Times New Roman"/>
        </w:rPr>
        <w:t xml:space="preserve">  </w:t>
      </w:r>
    </w:p>
    <w:p w:rsidR="00FC7209" w:rsidRDefault="00FC7209" w:rsidP="00FC7209">
      <w:pPr>
        <w:spacing w:after="0" w:line="240" w:lineRule="auto"/>
        <w:ind w:firstLine="720"/>
        <w:rPr>
          <w:rFonts w:ascii="Times New Roman" w:hAnsi="Times New Roman"/>
        </w:rPr>
      </w:pPr>
    </w:p>
    <w:p w:rsidR="00FC7209" w:rsidRPr="00FC7209" w:rsidRDefault="00FC7209" w:rsidP="00FC7209">
      <w:pPr>
        <w:spacing w:after="0" w:line="240" w:lineRule="auto"/>
        <w:ind w:firstLine="720"/>
      </w:pPr>
      <w:r>
        <w:rPr>
          <w:rFonts w:ascii="Times New Roman" w:hAnsi="Times New Roman"/>
        </w:rPr>
        <w:t xml:space="preserve">I have heard and </w:t>
      </w:r>
      <w:r w:rsidR="003C0A9D">
        <w:rPr>
          <w:rFonts w:ascii="Times New Roman" w:hAnsi="Times New Roman"/>
        </w:rPr>
        <w:t xml:space="preserve">understood </w:t>
      </w:r>
      <w:r>
        <w:rPr>
          <w:rFonts w:ascii="Times New Roman" w:hAnsi="Times New Roman"/>
        </w:rPr>
        <w:t xml:space="preserve">the arguments that certain protections need to remain in place longer because </w:t>
      </w:r>
      <w:r w:rsidR="008B6D40">
        <w:rPr>
          <w:rFonts w:ascii="Times New Roman" w:hAnsi="Times New Roman"/>
        </w:rPr>
        <w:t xml:space="preserve">building out access to the last mile </w:t>
      </w:r>
      <w:r w:rsidR="00F76A33">
        <w:rPr>
          <w:rFonts w:ascii="Times New Roman" w:hAnsi="Times New Roman"/>
        </w:rPr>
        <w:t xml:space="preserve">may </w:t>
      </w:r>
      <w:r w:rsidR="00E25596">
        <w:rPr>
          <w:rFonts w:ascii="Times New Roman" w:hAnsi="Times New Roman"/>
        </w:rPr>
        <w:t>be</w:t>
      </w:r>
      <w:r w:rsidR="00F76A33">
        <w:rPr>
          <w:rFonts w:ascii="Times New Roman" w:hAnsi="Times New Roman"/>
        </w:rPr>
        <w:t xml:space="preserve"> </w:t>
      </w:r>
      <w:r w:rsidR="008B6D40">
        <w:rPr>
          <w:rFonts w:ascii="Times New Roman" w:hAnsi="Times New Roman"/>
        </w:rPr>
        <w:t>uneconomical</w:t>
      </w:r>
      <w:r w:rsidR="00F76A33">
        <w:rPr>
          <w:rFonts w:ascii="Times New Roman" w:hAnsi="Times New Roman"/>
        </w:rPr>
        <w:t xml:space="preserve"> in some circumstances</w:t>
      </w:r>
      <w:r>
        <w:rPr>
          <w:rFonts w:ascii="Times New Roman" w:hAnsi="Times New Roman"/>
        </w:rPr>
        <w:t>.  At the same time, we cannot simply extend the old rules to new services</w:t>
      </w:r>
      <w:r w:rsidR="009F5CC8">
        <w:rPr>
          <w:rFonts w:ascii="Times New Roman" w:hAnsi="Times New Roman"/>
        </w:rPr>
        <w:t xml:space="preserve"> because it will dampen incentives for further investment.  </w:t>
      </w:r>
      <w:r w:rsidR="00A42728" w:rsidRPr="00FC7209">
        <w:rPr>
          <w:rFonts w:ascii="Times New Roman" w:hAnsi="Times New Roman"/>
        </w:rPr>
        <w:t>After all, without th</w:t>
      </w:r>
      <w:r w:rsidR="00E25596">
        <w:rPr>
          <w:rFonts w:ascii="Times New Roman" w:hAnsi="Times New Roman"/>
        </w:rPr>
        <w:t>at</w:t>
      </w:r>
      <w:r w:rsidR="00A42728" w:rsidRPr="00FC7209">
        <w:rPr>
          <w:rFonts w:ascii="Times New Roman" w:hAnsi="Times New Roman"/>
        </w:rPr>
        <w:t xml:space="preserve"> investment, there is nothing to transition to.</w:t>
      </w:r>
      <w:r w:rsidR="00A42728">
        <w:rPr>
          <w:rFonts w:ascii="Times New Roman" w:hAnsi="Times New Roman"/>
        </w:rPr>
        <w:t xml:space="preserve">  We can’t b</w:t>
      </w:r>
      <w:r w:rsidR="009F5CC8">
        <w:rPr>
          <w:rFonts w:ascii="Times New Roman" w:hAnsi="Times New Roman"/>
        </w:rPr>
        <w:t>emoan the lack of high-speed broadband</w:t>
      </w:r>
      <w:r w:rsidR="00451A93">
        <w:rPr>
          <w:rFonts w:ascii="Times New Roman" w:hAnsi="Times New Roman"/>
        </w:rPr>
        <w:t xml:space="preserve"> in the section 706 proceeding</w:t>
      </w:r>
      <w:r w:rsidR="00A42728">
        <w:rPr>
          <w:rFonts w:ascii="Times New Roman" w:hAnsi="Times New Roman"/>
        </w:rPr>
        <w:t>,</w:t>
      </w:r>
      <w:r w:rsidR="009F5CC8">
        <w:rPr>
          <w:rFonts w:ascii="Times New Roman" w:hAnsi="Times New Roman"/>
        </w:rPr>
        <w:t xml:space="preserve"> </w:t>
      </w:r>
      <w:r w:rsidR="00451A93">
        <w:rPr>
          <w:rFonts w:ascii="Times New Roman" w:hAnsi="Times New Roman"/>
        </w:rPr>
        <w:t>only to</w:t>
      </w:r>
      <w:r w:rsidR="00A42728">
        <w:rPr>
          <w:rFonts w:ascii="Times New Roman" w:hAnsi="Times New Roman"/>
        </w:rPr>
        <w:t xml:space="preserve"> erect new barriers to deployment</w:t>
      </w:r>
      <w:r w:rsidR="00451A93">
        <w:rPr>
          <w:rFonts w:ascii="Times New Roman" w:hAnsi="Times New Roman"/>
        </w:rPr>
        <w:t xml:space="preserve"> in </w:t>
      </w:r>
      <w:r w:rsidR="00213C14">
        <w:rPr>
          <w:rFonts w:ascii="Times New Roman" w:hAnsi="Times New Roman"/>
        </w:rPr>
        <w:t>this</w:t>
      </w:r>
      <w:r w:rsidR="00451A93">
        <w:rPr>
          <w:rFonts w:ascii="Times New Roman" w:hAnsi="Times New Roman"/>
        </w:rPr>
        <w:t xml:space="preserve"> proceeding</w:t>
      </w:r>
      <w:r w:rsidR="00A42728">
        <w:rPr>
          <w:rFonts w:ascii="Times New Roman" w:hAnsi="Times New Roman"/>
        </w:rPr>
        <w:t>.</w:t>
      </w:r>
      <w:r w:rsidR="004C3932">
        <w:rPr>
          <w:rFonts w:ascii="Times New Roman" w:hAnsi="Times New Roman"/>
        </w:rPr>
        <w:t xml:space="preserve">  Nonetheless, I </w:t>
      </w:r>
      <w:r w:rsidR="008B6D40">
        <w:rPr>
          <w:rFonts w:ascii="Times New Roman" w:hAnsi="Times New Roman"/>
        </w:rPr>
        <w:t xml:space="preserve">tried to </w:t>
      </w:r>
      <w:r w:rsidR="004C3932">
        <w:rPr>
          <w:rFonts w:ascii="Times New Roman" w:hAnsi="Times New Roman"/>
        </w:rPr>
        <w:t xml:space="preserve">approach this </w:t>
      </w:r>
      <w:r w:rsidR="00213C14">
        <w:rPr>
          <w:rFonts w:ascii="Times New Roman" w:hAnsi="Times New Roman"/>
        </w:rPr>
        <w:t xml:space="preserve">item </w:t>
      </w:r>
      <w:r w:rsidR="004C3932">
        <w:rPr>
          <w:rFonts w:ascii="Times New Roman" w:hAnsi="Times New Roman"/>
        </w:rPr>
        <w:t xml:space="preserve">with an open mind.  </w:t>
      </w:r>
    </w:p>
    <w:p w:rsidR="00FC7209" w:rsidRPr="00FC7209" w:rsidRDefault="00FC7209" w:rsidP="00FC7209">
      <w:pPr>
        <w:spacing w:after="0" w:line="240" w:lineRule="auto"/>
        <w:ind w:firstLine="720"/>
      </w:pPr>
      <w:r w:rsidRPr="00FC7209">
        <w:rPr>
          <w:rFonts w:ascii="Times New Roman" w:hAnsi="Times New Roman"/>
        </w:rPr>
        <w:t> </w:t>
      </w:r>
    </w:p>
    <w:p w:rsidR="00FC7209" w:rsidRPr="00FC7209" w:rsidRDefault="00FC7209" w:rsidP="00FC7209">
      <w:pPr>
        <w:spacing w:after="0" w:line="240" w:lineRule="auto"/>
        <w:ind w:firstLine="720"/>
      </w:pPr>
      <w:r w:rsidRPr="00FC7209">
        <w:rPr>
          <w:rFonts w:ascii="Times New Roman" w:hAnsi="Times New Roman"/>
        </w:rPr>
        <w:t xml:space="preserve">Early indications on the thorniest issue—wholesale access—gave me reason to believe that we could find common ground.  In particular, I was heartened by reports that the Commission would be </w:t>
      </w:r>
      <w:r w:rsidR="002C7769">
        <w:rPr>
          <w:rFonts w:ascii="Times New Roman" w:hAnsi="Times New Roman"/>
        </w:rPr>
        <w:t>moving</w:t>
      </w:r>
      <w:r w:rsidRPr="00FC7209">
        <w:rPr>
          <w:rFonts w:ascii="Times New Roman" w:hAnsi="Times New Roman"/>
        </w:rPr>
        <w:t xml:space="preserve"> </w:t>
      </w:r>
      <w:r w:rsidR="002C7769">
        <w:rPr>
          <w:rFonts w:ascii="Times New Roman" w:hAnsi="Times New Roman"/>
        </w:rPr>
        <w:t xml:space="preserve">away from a proposed </w:t>
      </w:r>
      <w:r w:rsidRPr="00FC7209">
        <w:rPr>
          <w:rFonts w:ascii="Times New Roman" w:hAnsi="Times New Roman"/>
        </w:rPr>
        <w:t>requirement that incumbent local exchange carriers (LECs) provide competitive carriers with wholesale access on “equivalent” rates, terms, and conditions, in favor of a “reasonabl</w:t>
      </w:r>
      <w:r w:rsidR="00E30F2A">
        <w:rPr>
          <w:rFonts w:ascii="Times New Roman" w:hAnsi="Times New Roman"/>
        </w:rPr>
        <w:t>y</w:t>
      </w:r>
      <w:r w:rsidRPr="00FC7209">
        <w:rPr>
          <w:rFonts w:ascii="Times New Roman" w:hAnsi="Times New Roman"/>
        </w:rPr>
        <w:t xml:space="preserve"> comparable” standard.  To me, that implied that incumbent LECs would have some flexibility in how they structure their replacement offerings, which may be necessary to help recoup the substantial cost of deploying modern networks.</w:t>
      </w:r>
      <w:r w:rsidR="008B6D40">
        <w:rPr>
          <w:rFonts w:ascii="Times New Roman" w:hAnsi="Times New Roman"/>
        </w:rPr>
        <w:t xml:space="preserve">  After all, it’s been acknowledge</w:t>
      </w:r>
      <w:r w:rsidR="00F76A33">
        <w:rPr>
          <w:rFonts w:ascii="Times New Roman" w:hAnsi="Times New Roman"/>
        </w:rPr>
        <w:t>d</w:t>
      </w:r>
      <w:r w:rsidR="008B6D40">
        <w:rPr>
          <w:rFonts w:ascii="Times New Roman" w:hAnsi="Times New Roman"/>
        </w:rPr>
        <w:t xml:space="preserve"> numerous times in Commission prec</w:t>
      </w:r>
      <w:r w:rsidR="00F76A33">
        <w:rPr>
          <w:rFonts w:ascii="Times New Roman" w:hAnsi="Times New Roman"/>
        </w:rPr>
        <w:t xml:space="preserve">edent that such a standard </w:t>
      </w:r>
      <w:r w:rsidR="00C33D1A">
        <w:rPr>
          <w:rFonts w:ascii="Times New Roman" w:hAnsi="Times New Roman"/>
        </w:rPr>
        <w:t>rightfully permits</w:t>
      </w:r>
      <w:r w:rsidR="00F76A33">
        <w:rPr>
          <w:rFonts w:ascii="Times New Roman" w:hAnsi="Times New Roman"/>
        </w:rPr>
        <w:t xml:space="preserve"> </w:t>
      </w:r>
      <w:r w:rsidR="00C33D1A">
        <w:rPr>
          <w:rFonts w:ascii="Times New Roman" w:hAnsi="Times New Roman"/>
        </w:rPr>
        <w:t xml:space="preserve">variability, </w:t>
      </w:r>
      <w:r w:rsidR="00167DF3">
        <w:rPr>
          <w:rFonts w:ascii="Times New Roman" w:hAnsi="Times New Roman"/>
        </w:rPr>
        <w:t>namely</w:t>
      </w:r>
      <w:r w:rsidR="00C33D1A">
        <w:rPr>
          <w:rFonts w:ascii="Times New Roman" w:hAnsi="Times New Roman"/>
        </w:rPr>
        <w:t xml:space="preserve"> </w:t>
      </w:r>
      <w:r w:rsidR="008B6D40">
        <w:rPr>
          <w:rFonts w:ascii="Times New Roman" w:hAnsi="Times New Roman"/>
        </w:rPr>
        <w:t xml:space="preserve">in </w:t>
      </w:r>
      <w:r w:rsidR="00C33D1A">
        <w:rPr>
          <w:rFonts w:ascii="Times New Roman" w:hAnsi="Times New Roman"/>
        </w:rPr>
        <w:t xml:space="preserve">the </w:t>
      </w:r>
      <w:r w:rsidR="0059195B">
        <w:rPr>
          <w:rFonts w:ascii="Times New Roman" w:hAnsi="Times New Roman"/>
        </w:rPr>
        <w:t xml:space="preserve">universal service </w:t>
      </w:r>
      <w:r w:rsidR="00C33D1A">
        <w:rPr>
          <w:rFonts w:ascii="Times New Roman" w:hAnsi="Times New Roman"/>
        </w:rPr>
        <w:t>context</w:t>
      </w:r>
      <w:r w:rsidR="008B6D40">
        <w:rPr>
          <w:rFonts w:ascii="Times New Roman" w:hAnsi="Times New Roman"/>
        </w:rPr>
        <w:t>.</w:t>
      </w:r>
      <w:r w:rsidR="00C33D1A">
        <w:rPr>
          <w:rFonts w:ascii="Times New Roman" w:hAnsi="Times New Roman"/>
        </w:rPr>
        <w:t xml:space="preserve">  </w:t>
      </w:r>
      <w:r w:rsidR="008B6D40">
        <w:rPr>
          <w:rFonts w:ascii="Times New Roman" w:hAnsi="Times New Roman"/>
        </w:rPr>
        <w:t xml:space="preserve">      </w:t>
      </w:r>
      <w:r w:rsidRPr="00FC7209">
        <w:rPr>
          <w:rFonts w:ascii="Times New Roman" w:hAnsi="Times New Roman"/>
        </w:rPr>
        <w:t xml:space="preserve"> </w:t>
      </w:r>
    </w:p>
    <w:p w:rsidR="00FC7209" w:rsidRPr="00FC7209" w:rsidRDefault="00FC7209" w:rsidP="00FC7209">
      <w:pPr>
        <w:spacing w:after="0" w:line="240" w:lineRule="auto"/>
      </w:pPr>
      <w:r w:rsidRPr="00FC7209">
        <w:rPr>
          <w:rFonts w:ascii="Times New Roman" w:hAnsi="Times New Roman"/>
        </w:rPr>
        <w:t> </w:t>
      </w:r>
    </w:p>
    <w:p w:rsidR="00FC7209" w:rsidRPr="00FC7209" w:rsidRDefault="00FC7209" w:rsidP="00FC7209">
      <w:pPr>
        <w:spacing w:after="0" w:line="240" w:lineRule="auto"/>
        <w:ind w:firstLine="720"/>
      </w:pPr>
      <w:r w:rsidRPr="00FC7209">
        <w:rPr>
          <w:rFonts w:ascii="Times New Roman" w:hAnsi="Times New Roman"/>
        </w:rPr>
        <w:t>Upon reading the text of the Order, however, I discovered that the factors are described in a way that leaves little room to maneuver</w:t>
      </w:r>
      <w:r w:rsidR="00C47A7B">
        <w:rPr>
          <w:rFonts w:ascii="Times New Roman" w:hAnsi="Times New Roman"/>
        </w:rPr>
        <w:t>, and the standard of review provides staff with a great deal of discretion to weigh the factors as they see fit</w:t>
      </w:r>
      <w:r w:rsidRPr="00FC7209">
        <w:rPr>
          <w:rFonts w:ascii="Times New Roman" w:hAnsi="Times New Roman"/>
        </w:rPr>
        <w:t xml:space="preserve">. </w:t>
      </w:r>
      <w:r w:rsidR="00F76A33">
        <w:rPr>
          <w:rFonts w:ascii="Times New Roman" w:hAnsi="Times New Roman"/>
        </w:rPr>
        <w:t xml:space="preserve"> </w:t>
      </w:r>
      <w:r w:rsidR="0018642B">
        <w:rPr>
          <w:rFonts w:ascii="Times New Roman" w:hAnsi="Times New Roman"/>
        </w:rPr>
        <w:t xml:space="preserve">Staff will even examine </w:t>
      </w:r>
      <w:r w:rsidR="0018642B" w:rsidRPr="0018642B">
        <w:rPr>
          <w:rFonts w:ascii="Times New Roman" w:hAnsi="Times New Roman"/>
        </w:rPr>
        <w:t xml:space="preserve">evidence concerning the </w:t>
      </w:r>
      <w:r w:rsidR="0018642B" w:rsidRPr="000A736B">
        <w:rPr>
          <w:rFonts w:ascii="Times New Roman" w:hAnsi="Times New Roman"/>
          <w:u w:val="single"/>
        </w:rPr>
        <w:t>motivation</w:t>
      </w:r>
      <w:r w:rsidR="0018642B" w:rsidRPr="0018642B">
        <w:rPr>
          <w:rFonts w:ascii="Times New Roman" w:hAnsi="Times New Roman"/>
        </w:rPr>
        <w:t xml:space="preserve"> for an incumbent LEC’s actions. </w:t>
      </w:r>
      <w:r w:rsidR="0018642B" w:rsidRPr="00FC7209">
        <w:rPr>
          <w:rFonts w:ascii="Times New Roman" w:hAnsi="Times New Roman"/>
        </w:rPr>
        <w:t xml:space="preserve"> </w:t>
      </w:r>
      <w:r w:rsidRPr="00FC7209">
        <w:rPr>
          <w:rFonts w:ascii="Times New Roman" w:hAnsi="Times New Roman"/>
        </w:rPr>
        <w:t xml:space="preserve">I tried to get clarity from staff and stakeholders about how to interpret this new standard. </w:t>
      </w:r>
      <w:r w:rsidR="008B6D40">
        <w:rPr>
          <w:rFonts w:ascii="Times New Roman" w:hAnsi="Times New Roman"/>
        </w:rPr>
        <w:t xml:space="preserve"> </w:t>
      </w:r>
      <w:r w:rsidRPr="00FC7209">
        <w:rPr>
          <w:rFonts w:ascii="Times New Roman" w:hAnsi="Times New Roman"/>
        </w:rPr>
        <w:t>However, the vaguely reassuring conversations never seemed to match up with the language in the item or the senti</w:t>
      </w:r>
      <w:r w:rsidR="005C200F">
        <w:rPr>
          <w:rFonts w:ascii="Times New Roman" w:hAnsi="Times New Roman"/>
        </w:rPr>
        <w:t>ments in the ex parte filings.</w:t>
      </w:r>
    </w:p>
    <w:p w:rsidR="00FC7209" w:rsidRPr="00FC7209" w:rsidRDefault="00FC7209" w:rsidP="00FC7209">
      <w:pPr>
        <w:pStyle w:val="NormalWeb"/>
        <w:spacing w:after="0" w:afterAutospacing="0"/>
        <w:ind w:firstLine="720"/>
        <w:rPr>
          <w:sz w:val="22"/>
          <w:szCs w:val="22"/>
        </w:rPr>
      </w:pPr>
      <w:r w:rsidRPr="00FC7209">
        <w:rPr>
          <w:sz w:val="22"/>
          <w:szCs w:val="22"/>
        </w:rPr>
        <w:t xml:space="preserve">Adding to my discomfort, the requirement is framed as an </w:t>
      </w:r>
      <w:r w:rsidR="007064CD">
        <w:rPr>
          <w:sz w:val="22"/>
          <w:szCs w:val="22"/>
        </w:rPr>
        <w:t>“</w:t>
      </w:r>
      <w:r w:rsidRPr="00FC7209">
        <w:rPr>
          <w:sz w:val="22"/>
          <w:szCs w:val="22"/>
        </w:rPr>
        <w:t>interim</w:t>
      </w:r>
      <w:r w:rsidR="007064CD">
        <w:rPr>
          <w:sz w:val="22"/>
          <w:szCs w:val="22"/>
        </w:rPr>
        <w:t>”</w:t>
      </w:r>
      <w:r w:rsidRPr="00FC7209">
        <w:rPr>
          <w:sz w:val="22"/>
          <w:szCs w:val="22"/>
        </w:rPr>
        <w:t xml:space="preserve"> measure pending completion of the special access proceeding.</w:t>
      </w:r>
      <w:r w:rsidR="008B6D40">
        <w:rPr>
          <w:sz w:val="22"/>
          <w:szCs w:val="22"/>
        </w:rPr>
        <w:t xml:space="preserve"> </w:t>
      </w:r>
      <w:r w:rsidRPr="00FC7209">
        <w:rPr>
          <w:sz w:val="22"/>
          <w:szCs w:val="22"/>
        </w:rPr>
        <w:t xml:space="preserve"> But there is no</w:t>
      </w:r>
      <w:r w:rsidR="00F76A33">
        <w:rPr>
          <w:sz w:val="22"/>
          <w:szCs w:val="22"/>
        </w:rPr>
        <w:t xml:space="preserve"> timeline </w:t>
      </w:r>
      <w:r w:rsidR="00CB6D33">
        <w:rPr>
          <w:sz w:val="22"/>
          <w:szCs w:val="22"/>
        </w:rPr>
        <w:t xml:space="preserve">as to when that </w:t>
      </w:r>
      <w:r w:rsidRPr="00FC7209">
        <w:rPr>
          <w:sz w:val="22"/>
          <w:szCs w:val="22"/>
        </w:rPr>
        <w:t xml:space="preserve">proceeding will be completed. </w:t>
      </w:r>
      <w:r w:rsidR="008B6D40">
        <w:rPr>
          <w:sz w:val="22"/>
          <w:szCs w:val="22"/>
        </w:rPr>
        <w:t xml:space="preserve"> </w:t>
      </w:r>
      <w:r w:rsidR="00CB6D33">
        <w:rPr>
          <w:sz w:val="22"/>
          <w:szCs w:val="22"/>
        </w:rPr>
        <w:t>To put it in perspective, I have worked on the issue of special access for over a decade</w:t>
      </w:r>
      <w:r w:rsidR="000D2183">
        <w:rPr>
          <w:sz w:val="22"/>
          <w:szCs w:val="22"/>
        </w:rPr>
        <w:t>,</w:t>
      </w:r>
      <w:r w:rsidR="00CB6D33">
        <w:rPr>
          <w:sz w:val="22"/>
          <w:szCs w:val="22"/>
        </w:rPr>
        <w:t xml:space="preserve"> and we are little closer to any resolution in either direction.  </w:t>
      </w:r>
      <w:r w:rsidRPr="00FC7209">
        <w:rPr>
          <w:sz w:val="22"/>
          <w:szCs w:val="22"/>
        </w:rPr>
        <w:t xml:space="preserve">While I may have been willing to consider a </w:t>
      </w:r>
      <w:r w:rsidR="00F76A33">
        <w:rPr>
          <w:sz w:val="22"/>
          <w:szCs w:val="22"/>
        </w:rPr>
        <w:t>rational</w:t>
      </w:r>
      <w:r w:rsidRPr="00FC7209">
        <w:rPr>
          <w:sz w:val="22"/>
          <w:szCs w:val="22"/>
        </w:rPr>
        <w:t xml:space="preserve">, time-limited </w:t>
      </w:r>
      <w:r w:rsidR="00CB6D33">
        <w:rPr>
          <w:sz w:val="22"/>
          <w:szCs w:val="22"/>
        </w:rPr>
        <w:t>structure</w:t>
      </w:r>
      <w:r w:rsidRPr="00FC7209">
        <w:rPr>
          <w:sz w:val="22"/>
          <w:szCs w:val="22"/>
        </w:rPr>
        <w:t>, it is another matter to lock in an already troubling standard for an indefinite period of time.</w:t>
      </w:r>
      <w:r w:rsidR="00CB6D33">
        <w:rPr>
          <w:sz w:val="22"/>
          <w:szCs w:val="22"/>
        </w:rPr>
        <w:t xml:space="preserve">  </w:t>
      </w:r>
    </w:p>
    <w:p w:rsidR="00451A93" w:rsidRPr="00FC7209" w:rsidRDefault="004C3932" w:rsidP="00FC7209">
      <w:pPr>
        <w:pStyle w:val="NormalWeb"/>
        <w:spacing w:after="0" w:afterAutospacing="0"/>
        <w:ind w:firstLine="720"/>
        <w:rPr>
          <w:sz w:val="22"/>
          <w:szCs w:val="22"/>
        </w:rPr>
      </w:pPr>
      <w:r>
        <w:rPr>
          <w:sz w:val="22"/>
          <w:szCs w:val="22"/>
        </w:rPr>
        <w:t>Putting it all together</w:t>
      </w:r>
      <w:r w:rsidR="0059195B">
        <w:rPr>
          <w:sz w:val="22"/>
          <w:szCs w:val="22"/>
        </w:rPr>
        <w:t>,</w:t>
      </w:r>
      <w:r w:rsidR="00C33D1A">
        <w:rPr>
          <w:sz w:val="22"/>
          <w:szCs w:val="22"/>
        </w:rPr>
        <w:t xml:space="preserve"> </w:t>
      </w:r>
      <w:r w:rsidR="00FC7209" w:rsidRPr="00FC7209">
        <w:rPr>
          <w:sz w:val="22"/>
          <w:szCs w:val="22"/>
        </w:rPr>
        <w:t xml:space="preserve">this </w:t>
      </w:r>
      <w:r w:rsidR="00F76A33">
        <w:rPr>
          <w:sz w:val="22"/>
          <w:szCs w:val="22"/>
        </w:rPr>
        <w:t xml:space="preserve">results in an inflexible regime </w:t>
      </w:r>
      <w:r w:rsidR="0059195B">
        <w:rPr>
          <w:sz w:val="22"/>
          <w:szCs w:val="22"/>
        </w:rPr>
        <w:t>where providers’ decisions will be questioned at every turn.  Moreover, it</w:t>
      </w:r>
      <w:r w:rsidR="00F76A33">
        <w:rPr>
          <w:sz w:val="22"/>
          <w:szCs w:val="22"/>
        </w:rPr>
        <w:t xml:space="preserve"> starts to resemble a scheme to </w:t>
      </w:r>
      <w:r w:rsidR="00FC7209" w:rsidRPr="00FC7209">
        <w:rPr>
          <w:sz w:val="22"/>
          <w:szCs w:val="22"/>
        </w:rPr>
        <w:t xml:space="preserve">insulate </w:t>
      </w:r>
      <w:r>
        <w:rPr>
          <w:sz w:val="22"/>
          <w:szCs w:val="22"/>
        </w:rPr>
        <w:t>backdoor</w:t>
      </w:r>
      <w:r w:rsidR="00FC7209" w:rsidRPr="00FC7209">
        <w:rPr>
          <w:sz w:val="22"/>
          <w:szCs w:val="22"/>
        </w:rPr>
        <w:t xml:space="preserve"> rate regulation </w:t>
      </w:r>
      <w:r w:rsidR="00FC7209" w:rsidRPr="00FC7209">
        <w:rPr>
          <w:sz w:val="22"/>
          <w:szCs w:val="22"/>
        </w:rPr>
        <w:lastRenderedPageBreak/>
        <w:t xml:space="preserve">from litigation, rather than a benign effort to preserve the status quo. </w:t>
      </w:r>
      <w:r w:rsidR="008B6D40">
        <w:rPr>
          <w:sz w:val="22"/>
          <w:szCs w:val="22"/>
        </w:rPr>
        <w:t xml:space="preserve"> </w:t>
      </w:r>
      <w:r w:rsidR="00FC7209" w:rsidRPr="00FC7209">
        <w:rPr>
          <w:sz w:val="22"/>
          <w:szCs w:val="22"/>
        </w:rPr>
        <w:t xml:space="preserve">I cannot agree to that. </w:t>
      </w:r>
      <w:r w:rsidR="008B6D40">
        <w:rPr>
          <w:sz w:val="22"/>
          <w:szCs w:val="22"/>
        </w:rPr>
        <w:t xml:space="preserve"> </w:t>
      </w:r>
      <w:r w:rsidR="00F76A33">
        <w:rPr>
          <w:sz w:val="22"/>
          <w:szCs w:val="22"/>
        </w:rPr>
        <w:t>Supporters</w:t>
      </w:r>
      <w:r w:rsidR="00BC769D">
        <w:rPr>
          <w:sz w:val="22"/>
          <w:szCs w:val="22"/>
        </w:rPr>
        <w:t xml:space="preserve"> point out that these requirements only kick in if a provider files to discontinue service.  But the order seems designed to force carriers to file in order to subject them to the </w:t>
      </w:r>
      <w:r w:rsidR="00213C14">
        <w:rPr>
          <w:sz w:val="22"/>
          <w:szCs w:val="22"/>
        </w:rPr>
        <w:t xml:space="preserve">problematic </w:t>
      </w:r>
      <w:r w:rsidR="00186B90">
        <w:rPr>
          <w:sz w:val="22"/>
          <w:szCs w:val="22"/>
        </w:rPr>
        <w:t xml:space="preserve">pricing regime. </w:t>
      </w:r>
      <w:r w:rsidR="00BC769D">
        <w:rPr>
          <w:sz w:val="22"/>
          <w:szCs w:val="22"/>
        </w:rPr>
        <w:t xml:space="preserve"> </w:t>
      </w:r>
      <w:r w:rsidR="00186B90">
        <w:rPr>
          <w:sz w:val="22"/>
          <w:szCs w:val="22"/>
        </w:rPr>
        <w:t>Specifically</w:t>
      </w:r>
      <w:r w:rsidR="00FE4371">
        <w:rPr>
          <w:sz w:val="22"/>
          <w:szCs w:val="22"/>
        </w:rPr>
        <w:t>,</w:t>
      </w:r>
      <w:r w:rsidR="00451A93">
        <w:rPr>
          <w:sz w:val="22"/>
          <w:szCs w:val="22"/>
        </w:rPr>
        <w:t xml:space="preserve"> </w:t>
      </w:r>
      <w:r w:rsidR="00325A38" w:rsidRPr="00325A38">
        <w:rPr>
          <w:sz w:val="22"/>
          <w:szCs w:val="22"/>
        </w:rPr>
        <w:t>carriers</w:t>
      </w:r>
      <w:r w:rsidR="00451A93">
        <w:rPr>
          <w:sz w:val="22"/>
          <w:szCs w:val="22"/>
        </w:rPr>
        <w:t xml:space="preserve"> will have to engage in a “meaningful evaluation</w:t>
      </w:r>
      <w:r w:rsidR="00FE4371">
        <w:rPr>
          <w:sz w:val="22"/>
          <w:szCs w:val="22"/>
        </w:rPr>
        <w:t xml:space="preserve"> </w:t>
      </w:r>
      <w:r w:rsidR="00186B90" w:rsidRPr="00186B90">
        <w:rPr>
          <w:sz w:val="22"/>
          <w:szCs w:val="22"/>
        </w:rPr>
        <w:t xml:space="preserve">of the impact of actions that will discontinue, reduce, or impair services used as wholesale inputs and </w:t>
      </w:r>
      <w:r w:rsidR="00186B90">
        <w:rPr>
          <w:sz w:val="22"/>
          <w:szCs w:val="22"/>
        </w:rPr>
        <w:t>…</w:t>
      </w:r>
      <w:r w:rsidR="00186B90" w:rsidRPr="00186B90">
        <w:rPr>
          <w:sz w:val="22"/>
          <w:szCs w:val="22"/>
        </w:rPr>
        <w:t xml:space="preserve"> obtain Commission approval if their actions will discontinue service to end users</w:t>
      </w:r>
      <w:r w:rsidR="00BC769D">
        <w:rPr>
          <w:sz w:val="22"/>
          <w:szCs w:val="22"/>
        </w:rPr>
        <w:t>.</w:t>
      </w:r>
      <w:r w:rsidR="00186B90">
        <w:rPr>
          <w:sz w:val="22"/>
          <w:szCs w:val="22"/>
        </w:rPr>
        <w:t>”</w:t>
      </w:r>
      <w:r w:rsidR="00BC769D">
        <w:rPr>
          <w:sz w:val="22"/>
          <w:szCs w:val="22"/>
        </w:rPr>
        <w:t xml:space="preserve">  That has </w:t>
      </w:r>
      <w:r w:rsidR="007064CD">
        <w:rPr>
          <w:sz w:val="22"/>
          <w:szCs w:val="22"/>
        </w:rPr>
        <w:t xml:space="preserve">since </w:t>
      </w:r>
      <w:r w:rsidR="00BC769D">
        <w:rPr>
          <w:sz w:val="22"/>
          <w:szCs w:val="22"/>
        </w:rPr>
        <w:t>expanded to</w:t>
      </w:r>
      <w:r w:rsidR="00FE4371">
        <w:rPr>
          <w:sz w:val="22"/>
          <w:szCs w:val="22"/>
        </w:rPr>
        <w:t xml:space="preserve"> includ</w:t>
      </w:r>
      <w:r w:rsidR="00BC769D">
        <w:rPr>
          <w:sz w:val="22"/>
          <w:szCs w:val="22"/>
        </w:rPr>
        <w:t>e</w:t>
      </w:r>
      <w:r w:rsidR="00FE4371">
        <w:rPr>
          <w:sz w:val="22"/>
          <w:szCs w:val="22"/>
        </w:rPr>
        <w:t xml:space="preserve"> </w:t>
      </w:r>
      <w:r w:rsidR="00186B90">
        <w:rPr>
          <w:sz w:val="22"/>
          <w:szCs w:val="22"/>
        </w:rPr>
        <w:t xml:space="preserve">a requirement to </w:t>
      </w:r>
      <w:r w:rsidR="00FE4371" w:rsidRPr="00913893">
        <w:rPr>
          <w:sz w:val="22"/>
          <w:szCs w:val="22"/>
          <w:u w:val="single"/>
        </w:rPr>
        <w:t>consult</w:t>
      </w:r>
      <w:r w:rsidR="00FE4371">
        <w:rPr>
          <w:sz w:val="22"/>
          <w:szCs w:val="22"/>
        </w:rPr>
        <w:t xml:space="preserve"> with </w:t>
      </w:r>
      <w:r w:rsidR="00BC769D">
        <w:rPr>
          <w:sz w:val="22"/>
          <w:szCs w:val="22"/>
        </w:rPr>
        <w:t>wholesale carriers</w:t>
      </w:r>
      <w:r w:rsidR="0059195B">
        <w:rPr>
          <w:sz w:val="22"/>
          <w:szCs w:val="22"/>
        </w:rPr>
        <w:t>—</w:t>
      </w:r>
      <w:r w:rsidR="00050303">
        <w:rPr>
          <w:sz w:val="22"/>
          <w:szCs w:val="22"/>
        </w:rPr>
        <w:t>as if they have any incentive to ever agree</w:t>
      </w:r>
      <w:r w:rsidR="00186B90">
        <w:rPr>
          <w:sz w:val="22"/>
          <w:szCs w:val="22"/>
        </w:rPr>
        <w:t xml:space="preserve">.  </w:t>
      </w:r>
      <w:r w:rsidR="00325A38">
        <w:rPr>
          <w:sz w:val="22"/>
          <w:szCs w:val="22"/>
        </w:rPr>
        <w:t>All of t</w:t>
      </w:r>
      <w:r w:rsidR="00186B90">
        <w:rPr>
          <w:sz w:val="22"/>
          <w:szCs w:val="22"/>
        </w:rPr>
        <w:t xml:space="preserve">his puts </w:t>
      </w:r>
      <w:r w:rsidR="00325A38" w:rsidRPr="00325A38">
        <w:rPr>
          <w:sz w:val="22"/>
          <w:szCs w:val="22"/>
        </w:rPr>
        <w:t>carriers</w:t>
      </w:r>
      <w:r w:rsidR="00325A38">
        <w:rPr>
          <w:sz w:val="22"/>
          <w:szCs w:val="22"/>
        </w:rPr>
        <w:t xml:space="preserve"> </w:t>
      </w:r>
      <w:r w:rsidR="00186B90">
        <w:rPr>
          <w:sz w:val="22"/>
          <w:szCs w:val="22"/>
        </w:rPr>
        <w:t>between a rock and a hard place.  Either they defer their discontinuances, forcing them to maintain legacy services, or they file for discontinuance</w:t>
      </w:r>
      <w:r w:rsidR="00E25596">
        <w:rPr>
          <w:sz w:val="22"/>
          <w:szCs w:val="22"/>
        </w:rPr>
        <w:t>s</w:t>
      </w:r>
      <w:r w:rsidR="00186B90">
        <w:rPr>
          <w:sz w:val="22"/>
          <w:szCs w:val="22"/>
        </w:rPr>
        <w:t xml:space="preserve"> and are subject to the new conditions.</w:t>
      </w:r>
      <w:r w:rsidR="00050303">
        <w:rPr>
          <w:sz w:val="22"/>
          <w:szCs w:val="22"/>
        </w:rPr>
        <w:t xml:space="preserve">  </w:t>
      </w:r>
      <w:r w:rsidR="00186B90">
        <w:rPr>
          <w:sz w:val="22"/>
          <w:szCs w:val="22"/>
        </w:rPr>
        <w:t xml:space="preserve">  </w:t>
      </w:r>
    </w:p>
    <w:p w:rsidR="00FC7209" w:rsidRPr="00FC7209" w:rsidRDefault="00FC7209" w:rsidP="00FC7209">
      <w:pPr>
        <w:pStyle w:val="NormalWeb"/>
        <w:spacing w:after="0" w:afterAutospacing="0"/>
        <w:ind w:firstLine="720"/>
        <w:rPr>
          <w:sz w:val="22"/>
          <w:szCs w:val="22"/>
        </w:rPr>
      </w:pPr>
      <w:r w:rsidRPr="00FC7209">
        <w:rPr>
          <w:sz w:val="22"/>
          <w:szCs w:val="22"/>
        </w:rPr>
        <w:t xml:space="preserve">‎I was even more troubled to </w:t>
      </w:r>
      <w:r w:rsidR="00DF04CB">
        <w:rPr>
          <w:sz w:val="22"/>
          <w:szCs w:val="22"/>
        </w:rPr>
        <w:t xml:space="preserve">learn that </w:t>
      </w:r>
      <w:r w:rsidR="00F02014">
        <w:rPr>
          <w:sz w:val="22"/>
          <w:szCs w:val="22"/>
        </w:rPr>
        <w:t xml:space="preserve">commercially-negotiated </w:t>
      </w:r>
      <w:r w:rsidR="00DF04CB">
        <w:rPr>
          <w:sz w:val="22"/>
          <w:szCs w:val="22"/>
        </w:rPr>
        <w:t>UNE-P replacement services would now be regulated</w:t>
      </w:r>
      <w:r w:rsidRPr="00FC7209">
        <w:rPr>
          <w:sz w:val="22"/>
          <w:szCs w:val="22"/>
        </w:rPr>
        <w:t xml:space="preserve">. </w:t>
      </w:r>
      <w:r w:rsidR="00DF04CB">
        <w:rPr>
          <w:sz w:val="22"/>
          <w:szCs w:val="22"/>
        </w:rPr>
        <w:t xml:space="preserve"> </w:t>
      </w:r>
      <w:r w:rsidR="00F02014">
        <w:rPr>
          <w:sz w:val="22"/>
          <w:szCs w:val="22"/>
        </w:rPr>
        <w:t>P</w:t>
      </w:r>
      <w:r w:rsidRPr="00FC7209">
        <w:rPr>
          <w:sz w:val="22"/>
          <w:szCs w:val="22"/>
        </w:rPr>
        <w:t xml:space="preserve">roviders that had voluntarily agreed to offer </w:t>
      </w:r>
      <w:r w:rsidR="00FA3D9D">
        <w:rPr>
          <w:sz w:val="22"/>
          <w:szCs w:val="22"/>
        </w:rPr>
        <w:t xml:space="preserve">a </w:t>
      </w:r>
      <w:r w:rsidR="00F02014">
        <w:rPr>
          <w:sz w:val="22"/>
          <w:szCs w:val="22"/>
        </w:rPr>
        <w:t xml:space="preserve">commercial </w:t>
      </w:r>
      <w:r w:rsidR="00FC2DF5">
        <w:rPr>
          <w:sz w:val="22"/>
          <w:szCs w:val="22"/>
        </w:rPr>
        <w:t xml:space="preserve">wholesale </w:t>
      </w:r>
      <w:r w:rsidR="00F02014">
        <w:rPr>
          <w:sz w:val="22"/>
          <w:szCs w:val="22"/>
        </w:rPr>
        <w:t>platform</w:t>
      </w:r>
      <w:r w:rsidR="00FA3D9D">
        <w:rPr>
          <w:sz w:val="22"/>
          <w:szCs w:val="22"/>
        </w:rPr>
        <w:t xml:space="preserve"> </w:t>
      </w:r>
      <w:r w:rsidRPr="00FC7209">
        <w:rPr>
          <w:sz w:val="22"/>
          <w:szCs w:val="22"/>
        </w:rPr>
        <w:t xml:space="preserve">service to ease the transition for competitive carriers after </w:t>
      </w:r>
      <w:r w:rsidR="00F02014">
        <w:rPr>
          <w:sz w:val="22"/>
          <w:szCs w:val="22"/>
        </w:rPr>
        <w:t>the obligation to provide UNE-P was struck down by the Courts</w:t>
      </w:r>
      <w:r w:rsidRPr="00FC7209">
        <w:rPr>
          <w:sz w:val="22"/>
          <w:szCs w:val="22"/>
        </w:rPr>
        <w:t xml:space="preserve"> are </w:t>
      </w:r>
      <w:r w:rsidR="007064CD">
        <w:rPr>
          <w:sz w:val="22"/>
          <w:szCs w:val="22"/>
        </w:rPr>
        <w:t xml:space="preserve">now </w:t>
      </w:r>
      <w:r w:rsidRPr="00FC7209">
        <w:rPr>
          <w:sz w:val="22"/>
          <w:szCs w:val="22"/>
        </w:rPr>
        <w:t xml:space="preserve">being forced to carry it </w:t>
      </w:r>
      <w:r w:rsidR="00F02014">
        <w:rPr>
          <w:sz w:val="22"/>
          <w:szCs w:val="22"/>
        </w:rPr>
        <w:t>forward</w:t>
      </w:r>
      <w:r w:rsidRPr="00FC7209">
        <w:rPr>
          <w:sz w:val="22"/>
          <w:szCs w:val="22"/>
        </w:rPr>
        <w:t xml:space="preserve"> into an IP world for a to</w:t>
      </w:r>
      <w:r w:rsidR="002B239B">
        <w:rPr>
          <w:sz w:val="22"/>
          <w:szCs w:val="22"/>
        </w:rPr>
        <w:t>-</w:t>
      </w:r>
      <w:r w:rsidRPr="00FC7209">
        <w:rPr>
          <w:sz w:val="22"/>
          <w:szCs w:val="22"/>
        </w:rPr>
        <w:t>be</w:t>
      </w:r>
      <w:r w:rsidR="002B239B">
        <w:rPr>
          <w:sz w:val="22"/>
          <w:szCs w:val="22"/>
        </w:rPr>
        <w:t>-</w:t>
      </w:r>
      <w:r w:rsidRPr="00FC7209">
        <w:rPr>
          <w:sz w:val="22"/>
          <w:szCs w:val="22"/>
        </w:rPr>
        <w:t>determined duration.</w:t>
      </w:r>
    </w:p>
    <w:p w:rsidR="00FC7209" w:rsidRPr="00FC7209" w:rsidRDefault="00FC7209" w:rsidP="00FC7209">
      <w:pPr>
        <w:pStyle w:val="NormalWeb"/>
        <w:spacing w:after="0" w:afterAutospacing="0"/>
        <w:ind w:firstLine="720"/>
        <w:rPr>
          <w:sz w:val="22"/>
          <w:szCs w:val="22"/>
        </w:rPr>
      </w:pPr>
      <w:r w:rsidRPr="00FC7209">
        <w:rPr>
          <w:sz w:val="22"/>
          <w:szCs w:val="22"/>
        </w:rPr>
        <w:t>There are several problems with this approach</w:t>
      </w:r>
      <w:r w:rsidR="00A4790D">
        <w:rPr>
          <w:sz w:val="22"/>
          <w:szCs w:val="22"/>
        </w:rPr>
        <w:t>,</w:t>
      </w:r>
      <w:r w:rsidR="00C33D1A">
        <w:rPr>
          <w:sz w:val="22"/>
          <w:szCs w:val="22"/>
        </w:rPr>
        <w:t xml:space="preserve"> but let me focus on the </w:t>
      </w:r>
      <w:r w:rsidR="00B13790">
        <w:rPr>
          <w:sz w:val="22"/>
          <w:szCs w:val="22"/>
        </w:rPr>
        <w:t>most disturbing</w:t>
      </w:r>
      <w:r w:rsidRPr="00FC7209">
        <w:rPr>
          <w:sz w:val="22"/>
          <w:szCs w:val="22"/>
        </w:rPr>
        <w:t>.  </w:t>
      </w:r>
      <w:r w:rsidR="00414424">
        <w:rPr>
          <w:sz w:val="22"/>
          <w:szCs w:val="22"/>
        </w:rPr>
        <w:t xml:space="preserve"> </w:t>
      </w:r>
      <w:r w:rsidR="0059195B">
        <w:rPr>
          <w:sz w:val="22"/>
          <w:szCs w:val="22"/>
        </w:rPr>
        <w:t>T</w:t>
      </w:r>
      <w:r w:rsidRPr="00FC7209">
        <w:rPr>
          <w:sz w:val="22"/>
          <w:szCs w:val="22"/>
        </w:rPr>
        <w:t>here does not appear to be any limiting principle</w:t>
      </w:r>
      <w:r w:rsidR="00F02014">
        <w:rPr>
          <w:sz w:val="22"/>
          <w:szCs w:val="22"/>
        </w:rPr>
        <w:t xml:space="preserve"> to the Commission’s expansive interpretation of section 214(a).  </w:t>
      </w:r>
      <w:r w:rsidR="00C33D1A">
        <w:rPr>
          <w:sz w:val="22"/>
          <w:szCs w:val="22"/>
        </w:rPr>
        <w:t>Under this new interpretation, a</w:t>
      </w:r>
      <w:r w:rsidRPr="00FC7209">
        <w:rPr>
          <w:sz w:val="22"/>
          <w:szCs w:val="22"/>
        </w:rPr>
        <w:t xml:space="preserve">s soon as a carrier starts offering </w:t>
      </w:r>
      <w:r w:rsidR="00C33D1A">
        <w:rPr>
          <w:sz w:val="22"/>
          <w:szCs w:val="22"/>
        </w:rPr>
        <w:t xml:space="preserve">ANY </w:t>
      </w:r>
      <w:r w:rsidR="00F02014">
        <w:rPr>
          <w:sz w:val="22"/>
          <w:szCs w:val="22"/>
        </w:rPr>
        <w:t xml:space="preserve">telecommunications </w:t>
      </w:r>
      <w:r w:rsidRPr="00FC7209">
        <w:rPr>
          <w:sz w:val="22"/>
          <w:szCs w:val="22"/>
        </w:rPr>
        <w:t>service, regulated or not, it has to seek permission to discontinu</w:t>
      </w:r>
      <w:r w:rsidR="00F02014">
        <w:rPr>
          <w:sz w:val="22"/>
          <w:szCs w:val="22"/>
        </w:rPr>
        <w:t>e it and may have to provide an</w:t>
      </w:r>
      <w:r w:rsidR="00414424">
        <w:rPr>
          <w:sz w:val="22"/>
          <w:szCs w:val="22"/>
        </w:rPr>
        <w:t xml:space="preserve"> alternative.  I am stunned by the breadth of this </w:t>
      </w:r>
      <w:r w:rsidR="00C33D1A">
        <w:rPr>
          <w:sz w:val="22"/>
          <w:szCs w:val="22"/>
        </w:rPr>
        <w:t xml:space="preserve">overbearing </w:t>
      </w:r>
      <w:r w:rsidR="00414424">
        <w:rPr>
          <w:sz w:val="22"/>
          <w:szCs w:val="22"/>
        </w:rPr>
        <w:t>regulatory power grab.</w:t>
      </w:r>
      <w:r w:rsidR="00C33D1A">
        <w:rPr>
          <w:sz w:val="22"/>
          <w:szCs w:val="22"/>
        </w:rPr>
        <w:t xml:space="preserve">  I hope </w:t>
      </w:r>
      <w:r w:rsidR="00C47A7B">
        <w:rPr>
          <w:sz w:val="22"/>
          <w:szCs w:val="22"/>
        </w:rPr>
        <w:t>all participants in the supposed</w:t>
      </w:r>
      <w:r w:rsidR="00C33D1A">
        <w:rPr>
          <w:sz w:val="22"/>
          <w:szCs w:val="22"/>
        </w:rPr>
        <w:t xml:space="preserve"> “virtuous circle” will see how dangerous thi</w:t>
      </w:r>
      <w:r w:rsidR="00913893">
        <w:rPr>
          <w:sz w:val="22"/>
          <w:szCs w:val="22"/>
        </w:rPr>
        <w:t>s reading actually is.  Every communications and edge provider better</w:t>
      </w:r>
      <w:r w:rsidR="00C33D1A">
        <w:rPr>
          <w:sz w:val="22"/>
          <w:szCs w:val="22"/>
        </w:rPr>
        <w:t xml:space="preserve"> </w:t>
      </w:r>
      <w:r w:rsidRPr="00FC7209">
        <w:rPr>
          <w:sz w:val="22"/>
          <w:szCs w:val="22"/>
        </w:rPr>
        <w:t xml:space="preserve">think long and hard before </w:t>
      </w:r>
      <w:r w:rsidR="00414424">
        <w:rPr>
          <w:sz w:val="22"/>
          <w:szCs w:val="22"/>
        </w:rPr>
        <w:t>introduc</w:t>
      </w:r>
      <w:r w:rsidR="00913893">
        <w:rPr>
          <w:sz w:val="22"/>
          <w:szCs w:val="22"/>
        </w:rPr>
        <w:t xml:space="preserve">ing </w:t>
      </w:r>
      <w:r w:rsidRPr="00FC7209">
        <w:rPr>
          <w:sz w:val="22"/>
          <w:szCs w:val="22"/>
        </w:rPr>
        <w:t xml:space="preserve">new services because </w:t>
      </w:r>
      <w:r w:rsidR="002B239B">
        <w:rPr>
          <w:sz w:val="22"/>
          <w:szCs w:val="22"/>
        </w:rPr>
        <w:t xml:space="preserve">you </w:t>
      </w:r>
      <w:r w:rsidRPr="00FC7209">
        <w:rPr>
          <w:sz w:val="22"/>
          <w:szCs w:val="22"/>
        </w:rPr>
        <w:t xml:space="preserve">may be locked in to providing them for a very long time.  Instead of </w:t>
      </w:r>
      <w:r w:rsidR="003432DF">
        <w:rPr>
          <w:sz w:val="22"/>
          <w:szCs w:val="22"/>
        </w:rPr>
        <w:t>promoting “</w:t>
      </w:r>
      <w:r w:rsidRPr="00FC7209">
        <w:rPr>
          <w:sz w:val="22"/>
          <w:szCs w:val="22"/>
        </w:rPr>
        <w:t>Permissionless Innovation</w:t>
      </w:r>
      <w:r w:rsidR="003432DF">
        <w:rPr>
          <w:sz w:val="22"/>
          <w:szCs w:val="22"/>
        </w:rPr>
        <w:t>”</w:t>
      </w:r>
      <w:r w:rsidR="00A4790D">
        <w:rPr>
          <w:sz w:val="22"/>
          <w:szCs w:val="22"/>
        </w:rPr>
        <w:t>,</w:t>
      </w:r>
      <w:r w:rsidRPr="00FC7209">
        <w:rPr>
          <w:sz w:val="22"/>
          <w:szCs w:val="22"/>
        </w:rPr>
        <w:t xml:space="preserve"> we </w:t>
      </w:r>
      <w:r w:rsidR="003432DF">
        <w:rPr>
          <w:sz w:val="22"/>
          <w:szCs w:val="22"/>
        </w:rPr>
        <w:t>are creating a regime of</w:t>
      </w:r>
      <w:r w:rsidRPr="00FC7209">
        <w:rPr>
          <w:sz w:val="22"/>
          <w:szCs w:val="22"/>
        </w:rPr>
        <w:t xml:space="preserve"> </w:t>
      </w:r>
      <w:r w:rsidR="003432DF">
        <w:rPr>
          <w:sz w:val="22"/>
          <w:szCs w:val="22"/>
        </w:rPr>
        <w:t>“</w:t>
      </w:r>
      <w:r w:rsidRPr="00FC7209">
        <w:rPr>
          <w:sz w:val="22"/>
          <w:szCs w:val="22"/>
        </w:rPr>
        <w:t>Permission and Less Innovation</w:t>
      </w:r>
      <w:r w:rsidR="003432DF">
        <w:rPr>
          <w:sz w:val="22"/>
          <w:szCs w:val="22"/>
        </w:rPr>
        <w:t>”</w:t>
      </w:r>
      <w:r w:rsidRPr="00FC7209">
        <w:rPr>
          <w:sz w:val="22"/>
          <w:szCs w:val="22"/>
        </w:rPr>
        <w:t>.  </w:t>
      </w:r>
    </w:p>
    <w:p w:rsidR="00FD21A3" w:rsidRDefault="00FD21A3" w:rsidP="00FC7209">
      <w:pPr>
        <w:spacing w:after="0" w:line="240" w:lineRule="auto"/>
        <w:ind w:firstLine="720"/>
        <w:rPr>
          <w:rFonts w:ascii="Times New Roman" w:hAnsi="Times New Roman" w:cs="Times New Roman"/>
        </w:rPr>
      </w:pPr>
    </w:p>
    <w:p w:rsidR="00FF6D09" w:rsidRDefault="00414424" w:rsidP="00FC7209">
      <w:pPr>
        <w:spacing w:after="0" w:line="240" w:lineRule="auto"/>
        <w:ind w:firstLine="720"/>
        <w:rPr>
          <w:rFonts w:ascii="Times New Roman" w:hAnsi="Times New Roman" w:cs="Times New Roman"/>
        </w:rPr>
      </w:pPr>
      <w:r>
        <w:rPr>
          <w:rFonts w:ascii="Times New Roman" w:hAnsi="Times New Roman" w:cs="Times New Roman"/>
        </w:rPr>
        <w:t xml:space="preserve">I also have concerns with the copper retirement discussion.  The </w:t>
      </w:r>
      <w:r w:rsidR="0058118B">
        <w:rPr>
          <w:rFonts w:ascii="Times New Roman" w:hAnsi="Times New Roman" w:cs="Times New Roman"/>
        </w:rPr>
        <w:t xml:space="preserve">silver lining </w:t>
      </w:r>
      <w:r>
        <w:rPr>
          <w:rFonts w:ascii="Times New Roman" w:hAnsi="Times New Roman" w:cs="Times New Roman"/>
        </w:rPr>
        <w:t>is that the Commission preserves the notice regime for retirements, rather than creating an approval process</w:t>
      </w:r>
      <w:r w:rsidR="0058118B">
        <w:rPr>
          <w:rFonts w:ascii="Times New Roman" w:hAnsi="Times New Roman" w:cs="Times New Roman"/>
        </w:rPr>
        <w:t xml:space="preserve">.  But the </w:t>
      </w:r>
      <w:r w:rsidR="00BC3A75">
        <w:rPr>
          <w:rFonts w:ascii="Times New Roman" w:hAnsi="Times New Roman" w:cs="Times New Roman"/>
        </w:rPr>
        <w:t>Order</w:t>
      </w:r>
      <w:r w:rsidR="0058118B">
        <w:rPr>
          <w:rFonts w:ascii="Times New Roman" w:hAnsi="Times New Roman" w:cs="Times New Roman"/>
        </w:rPr>
        <w:t xml:space="preserve"> </w:t>
      </w:r>
      <w:r w:rsidR="00BC3A75">
        <w:rPr>
          <w:rFonts w:ascii="Times New Roman" w:hAnsi="Times New Roman" w:cs="Times New Roman"/>
        </w:rPr>
        <w:t>imports</w:t>
      </w:r>
      <w:r w:rsidR="0058118B">
        <w:rPr>
          <w:rFonts w:ascii="Times New Roman" w:hAnsi="Times New Roman" w:cs="Times New Roman"/>
        </w:rPr>
        <w:t xml:space="preserve"> a “good faith” standard</w:t>
      </w:r>
      <w:r w:rsidR="00C33D1A">
        <w:rPr>
          <w:rFonts w:ascii="Times New Roman" w:hAnsi="Times New Roman" w:cs="Times New Roman"/>
        </w:rPr>
        <w:t xml:space="preserve"> </w:t>
      </w:r>
      <w:r w:rsidR="0058118B">
        <w:rPr>
          <w:rFonts w:ascii="Times New Roman" w:hAnsi="Times New Roman" w:cs="Times New Roman"/>
        </w:rPr>
        <w:t xml:space="preserve">with the details to be </w:t>
      </w:r>
      <w:r w:rsidR="00BC3A75">
        <w:rPr>
          <w:rFonts w:ascii="Times New Roman" w:hAnsi="Times New Roman" w:cs="Times New Roman"/>
        </w:rPr>
        <w:t>worked out later</w:t>
      </w:r>
      <w:r>
        <w:rPr>
          <w:rFonts w:ascii="Times New Roman" w:hAnsi="Times New Roman" w:cs="Times New Roman"/>
        </w:rPr>
        <w:t xml:space="preserve">.  </w:t>
      </w:r>
      <w:r w:rsidR="00B13790">
        <w:rPr>
          <w:rFonts w:ascii="Times New Roman" w:hAnsi="Times New Roman" w:cs="Times New Roman"/>
        </w:rPr>
        <w:t xml:space="preserve">Without commenting on its broadcasting use, it’s completely </w:t>
      </w:r>
      <w:r w:rsidR="00451A93">
        <w:rPr>
          <w:rFonts w:ascii="Times New Roman" w:hAnsi="Times New Roman" w:cs="Times New Roman"/>
        </w:rPr>
        <w:t xml:space="preserve">vague </w:t>
      </w:r>
      <w:r w:rsidR="00B13790">
        <w:rPr>
          <w:rFonts w:ascii="Times New Roman" w:hAnsi="Times New Roman" w:cs="Times New Roman"/>
        </w:rPr>
        <w:t>how it would be applied here</w:t>
      </w:r>
      <w:r w:rsidR="00451A93">
        <w:rPr>
          <w:rFonts w:ascii="Times New Roman" w:hAnsi="Times New Roman" w:cs="Times New Roman"/>
        </w:rPr>
        <w:t>.  So much for providing clear rules of road to promote the transitions.</w:t>
      </w:r>
      <w:r w:rsidR="00C33D1A">
        <w:rPr>
          <w:rFonts w:ascii="Times New Roman" w:hAnsi="Times New Roman" w:cs="Times New Roman"/>
        </w:rPr>
        <w:t xml:space="preserve">  </w:t>
      </w:r>
      <w:r w:rsidR="00913893">
        <w:rPr>
          <w:rFonts w:ascii="Times New Roman" w:hAnsi="Times New Roman" w:cs="Times New Roman"/>
        </w:rPr>
        <w:t>Again, this item is being portrayed as balanced when instead it is merely deferring to the staff ways to add layers upon layers of bureaucracy, followed up by applications eventually being delayed or rejected.  Does</w:t>
      </w:r>
      <w:r w:rsidR="000F6D60">
        <w:rPr>
          <w:rFonts w:ascii="Times New Roman" w:hAnsi="Times New Roman" w:cs="Times New Roman"/>
        </w:rPr>
        <w:t>n’t</w:t>
      </w:r>
      <w:r w:rsidR="00913893">
        <w:rPr>
          <w:rFonts w:ascii="Times New Roman" w:hAnsi="Times New Roman" w:cs="Times New Roman"/>
        </w:rPr>
        <w:t xml:space="preserve"> anyone follow our forbearance proceedings?</w:t>
      </w:r>
      <w:r w:rsidR="00B13790">
        <w:rPr>
          <w:rFonts w:ascii="Times New Roman" w:hAnsi="Times New Roman" w:cs="Times New Roman"/>
        </w:rPr>
        <w:t xml:space="preserve">  </w:t>
      </w:r>
    </w:p>
    <w:p w:rsidR="000F6D60" w:rsidRDefault="000F6D60" w:rsidP="00FC7209">
      <w:pPr>
        <w:spacing w:after="0" w:line="240" w:lineRule="auto"/>
        <w:ind w:firstLine="720"/>
        <w:rPr>
          <w:rFonts w:ascii="Times New Roman" w:hAnsi="Times New Roman" w:cs="Times New Roman"/>
        </w:rPr>
      </w:pPr>
    </w:p>
    <w:p w:rsidR="00414424" w:rsidRDefault="0058118B" w:rsidP="0098320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Another source of concern</w:t>
      </w:r>
      <w:r w:rsidR="004C1494" w:rsidRPr="00FF6D09">
        <w:rPr>
          <w:rFonts w:ascii="Times New Roman" w:hAnsi="Times New Roman" w:cs="Times New Roman"/>
        </w:rPr>
        <w:t xml:space="preserve"> is the dubious “de facto retirement</w:t>
      </w:r>
      <w:r w:rsidR="00B25694" w:rsidRPr="00FF6D09">
        <w:rPr>
          <w:rFonts w:ascii="Times New Roman" w:hAnsi="Times New Roman" w:cs="Times New Roman"/>
        </w:rPr>
        <w:t xml:space="preserve">” section.  </w:t>
      </w:r>
      <w:r w:rsidR="00FF6D09" w:rsidRPr="00FF6D09">
        <w:rPr>
          <w:rFonts w:ascii="Times New Roman" w:hAnsi="Times New Roman" w:cs="Times New Roman"/>
        </w:rPr>
        <w:t xml:space="preserve">To the extent this is actually a problem, the item does not explain why our current rules are insufficient to address it. </w:t>
      </w:r>
      <w:r w:rsidR="00913893">
        <w:rPr>
          <w:rFonts w:ascii="Times New Roman" w:hAnsi="Times New Roman" w:cs="Times New Roman"/>
        </w:rPr>
        <w:t xml:space="preserve"> </w:t>
      </w:r>
      <w:r w:rsidR="00FF6D09" w:rsidRPr="00FF6D09">
        <w:rPr>
          <w:rFonts w:ascii="Times New Roman" w:hAnsi="Times New Roman" w:cs="Times New Roman"/>
        </w:rPr>
        <w:t>As one commenter explained: “It just makes sense that when a superior network is available, which provides more and better services to consumers and also requires less maintenance, that the provider would not devote scarce resources to maintaining the current legacy network.  When that network no longer is able to provide reliable service, it is appropriate for it to be retired.”</w:t>
      </w:r>
      <w:r w:rsidR="00FF6D09" w:rsidRPr="00FF6D09">
        <w:rPr>
          <w:rStyle w:val="FootnoteReference"/>
          <w:rFonts w:ascii="Times New Roman" w:hAnsi="Times New Roman" w:cs="Times New Roman"/>
        </w:rPr>
        <w:footnoteReference w:id="1"/>
      </w:r>
      <w:r w:rsidR="00B25694" w:rsidRPr="00FF6D09">
        <w:rPr>
          <w:rFonts w:ascii="Times New Roman" w:hAnsi="Times New Roman" w:cs="Times New Roman"/>
        </w:rPr>
        <w:t xml:space="preserve">  </w:t>
      </w:r>
      <w:r w:rsidR="00FF6D09" w:rsidRPr="00FF6D09">
        <w:rPr>
          <w:rFonts w:ascii="Times New Roman" w:hAnsi="Times New Roman" w:cs="Times New Roman"/>
        </w:rPr>
        <w:t xml:space="preserve">At that point, providers would presumably follow the Commission’s retirement rules.  </w:t>
      </w:r>
      <w:r w:rsidR="00983202">
        <w:rPr>
          <w:rFonts w:ascii="Times New Roman" w:hAnsi="Times New Roman" w:cs="Times New Roman"/>
        </w:rPr>
        <w:t>There is no evidence in the record of systematic neglect</w:t>
      </w:r>
      <w:r w:rsidR="003C0A9D">
        <w:rPr>
          <w:rFonts w:ascii="Times New Roman" w:hAnsi="Times New Roman" w:cs="Times New Roman"/>
        </w:rPr>
        <w:t xml:space="preserve"> or non-compliance with the rules</w:t>
      </w:r>
      <w:r w:rsidR="000F6D60">
        <w:rPr>
          <w:rFonts w:ascii="Times New Roman" w:hAnsi="Times New Roman" w:cs="Times New Roman"/>
        </w:rPr>
        <w:t xml:space="preserve">, </w:t>
      </w:r>
      <w:r w:rsidR="00983202">
        <w:rPr>
          <w:rFonts w:ascii="Times New Roman" w:hAnsi="Times New Roman" w:cs="Times New Roman"/>
        </w:rPr>
        <w:t>so it is unclear why additional requirements are necessary.</w:t>
      </w:r>
      <w:r w:rsidR="00983202">
        <w:rPr>
          <w:rStyle w:val="FootnoteReference"/>
          <w:rFonts w:ascii="Times New Roman" w:hAnsi="Times New Roman" w:cs="Times New Roman"/>
        </w:rPr>
        <w:footnoteReference w:id="2"/>
      </w:r>
      <w:r w:rsidR="00983202">
        <w:rPr>
          <w:rFonts w:ascii="Times New Roman" w:hAnsi="Times New Roman" w:cs="Times New Roman"/>
        </w:rPr>
        <w:t xml:space="preserve">  To the contrary, there is evidence that providers are meeting applicable standards for network upkeep</w:t>
      </w:r>
      <w:r w:rsidR="003C0A9D">
        <w:rPr>
          <w:rFonts w:ascii="Times New Roman" w:hAnsi="Times New Roman" w:cs="Times New Roman"/>
        </w:rPr>
        <w:t xml:space="preserve">, which </w:t>
      </w:r>
      <w:r w:rsidR="003C0A9D">
        <w:rPr>
          <w:rFonts w:ascii="Times New Roman" w:hAnsi="Times New Roman" w:cs="Times New Roman"/>
        </w:rPr>
        <w:lastRenderedPageBreak/>
        <w:t>acknowledge that no network is perfect</w:t>
      </w:r>
      <w:r w:rsidR="00983202">
        <w:rPr>
          <w:rFonts w:ascii="Times New Roman" w:hAnsi="Times New Roman" w:cs="Times New Roman"/>
        </w:rPr>
        <w:t>.</w:t>
      </w:r>
      <w:r w:rsidR="00983202">
        <w:rPr>
          <w:rStyle w:val="FootnoteReference"/>
          <w:rFonts w:ascii="Times New Roman" w:hAnsi="Times New Roman" w:cs="Times New Roman"/>
        </w:rPr>
        <w:footnoteReference w:id="3"/>
      </w:r>
      <w:r w:rsidR="00983202">
        <w:rPr>
          <w:rFonts w:ascii="Times New Roman" w:hAnsi="Times New Roman" w:cs="Times New Roman"/>
        </w:rPr>
        <w:t xml:space="preserve">  </w:t>
      </w:r>
      <w:r w:rsidR="00473F4D">
        <w:rPr>
          <w:rFonts w:ascii="Times New Roman" w:hAnsi="Times New Roman" w:cs="Times New Roman"/>
        </w:rPr>
        <w:t xml:space="preserve">But now, </w:t>
      </w:r>
      <w:r w:rsidR="003C0A9D">
        <w:rPr>
          <w:rFonts w:ascii="Times New Roman" w:hAnsi="Times New Roman" w:cs="Times New Roman"/>
        </w:rPr>
        <w:t>a single complaint could subject a provider to an enforcement action, further diverting resources away from fiber investment</w:t>
      </w:r>
      <w:r w:rsidR="00473F4D">
        <w:rPr>
          <w:rFonts w:ascii="Times New Roman" w:hAnsi="Times New Roman" w:cs="Times New Roman"/>
        </w:rPr>
        <w:t>.</w:t>
      </w:r>
      <w:r w:rsidR="00FF6D09">
        <w:rPr>
          <w:rFonts w:ascii="Times New Roman" w:hAnsi="Times New Roman" w:cs="Times New Roman"/>
        </w:rPr>
        <w:t xml:space="preserve">  </w:t>
      </w:r>
    </w:p>
    <w:p w:rsidR="005C200F" w:rsidRDefault="005C200F" w:rsidP="00983202">
      <w:pPr>
        <w:autoSpaceDE w:val="0"/>
        <w:autoSpaceDN w:val="0"/>
        <w:adjustRightInd w:val="0"/>
        <w:spacing w:after="0" w:line="240" w:lineRule="auto"/>
        <w:ind w:firstLine="720"/>
        <w:rPr>
          <w:rFonts w:ascii="Times New Roman" w:hAnsi="Times New Roman" w:cs="Times New Roman"/>
        </w:rPr>
      </w:pPr>
    </w:p>
    <w:p w:rsidR="004E6DEB" w:rsidRDefault="0058118B" w:rsidP="0098320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I also disagree with the restrictions on how providers market new services that will be available when copper is retired.  </w:t>
      </w:r>
      <w:r w:rsidR="00BC769D">
        <w:rPr>
          <w:rFonts w:ascii="Times New Roman" w:hAnsi="Times New Roman" w:cs="Times New Roman"/>
        </w:rPr>
        <w:t>Based on the</w:t>
      </w:r>
      <w:r w:rsidR="00EE23D3">
        <w:rPr>
          <w:rFonts w:ascii="Times New Roman" w:hAnsi="Times New Roman" w:cs="Times New Roman"/>
        </w:rPr>
        <w:t xml:space="preserve"> section 706 proceeding</w:t>
      </w:r>
      <w:r w:rsidR="00BC769D">
        <w:rPr>
          <w:rFonts w:ascii="Times New Roman" w:hAnsi="Times New Roman" w:cs="Times New Roman"/>
        </w:rPr>
        <w:t>, I was under the impression</w:t>
      </w:r>
      <w:r w:rsidR="00EE23D3">
        <w:rPr>
          <w:rFonts w:ascii="Times New Roman" w:hAnsi="Times New Roman" w:cs="Times New Roman"/>
        </w:rPr>
        <w:t xml:space="preserve"> </w:t>
      </w:r>
      <w:r w:rsidR="004E6DEB">
        <w:rPr>
          <w:rFonts w:ascii="Times New Roman" w:hAnsi="Times New Roman" w:cs="Times New Roman"/>
        </w:rPr>
        <w:t>that we wanted consumers to adopt broadband</w:t>
      </w:r>
      <w:r w:rsidR="00EE23D3">
        <w:rPr>
          <w:rFonts w:ascii="Times New Roman" w:hAnsi="Times New Roman" w:cs="Times New Roman"/>
        </w:rPr>
        <w:t xml:space="preserve">, to the tune of 25/3 Mbps, which </w:t>
      </w:r>
      <w:r w:rsidR="00186B90">
        <w:rPr>
          <w:rFonts w:ascii="Times New Roman" w:hAnsi="Times New Roman" w:cs="Times New Roman"/>
        </w:rPr>
        <w:t>currently means fiber</w:t>
      </w:r>
      <w:r w:rsidR="004E6DEB">
        <w:rPr>
          <w:rFonts w:ascii="Times New Roman" w:hAnsi="Times New Roman" w:cs="Times New Roman"/>
        </w:rPr>
        <w:t xml:space="preserve">.  </w:t>
      </w:r>
      <w:r w:rsidR="00BC769D">
        <w:rPr>
          <w:rFonts w:ascii="Times New Roman" w:hAnsi="Times New Roman" w:cs="Times New Roman"/>
        </w:rPr>
        <w:t>Yet here in this proceeding</w:t>
      </w:r>
      <w:r w:rsidR="004E6DEB">
        <w:rPr>
          <w:rFonts w:ascii="Times New Roman" w:hAnsi="Times New Roman" w:cs="Times New Roman"/>
        </w:rPr>
        <w:t>, the message from the Commission seems to be “Warning: Fiber Ahead.  Sorry for the Convenience.”</w:t>
      </w:r>
      <w:r w:rsidR="00BC769D">
        <w:rPr>
          <w:rFonts w:ascii="Times New Roman" w:hAnsi="Times New Roman" w:cs="Times New Roman"/>
        </w:rPr>
        <w:t xml:space="preserve">   </w:t>
      </w:r>
      <w:r w:rsidR="004E3B59">
        <w:rPr>
          <w:rFonts w:ascii="Times New Roman" w:hAnsi="Times New Roman" w:cs="Times New Roman"/>
        </w:rPr>
        <w:t>Incredibly, the Commission found a way to be for and against fiber at the same time.</w:t>
      </w:r>
    </w:p>
    <w:p w:rsidR="004E6DEB" w:rsidRDefault="004E6DEB" w:rsidP="00983202">
      <w:pPr>
        <w:autoSpaceDE w:val="0"/>
        <w:autoSpaceDN w:val="0"/>
        <w:adjustRightInd w:val="0"/>
        <w:spacing w:after="0" w:line="240" w:lineRule="auto"/>
        <w:ind w:firstLine="720"/>
        <w:rPr>
          <w:rFonts w:ascii="Times New Roman" w:hAnsi="Times New Roman" w:cs="Times New Roman"/>
        </w:rPr>
      </w:pPr>
    </w:p>
    <w:p w:rsidR="00983202" w:rsidRDefault="00325A38" w:rsidP="0098320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Finally, I have deep </w:t>
      </w:r>
      <w:r w:rsidR="000549E8">
        <w:rPr>
          <w:rFonts w:ascii="Times New Roman" w:hAnsi="Times New Roman" w:cs="Times New Roman"/>
        </w:rPr>
        <w:t xml:space="preserve">reservations about the Further Notice on measuring the adequacy of substitute services.  Here again, this is written from the perspective that new or different services should be viewed with suspicion, even though many consumers have already transitioned to such services on a voluntary basis.  </w:t>
      </w:r>
      <w:r w:rsidR="00BC3A75">
        <w:rPr>
          <w:rFonts w:ascii="Times New Roman" w:hAnsi="Times New Roman" w:cs="Times New Roman"/>
        </w:rPr>
        <w:t xml:space="preserve">For example, why would </w:t>
      </w:r>
      <w:r w:rsidR="00E30F2A">
        <w:rPr>
          <w:rFonts w:ascii="Times New Roman" w:hAnsi="Times New Roman" w:cs="Times New Roman"/>
        </w:rPr>
        <w:t>w</w:t>
      </w:r>
      <w:r w:rsidR="00BC3A75">
        <w:rPr>
          <w:rFonts w:ascii="Times New Roman" w:hAnsi="Times New Roman" w:cs="Times New Roman"/>
        </w:rPr>
        <w:t xml:space="preserve">e hold up progress for fax machines when perfectly adequate substitutes have been available for </w:t>
      </w:r>
      <w:r w:rsidR="00913893">
        <w:rPr>
          <w:rFonts w:ascii="Times New Roman" w:hAnsi="Times New Roman" w:cs="Times New Roman"/>
        </w:rPr>
        <w:t>over a decade</w:t>
      </w:r>
      <w:r w:rsidR="00BC3A75">
        <w:rPr>
          <w:rFonts w:ascii="Times New Roman" w:hAnsi="Times New Roman" w:cs="Times New Roman"/>
        </w:rPr>
        <w:t xml:space="preserve">?  </w:t>
      </w:r>
      <w:r w:rsidR="000549E8">
        <w:rPr>
          <w:rFonts w:ascii="Times New Roman" w:hAnsi="Times New Roman" w:cs="Times New Roman"/>
        </w:rPr>
        <w:t xml:space="preserve">I also take issue with particular criteria, such as cybersecurity, as we have no </w:t>
      </w:r>
      <w:r w:rsidR="00913893">
        <w:rPr>
          <w:rFonts w:ascii="Times New Roman" w:hAnsi="Times New Roman" w:cs="Times New Roman"/>
        </w:rPr>
        <w:t xml:space="preserve">statutory </w:t>
      </w:r>
      <w:r w:rsidR="000549E8">
        <w:rPr>
          <w:rFonts w:ascii="Times New Roman" w:hAnsi="Times New Roman" w:cs="Times New Roman"/>
        </w:rPr>
        <w:t xml:space="preserve">authority in that space.    </w:t>
      </w:r>
    </w:p>
    <w:p w:rsidR="000549E8" w:rsidRDefault="000549E8" w:rsidP="00983202">
      <w:pPr>
        <w:autoSpaceDE w:val="0"/>
        <w:autoSpaceDN w:val="0"/>
        <w:adjustRightInd w:val="0"/>
        <w:spacing w:after="0" w:line="240" w:lineRule="auto"/>
        <w:ind w:firstLine="720"/>
        <w:rPr>
          <w:rFonts w:ascii="Times New Roman" w:hAnsi="Times New Roman" w:cs="Times New Roman"/>
        </w:rPr>
      </w:pPr>
    </w:p>
    <w:p w:rsidR="000549E8" w:rsidRDefault="000549E8" w:rsidP="0098320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I am disappointed that we were not able to reach consensus on this item.  Everyone supports technology transitions but the details matter.  In this item, </w:t>
      </w:r>
      <w:r w:rsidR="00BC3A75">
        <w:rPr>
          <w:rFonts w:ascii="Times New Roman" w:hAnsi="Times New Roman" w:cs="Times New Roman"/>
        </w:rPr>
        <w:t>the Commission</w:t>
      </w:r>
      <w:r>
        <w:rPr>
          <w:rFonts w:ascii="Times New Roman" w:hAnsi="Times New Roman" w:cs="Times New Roman"/>
        </w:rPr>
        <w:t xml:space="preserve"> opt</w:t>
      </w:r>
      <w:r w:rsidR="00BC3A75">
        <w:rPr>
          <w:rFonts w:ascii="Times New Roman" w:hAnsi="Times New Roman" w:cs="Times New Roman"/>
        </w:rPr>
        <w:t>s</w:t>
      </w:r>
      <w:r>
        <w:rPr>
          <w:rFonts w:ascii="Times New Roman" w:hAnsi="Times New Roman" w:cs="Times New Roman"/>
        </w:rPr>
        <w:t xml:space="preserve"> to microm</w:t>
      </w:r>
      <w:r w:rsidR="007064CD">
        <w:rPr>
          <w:rFonts w:ascii="Times New Roman" w:hAnsi="Times New Roman" w:cs="Times New Roman"/>
        </w:rPr>
        <w:t xml:space="preserve">anage those details.  I’m not suggesting that the Commission turn a blind eye to issues that may arise during the proceeding.  But I cannot support intrusive meddling in virtually every aspect of carriers’ business decisions.  I respectfully dissent.  </w:t>
      </w:r>
      <w:r>
        <w:rPr>
          <w:rFonts w:ascii="Times New Roman" w:hAnsi="Times New Roman" w:cs="Times New Roman"/>
        </w:rPr>
        <w:t xml:space="preserve">  </w:t>
      </w:r>
    </w:p>
    <w:p w:rsidR="00983202" w:rsidRPr="00FF6D09" w:rsidRDefault="00983202" w:rsidP="00983202">
      <w:pPr>
        <w:autoSpaceDE w:val="0"/>
        <w:autoSpaceDN w:val="0"/>
        <w:adjustRightInd w:val="0"/>
        <w:spacing w:after="0" w:line="240" w:lineRule="auto"/>
        <w:ind w:firstLine="720"/>
        <w:rPr>
          <w:rFonts w:ascii="Times New Roman" w:hAnsi="Times New Roman" w:cs="Times New Roman"/>
        </w:rPr>
      </w:pPr>
    </w:p>
    <w:sectPr w:rsidR="00983202" w:rsidRPr="00FF6D09" w:rsidSect="00146F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394" w:rsidRDefault="007C7394" w:rsidP="00DF04CB">
      <w:pPr>
        <w:spacing w:after="0" w:line="240" w:lineRule="auto"/>
      </w:pPr>
      <w:r>
        <w:separator/>
      </w:r>
    </w:p>
  </w:endnote>
  <w:endnote w:type="continuationSeparator" w:id="0">
    <w:p w:rsidR="007C7394" w:rsidRDefault="007C7394" w:rsidP="00DF0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F7" w:rsidRDefault="00CD31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174633"/>
      <w:docPartObj>
        <w:docPartGallery w:val="Page Numbers (Bottom of Page)"/>
        <w:docPartUnique/>
      </w:docPartObj>
    </w:sdtPr>
    <w:sdtEndPr>
      <w:rPr>
        <w:rFonts w:ascii="Times New Roman" w:hAnsi="Times New Roman" w:cs="Times New Roman"/>
        <w:noProof/>
      </w:rPr>
    </w:sdtEndPr>
    <w:sdtContent>
      <w:p w:rsidR="00146F7E" w:rsidRPr="00146F7E" w:rsidRDefault="00146F7E">
        <w:pPr>
          <w:pStyle w:val="Footer"/>
          <w:jc w:val="center"/>
          <w:rPr>
            <w:rFonts w:ascii="Times New Roman" w:hAnsi="Times New Roman" w:cs="Times New Roman"/>
          </w:rPr>
        </w:pPr>
        <w:r w:rsidRPr="00146F7E">
          <w:rPr>
            <w:rFonts w:ascii="Times New Roman" w:hAnsi="Times New Roman" w:cs="Times New Roman"/>
          </w:rPr>
          <w:fldChar w:fldCharType="begin"/>
        </w:r>
        <w:r w:rsidRPr="00146F7E">
          <w:rPr>
            <w:rFonts w:ascii="Times New Roman" w:hAnsi="Times New Roman" w:cs="Times New Roman"/>
          </w:rPr>
          <w:instrText xml:space="preserve"> PAGE   \* MERGEFORMAT </w:instrText>
        </w:r>
        <w:r w:rsidRPr="00146F7E">
          <w:rPr>
            <w:rFonts w:ascii="Times New Roman" w:hAnsi="Times New Roman" w:cs="Times New Roman"/>
          </w:rPr>
          <w:fldChar w:fldCharType="separate"/>
        </w:r>
        <w:r w:rsidR="0099521E">
          <w:rPr>
            <w:rFonts w:ascii="Times New Roman" w:hAnsi="Times New Roman" w:cs="Times New Roman"/>
            <w:noProof/>
          </w:rPr>
          <w:t>2</w:t>
        </w:r>
        <w:r w:rsidRPr="00146F7E">
          <w:rPr>
            <w:rFonts w:ascii="Times New Roman" w:hAnsi="Times New Roman" w:cs="Times New Roman"/>
            <w:noProof/>
          </w:rPr>
          <w:fldChar w:fldCharType="end"/>
        </w:r>
      </w:p>
    </w:sdtContent>
  </w:sdt>
  <w:p w:rsidR="00146F7E" w:rsidRDefault="00146F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F7" w:rsidRDefault="00CD3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394" w:rsidRDefault="007C7394" w:rsidP="00DF04CB">
      <w:pPr>
        <w:spacing w:after="0" w:line="240" w:lineRule="auto"/>
      </w:pPr>
      <w:r>
        <w:separator/>
      </w:r>
    </w:p>
  </w:footnote>
  <w:footnote w:type="continuationSeparator" w:id="0">
    <w:p w:rsidR="007C7394" w:rsidRDefault="007C7394" w:rsidP="00DF04CB">
      <w:pPr>
        <w:spacing w:after="0" w:line="240" w:lineRule="auto"/>
      </w:pPr>
      <w:r>
        <w:continuationSeparator/>
      </w:r>
    </w:p>
  </w:footnote>
  <w:footnote w:id="1">
    <w:p w:rsidR="00FF6D09" w:rsidRPr="00983202" w:rsidRDefault="00FF6D09" w:rsidP="00146F7E">
      <w:pPr>
        <w:pStyle w:val="FootnoteText"/>
        <w:spacing w:after="120"/>
        <w:rPr>
          <w:rFonts w:ascii="Times New Roman" w:hAnsi="Times New Roman" w:cs="Times New Roman"/>
        </w:rPr>
      </w:pPr>
      <w:r w:rsidRPr="00983202">
        <w:rPr>
          <w:rStyle w:val="FootnoteReference"/>
          <w:rFonts w:ascii="Times New Roman" w:hAnsi="Times New Roman" w:cs="Times New Roman"/>
        </w:rPr>
        <w:footnoteRef/>
      </w:r>
      <w:r w:rsidRPr="00983202">
        <w:rPr>
          <w:rFonts w:ascii="Times New Roman" w:hAnsi="Times New Roman" w:cs="Times New Roman"/>
        </w:rPr>
        <w:t xml:space="preserve"> Comments of GVNW Consulting, Inc.</w:t>
      </w:r>
      <w:r w:rsidR="00983202">
        <w:rPr>
          <w:rFonts w:ascii="Times New Roman" w:hAnsi="Times New Roman" w:cs="Times New Roman"/>
        </w:rPr>
        <w:t xml:space="preserve">, PS Docket No. 14-174, </w:t>
      </w:r>
      <w:r w:rsidR="00983202" w:rsidRPr="00DF04CB">
        <w:rPr>
          <w:rFonts w:ascii="Times New Roman" w:hAnsi="Times New Roman" w:cs="Times New Roman"/>
          <w:spacing w:val="-2"/>
        </w:rPr>
        <w:t>GN Docket No. 13-5, RM-11358, WC Docket No. 05-25, RM-10593</w:t>
      </w:r>
      <w:r w:rsidR="00983202">
        <w:rPr>
          <w:rFonts w:ascii="Times New Roman" w:hAnsi="Times New Roman" w:cs="Times New Roman"/>
          <w:spacing w:val="-2"/>
        </w:rPr>
        <w:t>,</w:t>
      </w:r>
      <w:r w:rsidRPr="00983202">
        <w:rPr>
          <w:rFonts w:ascii="Times New Roman" w:hAnsi="Times New Roman" w:cs="Times New Roman"/>
        </w:rPr>
        <w:t xml:space="preserve"> at 17</w:t>
      </w:r>
      <w:r w:rsidR="00983202">
        <w:rPr>
          <w:rFonts w:ascii="Times New Roman" w:hAnsi="Times New Roman" w:cs="Times New Roman"/>
        </w:rPr>
        <w:t xml:space="preserve"> (filed Feb. 5, 2015)</w:t>
      </w:r>
      <w:r w:rsidRPr="00983202">
        <w:rPr>
          <w:rFonts w:ascii="Times New Roman" w:hAnsi="Times New Roman" w:cs="Times New Roman"/>
        </w:rPr>
        <w:t>.</w:t>
      </w:r>
    </w:p>
  </w:footnote>
  <w:footnote w:id="2">
    <w:p w:rsidR="00983202" w:rsidRPr="00983202" w:rsidRDefault="00983202">
      <w:pPr>
        <w:pStyle w:val="FootnoteText"/>
        <w:rPr>
          <w:rFonts w:ascii="Times New Roman" w:hAnsi="Times New Roman" w:cs="Times New Roman"/>
        </w:rPr>
      </w:pPr>
      <w:r w:rsidRPr="00983202">
        <w:rPr>
          <w:rStyle w:val="FootnoteReference"/>
          <w:rFonts w:ascii="Times New Roman" w:hAnsi="Times New Roman" w:cs="Times New Roman"/>
        </w:rPr>
        <w:footnoteRef/>
      </w:r>
      <w:r w:rsidRPr="00983202">
        <w:rPr>
          <w:rFonts w:ascii="Times New Roman" w:hAnsi="Times New Roman" w:cs="Times New Roman"/>
        </w:rPr>
        <w:t xml:space="preserve"> </w:t>
      </w:r>
      <w:r w:rsidR="00D9086A" w:rsidRPr="00983202">
        <w:rPr>
          <w:rFonts w:ascii="Times New Roman" w:hAnsi="Times New Roman" w:cs="Times New Roman"/>
          <w:i/>
          <w:spacing w:val="-2"/>
        </w:rPr>
        <w:t>See, e.g</w:t>
      </w:r>
      <w:r w:rsidR="00D9086A" w:rsidRPr="00983202">
        <w:rPr>
          <w:rFonts w:ascii="Times New Roman" w:hAnsi="Times New Roman" w:cs="Times New Roman"/>
          <w:spacing w:val="-2"/>
        </w:rPr>
        <w:t xml:space="preserve">., </w:t>
      </w:r>
      <w:r w:rsidR="00FA7EDC" w:rsidRPr="00DF04CB">
        <w:rPr>
          <w:rFonts w:ascii="Times New Roman" w:hAnsi="Times New Roman" w:cs="Times New Roman"/>
        </w:rPr>
        <w:t xml:space="preserve">Letter from Frank Simone, AT&amp;T to Marlene Dortch, FCC, </w:t>
      </w:r>
      <w:r w:rsidR="00FA7EDC" w:rsidRPr="00DF04CB">
        <w:rPr>
          <w:rFonts w:ascii="Times New Roman" w:hAnsi="Times New Roman" w:cs="Times New Roman"/>
          <w:spacing w:val="-2"/>
        </w:rPr>
        <w:t xml:space="preserve">GN Docket No. 13-5, RM-11358, WC Docket No. 05-25, RM-10593, at </w:t>
      </w:r>
      <w:r w:rsidR="00FA7EDC">
        <w:rPr>
          <w:rFonts w:ascii="Times New Roman" w:hAnsi="Times New Roman" w:cs="Times New Roman"/>
          <w:spacing w:val="-2"/>
        </w:rPr>
        <w:t>1</w:t>
      </w:r>
      <w:r w:rsidR="00FA7EDC" w:rsidRPr="00DF04CB">
        <w:rPr>
          <w:rFonts w:ascii="Times New Roman" w:hAnsi="Times New Roman" w:cs="Times New Roman"/>
          <w:spacing w:val="-2"/>
        </w:rPr>
        <w:t xml:space="preserve"> (filed July 31, 2015)</w:t>
      </w:r>
      <w:r w:rsidRPr="00983202">
        <w:rPr>
          <w:rFonts w:ascii="Times New Roman" w:hAnsi="Times New Roman" w:cs="Times New Roman"/>
          <w:spacing w:val="-2"/>
        </w:rPr>
        <w:t xml:space="preserve">. </w:t>
      </w:r>
    </w:p>
  </w:footnote>
  <w:footnote w:id="3">
    <w:p w:rsidR="00983202" w:rsidRPr="00983202" w:rsidRDefault="00983202" w:rsidP="00983202">
      <w:pPr>
        <w:autoSpaceDE w:val="0"/>
        <w:autoSpaceDN w:val="0"/>
        <w:adjustRightInd w:val="0"/>
        <w:spacing w:after="0" w:line="240" w:lineRule="auto"/>
        <w:rPr>
          <w:rFonts w:ascii="Times New Roman" w:hAnsi="Times New Roman" w:cs="Times New Roman"/>
          <w:sz w:val="20"/>
          <w:szCs w:val="20"/>
        </w:rPr>
      </w:pPr>
      <w:r w:rsidRPr="00983202">
        <w:rPr>
          <w:rStyle w:val="FootnoteReference"/>
          <w:rFonts w:ascii="Times New Roman" w:hAnsi="Times New Roman" w:cs="Times New Roman"/>
          <w:sz w:val="20"/>
          <w:szCs w:val="20"/>
        </w:rPr>
        <w:footnoteRef/>
      </w:r>
      <w:r w:rsidRPr="00983202">
        <w:rPr>
          <w:rFonts w:ascii="Times New Roman" w:hAnsi="Times New Roman" w:cs="Times New Roman"/>
          <w:sz w:val="20"/>
          <w:szCs w:val="20"/>
        </w:rPr>
        <w:t xml:space="preserve"> </w:t>
      </w:r>
      <w:r w:rsidRPr="00983202">
        <w:rPr>
          <w:rFonts w:ascii="Times New Roman" w:hAnsi="Times New Roman" w:cs="Times New Roman"/>
          <w:i/>
          <w:spacing w:val="-2"/>
          <w:sz w:val="20"/>
          <w:szCs w:val="20"/>
        </w:rPr>
        <w:t>See, e.g</w:t>
      </w:r>
      <w:r w:rsidRPr="00983202">
        <w:rPr>
          <w:rFonts w:ascii="Times New Roman" w:hAnsi="Times New Roman" w:cs="Times New Roman"/>
          <w:spacing w:val="-2"/>
          <w:sz w:val="20"/>
          <w:szCs w:val="20"/>
        </w:rPr>
        <w:t>., Letter from Maggie McCready, Verizon, to Marlene Dortch, FCC, GN Docket No. 13-5, RM-11358, at 1 (filed July 28, 2015) (“</w:t>
      </w:r>
      <w:r w:rsidRPr="00983202">
        <w:rPr>
          <w:rFonts w:ascii="Times New Roman" w:hAnsi="Times New Roman" w:cs="Times New Roman"/>
          <w:sz w:val="20"/>
          <w:szCs w:val="20"/>
        </w:rPr>
        <w:t>Since 2008 Verizon has spent more than $200 million on its copper network. And our network-trouble-report rate of just over two reported troubles per 100 lines—well below the benchmarks generally set by states that in engage in service-quality regulation—reflects a healthy network.”)</w:t>
      </w:r>
      <w:r w:rsidR="00F5271B">
        <w:rPr>
          <w:rFonts w:ascii="Times New Roman" w:hAnsi="Times New Roman" w:cs="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F7" w:rsidRDefault="00CD31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F7" w:rsidRDefault="00CD31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F7" w:rsidRDefault="00CD31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E2"/>
    <w:rsid w:val="00043BAD"/>
    <w:rsid w:val="00050303"/>
    <w:rsid w:val="000549E8"/>
    <w:rsid w:val="000A736B"/>
    <w:rsid w:val="000B2068"/>
    <w:rsid w:val="000D2183"/>
    <w:rsid w:val="000F6D60"/>
    <w:rsid w:val="001174DD"/>
    <w:rsid w:val="00120069"/>
    <w:rsid w:val="00146F7E"/>
    <w:rsid w:val="00167DF3"/>
    <w:rsid w:val="0018642B"/>
    <w:rsid w:val="00186B90"/>
    <w:rsid w:val="00213C14"/>
    <w:rsid w:val="00275DBA"/>
    <w:rsid w:val="002B239B"/>
    <w:rsid w:val="002C7769"/>
    <w:rsid w:val="00325A38"/>
    <w:rsid w:val="003432DF"/>
    <w:rsid w:val="003C0A9D"/>
    <w:rsid w:val="003D31AA"/>
    <w:rsid w:val="00414424"/>
    <w:rsid w:val="0044062E"/>
    <w:rsid w:val="00451A93"/>
    <w:rsid w:val="00473F4D"/>
    <w:rsid w:val="004C1494"/>
    <w:rsid w:val="004C3932"/>
    <w:rsid w:val="004E3B59"/>
    <w:rsid w:val="004E6DEB"/>
    <w:rsid w:val="00566037"/>
    <w:rsid w:val="0058118B"/>
    <w:rsid w:val="0059195B"/>
    <w:rsid w:val="005C200F"/>
    <w:rsid w:val="0060635D"/>
    <w:rsid w:val="007064CD"/>
    <w:rsid w:val="007C579B"/>
    <w:rsid w:val="007C7394"/>
    <w:rsid w:val="00830DCF"/>
    <w:rsid w:val="00851F7C"/>
    <w:rsid w:val="00853443"/>
    <w:rsid w:val="008B6D40"/>
    <w:rsid w:val="008C1B9A"/>
    <w:rsid w:val="00913893"/>
    <w:rsid w:val="00983202"/>
    <w:rsid w:val="0099521E"/>
    <w:rsid w:val="009F5CC8"/>
    <w:rsid w:val="00A42728"/>
    <w:rsid w:val="00A4790D"/>
    <w:rsid w:val="00A7395E"/>
    <w:rsid w:val="00A80144"/>
    <w:rsid w:val="00B114B3"/>
    <w:rsid w:val="00B13790"/>
    <w:rsid w:val="00B25694"/>
    <w:rsid w:val="00B31EE2"/>
    <w:rsid w:val="00B61499"/>
    <w:rsid w:val="00BC3A75"/>
    <w:rsid w:val="00BC769D"/>
    <w:rsid w:val="00C17D4F"/>
    <w:rsid w:val="00C33D1A"/>
    <w:rsid w:val="00C47A7B"/>
    <w:rsid w:val="00CB6D33"/>
    <w:rsid w:val="00CD31F7"/>
    <w:rsid w:val="00D9086A"/>
    <w:rsid w:val="00DF04CB"/>
    <w:rsid w:val="00E25596"/>
    <w:rsid w:val="00E30F2A"/>
    <w:rsid w:val="00E40D5A"/>
    <w:rsid w:val="00E5740F"/>
    <w:rsid w:val="00ED36B3"/>
    <w:rsid w:val="00EE23D3"/>
    <w:rsid w:val="00F02014"/>
    <w:rsid w:val="00F5271B"/>
    <w:rsid w:val="00F75FA9"/>
    <w:rsid w:val="00F76A33"/>
    <w:rsid w:val="00FA3D9D"/>
    <w:rsid w:val="00FA7EDC"/>
    <w:rsid w:val="00FC2DF5"/>
    <w:rsid w:val="00FC7209"/>
    <w:rsid w:val="00FD21A3"/>
    <w:rsid w:val="00FE4371"/>
    <w:rsid w:val="00FF2E33"/>
    <w:rsid w:val="00FF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7209"/>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42728"/>
    <w:rPr>
      <w:sz w:val="16"/>
      <w:szCs w:val="16"/>
    </w:rPr>
  </w:style>
  <w:style w:type="paragraph" w:styleId="CommentText">
    <w:name w:val="annotation text"/>
    <w:basedOn w:val="Normal"/>
    <w:link w:val="CommentTextChar"/>
    <w:uiPriority w:val="99"/>
    <w:semiHidden/>
    <w:unhideWhenUsed/>
    <w:rsid w:val="00A42728"/>
    <w:pPr>
      <w:spacing w:line="240" w:lineRule="auto"/>
    </w:pPr>
    <w:rPr>
      <w:sz w:val="20"/>
      <w:szCs w:val="20"/>
    </w:rPr>
  </w:style>
  <w:style w:type="character" w:customStyle="1" w:styleId="CommentTextChar">
    <w:name w:val="Comment Text Char"/>
    <w:basedOn w:val="DefaultParagraphFont"/>
    <w:link w:val="CommentText"/>
    <w:uiPriority w:val="99"/>
    <w:semiHidden/>
    <w:rsid w:val="00A42728"/>
    <w:rPr>
      <w:sz w:val="20"/>
      <w:szCs w:val="20"/>
    </w:rPr>
  </w:style>
  <w:style w:type="paragraph" w:styleId="CommentSubject">
    <w:name w:val="annotation subject"/>
    <w:basedOn w:val="CommentText"/>
    <w:next w:val="CommentText"/>
    <w:link w:val="CommentSubjectChar"/>
    <w:uiPriority w:val="99"/>
    <w:semiHidden/>
    <w:unhideWhenUsed/>
    <w:rsid w:val="00A42728"/>
    <w:rPr>
      <w:b/>
      <w:bCs/>
    </w:rPr>
  </w:style>
  <w:style w:type="character" w:customStyle="1" w:styleId="CommentSubjectChar">
    <w:name w:val="Comment Subject Char"/>
    <w:basedOn w:val="CommentTextChar"/>
    <w:link w:val="CommentSubject"/>
    <w:uiPriority w:val="99"/>
    <w:semiHidden/>
    <w:rsid w:val="00A42728"/>
    <w:rPr>
      <w:b/>
      <w:bCs/>
      <w:sz w:val="20"/>
      <w:szCs w:val="20"/>
    </w:rPr>
  </w:style>
  <w:style w:type="paragraph" w:styleId="BalloonText">
    <w:name w:val="Balloon Text"/>
    <w:basedOn w:val="Normal"/>
    <w:link w:val="BalloonTextChar"/>
    <w:uiPriority w:val="99"/>
    <w:semiHidden/>
    <w:unhideWhenUsed/>
    <w:rsid w:val="00A42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728"/>
    <w:rPr>
      <w:rFonts w:ascii="Segoe UI" w:hAnsi="Segoe UI" w:cs="Segoe UI"/>
      <w:sz w:val="18"/>
      <w:szCs w:val="18"/>
    </w:rPr>
  </w:style>
  <w:style w:type="paragraph" w:styleId="FootnoteText">
    <w:name w:val="footnote text"/>
    <w:basedOn w:val="Normal"/>
    <w:link w:val="FootnoteTextChar"/>
    <w:uiPriority w:val="99"/>
    <w:semiHidden/>
    <w:unhideWhenUsed/>
    <w:rsid w:val="00DF04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04CB"/>
    <w:rPr>
      <w:sz w:val="20"/>
      <w:szCs w:val="20"/>
    </w:rPr>
  </w:style>
  <w:style w:type="character" w:styleId="FootnoteReference">
    <w:name w:val="footnote reference"/>
    <w:basedOn w:val="DefaultParagraphFont"/>
    <w:uiPriority w:val="99"/>
    <w:semiHidden/>
    <w:unhideWhenUsed/>
    <w:rsid w:val="00DF04CB"/>
    <w:rPr>
      <w:vertAlign w:val="superscript"/>
    </w:rPr>
  </w:style>
  <w:style w:type="paragraph" w:styleId="Header">
    <w:name w:val="header"/>
    <w:basedOn w:val="Normal"/>
    <w:link w:val="HeaderChar"/>
    <w:uiPriority w:val="99"/>
    <w:unhideWhenUsed/>
    <w:rsid w:val="00146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F7E"/>
  </w:style>
  <w:style w:type="paragraph" w:styleId="Footer">
    <w:name w:val="footer"/>
    <w:basedOn w:val="Normal"/>
    <w:link w:val="FooterChar"/>
    <w:uiPriority w:val="99"/>
    <w:unhideWhenUsed/>
    <w:rsid w:val="00146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7209"/>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42728"/>
    <w:rPr>
      <w:sz w:val="16"/>
      <w:szCs w:val="16"/>
    </w:rPr>
  </w:style>
  <w:style w:type="paragraph" w:styleId="CommentText">
    <w:name w:val="annotation text"/>
    <w:basedOn w:val="Normal"/>
    <w:link w:val="CommentTextChar"/>
    <w:uiPriority w:val="99"/>
    <w:semiHidden/>
    <w:unhideWhenUsed/>
    <w:rsid w:val="00A42728"/>
    <w:pPr>
      <w:spacing w:line="240" w:lineRule="auto"/>
    </w:pPr>
    <w:rPr>
      <w:sz w:val="20"/>
      <w:szCs w:val="20"/>
    </w:rPr>
  </w:style>
  <w:style w:type="character" w:customStyle="1" w:styleId="CommentTextChar">
    <w:name w:val="Comment Text Char"/>
    <w:basedOn w:val="DefaultParagraphFont"/>
    <w:link w:val="CommentText"/>
    <w:uiPriority w:val="99"/>
    <w:semiHidden/>
    <w:rsid w:val="00A42728"/>
    <w:rPr>
      <w:sz w:val="20"/>
      <w:szCs w:val="20"/>
    </w:rPr>
  </w:style>
  <w:style w:type="paragraph" w:styleId="CommentSubject">
    <w:name w:val="annotation subject"/>
    <w:basedOn w:val="CommentText"/>
    <w:next w:val="CommentText"/>
    <w:link w:val="CommentSubjectChar"/>
    <w:uiPriority w:val="99"/>
    <w:semiHidden/>
    <w:unhideWhenUsed/>
    <w:rsid w:val="00A42728"/>
    <w:rPr>
      <w:b/>
      <w:bCs/>
    </w:rPr>
  </w:style>
  <w:style w:type="character" w:customStyle="1" w:styleId="CommentSubjectChar">
    <w:name w:val="Comment Subject Char"/>
    <w:basedOn w:val="CommentTextChar"/>
    <w:link w:val="CommentSubject"/>
    <w:uiPriority w:val="99"/>
    <w:semiHidden/>
    <w:rsid w:val="00A42728"/>
    <w:rPr>
      <w:b/>
      <w:bCs/>
      <w:sz w:val="20"/>
      <w:szCs w:val="20"/>
    </w:rPr>
  </w:style>
  <w:style w:type="paragraph" w:styleId="BalloonText">
    <w:name w:val="Balloon Text"/>
    <w:basedOn w:val="Normal"/>
    <w:link w:val="BalloonTextChar"/>
    <w:uiPriority w:val="99"/>
    <w:semiHidden/>
    <w:unhideWhenUsed/>
    <w:rsid w:val="00A42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728"/>
    <w:rPr>
      <w:rFonts w:ascii="Segoe UI" w:hAnsi="Segoe UI" w:cs="Segoe UI"/>
      <w:sz w:val="18"/>
      <w:szCs w:val="18"/>
    </w:rPr>
  </w:style>
  <w:style w:type="paragraph" w:styleId="FootnoteText">
    <w:name w:val="footnote text"/>
    <w:basedOn w:val="Normal"/>
    <w:link w:val="FootnoteTextChar"/>
    <w:uiPriority w:val="99"/>
    <w:semiHidden/>
    <w:unhideWhenUsed/>
    <w:rsid w:val="00DF04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04CB"/>
    <w:rPr>
      <w:sz w:val="20"/>
      <w:szCs w:val="20"/>
    </w:rPr>
  </w:style>
  <w:style w:type="character" w:styleId="FootnoteReference">
    <w:name w:val="footnote reference"/>
    <w:basedOn w:val="DefaultParagraphFont"/>
    <w:uiPriority w:val="99"/>
    <w:semiHidden/>
    <w:unhideWhenUsed/>
    <w:rsid w:val="00DF04CB"/>
    <w:rPr>
      <w:vertAlign w:val="superscript"/>
    </w:rPr>
  </w:style>
  <w:style w:type="paragraph" w:styleId="Header">
    <w:name w:val="header"/>
    <w:basedOn w:val="Normal"/>
    <w:link w:val="HeaderChar"/>
    <w:uiPriority w:val="99"/>
    <w:unhideWhenUsed/>
    <w:rsid w:val="00146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F7E"/>
  </w:style>
  <w:style w:type="paragraph" w:styleId="Footer">
    <w:name w:val="footer"/>
    <w:basedOn w:val="Normal"/>
    <w:link w:val="FooterChar"/>
    <w:uiPriority w:val="99"/>
    <w:unhideWhenUsed/>
    <w:rsid w:val="00146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1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1476</Words>
  <Characters>7876</Characters>
  <Application>Microsoft Office Word</Application>
  <DocSecurity>0</DocSecurity>
  <Lines>111</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2015-08-06T20:43:00Z</dcterms:created>
  <dcterms:modified xsi:type="dcterms:W3CDTF">2015-08-06T20:43:00Z</dcterms:modified>
  <cp:category> </cp:category>
  <cp:contentStatus> </cp:contentStatus>
</cp:coreProperties>
</file>