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517B6E0" w14:textId="77777777" w:rsidTr="00DF4990">
        <w:trPr>
          <w:trHeight w:val="2181"/>
        </w:trPr>
        <w:tc>
          <w:tcPr>
            <w:tcW w:w="8640" w:type="dxa"/>
          </w:tcPr>
          <w:p w14:paraId="7460FB77" w14:textId="77777777" w:rsidR="00FF232D" w:rsidRDefault="00F44C45" w:rsidP="006A7D75">
            <w:pPr>
              <w:jc w:val="center"/>
              <w:rPr>
                <w:b/>
              </w:rPr>
            </w:pPr>
            <w:bookmarkStart w:id="0" w:name="_GoBack"/>
            <w:bookmarkEnd w:id="0"/>
            <w:r>
              <w:rPr>
                <w:b/>
                <w:i/>
                <w:noProof/>
                <w:sz w:val="28"/>
                <w:szCs w:val="28"/>
              </w:rPr>
              <w:drawing>
                <wp:inline distT="0" distB="0" distL="0" distR="0" wp14:anchorId="6B766190" wp14:editId="3789B0D9">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79BFE4A" w14:textId="77777777" w:rsidR="00426518" w:rsidRDefault="00426518" w:rsidP="00B57131">
            <w:pPr>
              <w:rPr>
                <w:b/>
                <w:bCs/>
              </w:rPr>
            </w:pPr>
          </w:p>
          <w:p w14:paraId="467732AD" w14:textId="77777777" w:rsidR="007A44F8" w:rsidRPr="008A3940" w:rsidRDefault="007A44F8" w:rsidP="00BB4E29">
            <w:pPr>
              <w:rPr>
                <w:b/>
                <w:bCs/>
                <w:sz w:val="22"/>
                <w:szCs w:val="22"/>
              </w:rPr>
            </w:pPr>
            <w:r w:rsidRPr="008A3940">
              <w:rPr>
                <w:b/>
                <w:bCs/>
                <w:sz w:val="22"/>
                <w:szCs w:val="22"/>
              </w:rPr>
              <w:t xml:space="preserve">Media Contact: </w:t>
            </w:r>
          </w:p>
          <w:p w14:paraId="65DFEFDC" w14:textId="77777777" w:rsidR="00F32AC2" w:rsidRPr="008A3940" w:rsidRDefault="00F32AC2" w:rsidP="00F32AC2">
            <w:pPr>
              <w:rPr>
                <w:bCs/>
                <w:sz w:val="22"/>
                <w:szCs w:val="22"/>
              </w:rPr>
            </w:pPr>
            <w:r>
              <w:rPr>
                <w:bCs/>
                <w:sz w:val="22"/>
                <w:szCs w:val="22"/>
              </w:rPr>
              <w:t>Charlie Meisch</w:t>
            </w:r>
            <w:r w:rsidRPr="008A3940">
              <w:rPr>
                <w:bCs/>
                <w:sz w:val="22"/>
                <w:szCs w:val="22"/>
              </w:rPr>
              <w:t xml:space="preserve">, </w:t>
            </w:r>
            <w:r w:rsidRPr="002A041B">
              <w:rPr>
                <w:bCs/>
                <w:sz w:val="22"/>
                <w:szCs w:val="22"/>
              </w:rPr>
              <w:t>(202) 418-2943</w:t>
            </w:r>
          </w:p>
          <w:p w14:paraId="5B01C308" w14:textId="77777777" w:rsidR="00F32AC2" w:rsidRDefault="00F32AC2" w:rsidP="00F32AC2">
            <w:pPr>
              <w:rPr>
                <w:bCs/>
                <w:sz w:val="22"/>
                <w:szCs w:val="22"/>
              </w:rPr>
            </w:pPr>
            <w:r w:rsidRPr="002A041B">
              <w:rPr>
                <w:bCs/>
                <w:sz w:val="22"/>
                <w:szCs w:val="22"/>
              </w:rPr>
              <w:t>Charles.Meisch@fcc.gov</w:t>
            </w:r>
          </w:p>
          <w:p w14:paraId="6DA3EA43" w14:textId="77777777" w:rsidR="007A44F8" w:rsidRPr="008A3940" w:rsidRDefault="007A44F8" w:rsidP="00BB4E29">
            <w:pPr>
              <w:rPr>
                <w:bCs/>
                <w:sz w:val="22"/>
                <w:szCs w:val="22"/>
              </w:rPr>
            </w:pPr>
          </w:p>
          <w:p w14:paraId="445EFCCF" w14:textId="77777777" w:rsidR="007A44F8" w:rsidRPr="008A3940" w:rsidRDefault="007A44F8" w:rsidP="00BB4E29">
            <w:pPr>
              <w:rPr>
                <w:b/>
                <w:sz w:val="22"/>
                <w:szCs w:val="22"/>
              </w:rPr>
            </w:pPr>
            <w:r w:rsidRPr="008A3940">
              <w:rPr>
                <w:b/>
                <w:sz w:val="22"/>
                <w:szCs w:val="22"/>
              </w:rPr>
              <w:t>For Immediate Release</w:t>
            </w:r>
          </w:p>
          <w:p w14:paraId="0B155D68" w14:textId="77777777" w:rsidR="007A44F8" w:rsidRDefault="007A44F8" w:rsidP="00BB4E29">
            <w:pPr>
              <w:jc w:val="center"/>
              <w:rPr>
                <w:b/>
                <w:bCs/>
                <w:sz w:val="32"/>
                <w:szCs w:val="32"/>
              </w:rPr>
            </w:pPr>
          </w:p>
          <w:p w14:paraId="4DAD07D7" w14:textId="77777777" w:rsidR="007875DF" w:rsidRDefault="000E049E" w:rsidP="007875DF">
            <w:pPr>
              <w:tabs>
                <w:tab w:val="left" w:pos="8625"/>
              </w:tabs>
              <w:jc w:val="center"/>
              <w:rPr>
                <w:b/>
                <w:bCs/>
                <w:sz w:val="26"/>
                <w:szCs w:val="26"/>
              </w:rPr>
            </w:pPr>
            <w:r w:rsidRPr="000E049E">
              <w:rPr>
                <w:b/>
                <w:bCs/>
                <w:sz w:val="26"/>
                <w:szCs w:val="26"/>
              </w:rPr>
              <w:t xml:space="preserve">FCC </w:t>
            </w:r>
            <w:r w:rsidR="00F32AC2">
              <w:rPr>
                <w:b/>
                <w:bCs/>
                <w:sz w:val="26"/>
                <w:szCs w:val="26"/>
              </w:rPr>
              <w:t xml:space="preserve">ESTABLISHES </w:t>
            </w:r>
            <w:r w:rsidR="00601A60">
              <w:rPr>
                <w:b/>
                <w:bCs/>
                <w:sz w:val="26"/>
                <w:szCs w:val="26"/>
              </w:rPr>
              <w:t xml:space="preserve">BIDDING PROCEDURES </w:t>
            </w:r>
            <w:r w:rsidR="004E00A2">
              <w:rPr>
                <w:b/>
                <w:bCs/>
                <w:sz w:val="26"/>
                <w:szCs w:val="26"/>
              </w:rPr>
              <w:t>FOR</w:t>
            </w:r>
            <w:r w:rsidR="00601A60">
              <w:rPr>
                <w:b/>
                <w:bCs/>
                <w:sz w:val="26"/>
                <w:szCs w:val="26"/>
              </w:rPr>
              <w:t xml:space="preserve"> </w:t>
            </w:r>
          </w:p>
          <w:p w14:paraId="0212B1A1" w14:textId="77777777" w:rsidR="000E049E" w:rsidRDefault="007875DF" w:rsidP="007875DF">
            <w:pPr>
              <w:tabs>
                <w:tab w:val="left" w:pos="8625"/>
              </w:tabs>
              <w:jc w:val="center"/>
              <w:rPr>
                <w:b/>
                <w:bCs/>
                <w:sz w:val="26"/>
                <w:szCs w:val="26"/>
              </w:rPr>
            </w:pPr>
            <w:r>
              <w:rPr>
                <w:b/>
                <w:bCs/>
                <w:sz w:val="26"/>
                <w:szCs w:val="26"/>
              </w:rPr>
              <w:t xml:space="preserve">2016 </w:t>
            </w:r>
            <w:r w:rsidR="00F32AC2">
              <w:rPr>
                <w:b/>
                <w:bCs/>
                <w:sz w:val="26"/>
                <w:szCs w:val="26"/>
              </w:rPr>
              <w:t>INCENTIVE AUCTION</w:t>
            </w:r>
          </w:p>
          <w:p w14:paraId="22351DE5" w14:textId="77777777" w:rsidR="00CC5E08" w:rsidRPr="008A3940" w:rsidRDefault="0059571E" w:rsidP="004E00A2">
            <w:pPr>
              <w:tabs>
                <w:tab w:val="left" w:pos="8625"/>
              </w:tabs>
              <w:jc w:val="center"/>
              <w:rPr>
                <w:i/>
              </w:rPr>
            </w:pPr>
            <w:r>
              <w:rPr>
                <w:b/>
                <w:bCs/>
                <w:i/>
              </w:rPr>
              <w:t xml:space="preserve">Auction </w:t>
            </w:r>
            <w:r w:rsidR="003A76EE">
              <w:rPr>
                <w:b/>
                <w:bCs/>
                <w:i/>
              </w:rPr>
              <w:t xml:space="preserve">Scheduled to </w:t>
            </w:r>
            <w:r w:rsidR="0047605D">
              <w:rPr>
                <w:b/>
                <w:bCs/>
                <w:i/>
              </w:rPr>
              <w:t>Begin</w:t>
            </w:r>
            <w:r w:rsidR="003A76EE">
              <w:rPr>
                <w:b/>
                <w:bCs/>
                <w:i/>
              </w:rPr>
              <w:t xml:space="preserve"> </w:t>
            </w:r>
            <w:r>
              <w:rPr>
                <w:b/>
                <w:bCs/>
                <w:i/>
              </w:rPr>
              <w:t>March 29, 2016</w:t>
            </w:r>
          </w:p>
          <w:p w14:paraId="6AC89AB4"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CE3EB4B" w14:textId="760E3821" w:rsidR="007E7911" w:rsidRPr="00601A60" w:rsidRDefault="00FF1C0B" w:rsidP="007E7911">
            <w:pPr>
              <w:tabs>
                <w:tab w:val="left" w:pos="8640"/>
              </w:tabs>
              <w:rPr>
                <w:sz w:val="22"/>
                <w:szCs w:val="22"/>
              </w:rPr>
            </w:pPr>
            <w:r w:rsidRPr="00601A60">
              <w:rPr>
                <w:sz w:val="22"/>
                <w:szCs w:val="22"/>
              </w:rPr>
              <w:t xml:space="preserve">WASHINGTON, </w:t>
            </w:r>
            <w:r w:rsidR="009C6984">
              <w:rPr>
                <w:sz w:val="22"/>
                <w:szCs w:val="22"/>
              </w:rPr>
              <w:t>August 6</w:t>
            </w:r>
            <w:r w:rsidR="00CC5E08" w:rsidRPr="00601A60">
              <w:rPr>
                <w:sz w:val="22"/>
                <w:szCs w:val="22"/>
              </w:rPr>
              <w:t>, 2015</w:t>
            </w:r>
            <w:r w:rsidR="002B1013" w:rsidRPr="00601A60">
              <w:rPr>
                <w:sz w:val="22"/>
                <w:szCs w:val="22"/>
              </w:rPr>
              <w:t xml:space="preserve"> – </w:t>
            </w:r>
            <w:r w:rsidR="000E049E" w:rsidRPr="00601A60">
              <w:rPr>
                <w:sz w:val="22"/>
                <w:szCs w:val="22"/>
              </w:rPr>
              <w:t>The Federal Communications Commission today</w:t>
            </w:r>
            <w:r w:rsidR="00040127" w:rsidRPr="00601A60">
              <w:rPr>
                <w:sz w:val="22"/>
                <w:szCs w:val="22"/>
              </w:rPr>
              <w:t xml:space="preserve"> </w:t>
            </w:r>
            <w:r w:rsidR="00343EF9">
              <w:rPr>
                <w:sz w:val="22"/>
                <w:szCs w:val="22"/>
              </w:rPr>
              <w:t xml:space="preserve">adopted the </w:t>
            </w:r>
            <w:r w:rsidR="00343EF9">
              <w:rPr>
                <w:i/>
                <w:sz w:val="22"/>
                <w:szCs w:val="22"/>
              </w:rPr>
              <w:t>Procedures Public Notice</w:t>
            </w:r>
            <w:r w:rsidR="00F32AC2" w:rsidRPr="00601A60">
              <w:rPr>
                <w:sz w:val="22"/>
                <w:szCs w:val="22"/>
              </w:rPr>
              <w:t xml:space="preserve"> </w:t>
            </w:r>
            <w:r w:rsidR="006D0588" w:rsidRPr="00601A60">
              <w:rPr>
                <w:sz w:val="22"/>
                <w:szCs w:val="22"/>
              </w:rPr>
              <w:t>establishing</w:t>
            </w:r>
            <w:r w:rsidR="00F32AC2" w:rsidRPr="00601A60">
              <w:rPr>
                <w:sz w:val="22"/>
                <w:szCs w:val="22"/>
              </w:rPr>
              <w:t xml:space="preserve"> the </w:t>
            </w:r>
            <w:r w:rsidR="00601A60">
              <w:rPr>
                <w:sz w:val="22"/>
                <w:szCs w:val="22"/>
              </w:rPr>
              <w:t xml:space="preserve">bidding procedures </w:t>
            </w:r>
            <w:r w:rsidR="004E00A2">
              <w:rPr>
                <w:sz w:val="22"/>
                <w:szCs w:val="22"/>
              </w:rPr>
              <w:t>for</w:t>
            </w:r>
            <w:r w:rsidR="00F32AC2" w:rsidRPr="00601A60">
              <w:rPr>
                <w:sz w:val="22"/>
                <w:szCs w:val="22"/>
              </w:rPr>
              <w:t xml:space="preserve"> next year’s incentive auction. </w:t>
            </w:r>
            <w:r w:rsidR="007E7911" w:rsidRPr="00601A60">
              <w:rPr>
                <w:sz w:val="22"/>
                <w:szCs w:val="22"/>
              </w:rPr>
              <w:t xml:space="preserve">The incentive auction, scheduled to </w:t>
            </w:r>
            <w:r w:rsidR="007E7911">
              <w:rPr>
                <w:sz w:val="22"/>
                <w:szCs w:val="22"/>
              </w:rPr>
              <w:t>begin</w:t>
            </w:r>
            <w:r w:rsidR="007E7911" w:rsidRPr="00601A60">
              <w:rPr>
                <w:sz w:val="22"/>
                <w:szCs w:val="22"/>
              </w:rPr>
              <w:t xml:space="preserve"> </w:t>
            </w:r>
            <w:r w:rsidR="007E7911">
              <w:rPr>
                <w:sz w:val="22"/>
                <w:szCs w:val="22"/>
              </w:rPr>
              <w:t>on March 29,</w:t>
            </w:r>
            <w:r w:rsidR="007E7911" w:rsidRPr="00601A60">
              <w:rPr>
                <w:sz w:val="22"/>
                <w:szCs w:val="22"/>
              </w:rPr>
              <w:t xml:space="preserve"> 2016, is designed to</w:t>
            </w:r>
            <w:r w:rsidR="007E7911">
              <w:rPr>
                <w:sz w:val="22"/>
                <w:szCs w:val="22"/>
              </w:rPr>
              <w:t xml:space="preserve"> allow market forces to make available</w:t>
            </w:r>
            <w:r w:rsidR="007E7911" w:rsidRPr="00601A60">
              <w:rPr>
                <w:sz w:val="22"/>
                <w:szCs w:val="22"/>
              </w:rPr>
              <w:t xml:space="preserve"> high-quality low-band spectrum for mobile broadband.   </w:t>
            </w:r>
          </w:p>
          <w:p w14:paraId="3EC6787C" w14:textId="77777777" w:rsidR="007E7911" w:rsidRDefault="007E7911" w:rsidP="00040127">
            <w:pPr>
              <w:tabs>
                <w:tab w:val="left" w:pos="8640"/>
              </w:tabs>
              <w:rPr>
                <w:sz w:val="22"/>
                <w:szCs w:val="22"/>
              </w:rPr>
            </w:pPr>
          </w:p>
          <w:p w14:paraId="5F08F786" w14:textId="39CA0DC9" w:rsidR="00BD19E8" w:rsidRDefault="00343EF9" w:rsidP="00040127">
            <w:pPr>
              <w:tabs>
                <w:tab w:val="left" w:pos="8640"/>
              </w:tabs>
              <w:rPr>
                <w:sz w:val="22"/>
                <w:szCs w:val="22"/>
              </w:rPr>
            </w:pPr>
            <w:r>
              <w:rPr>
                <w:sz w:val="22"/>
                <w:szCs w:val="22"/>
              </w:rPr>
              <w:t>Following a period</w:t>
            </w:r>
            <w:r w:rsidR="00F32AC2" w:rsidRPr="00601A60">
              <w:rPr>
                <w:sz w:val="22"/>
                <w:szCs w:val="22"/>
              </w:rPr>
              <w:t xml:space="preserve"> of</w:t>
            </w:r>
            <w:r>
              <w:rPr>
                <w:sz w:val="22"/>
                <w:szCs w:val="22"/>
              </w:rPr>
              <w:t xml:space="preserve"> extensive</w:t>
            </w:r>
            <w:r w:rsidR="00F32AC2" w:rsidRPr="00601A60">
              <w:rPr>
                <w:sz w:val="22"/>
                <w:szCs w:val="22"/>
              </w:rPr>
              <w:t xml:space="preserve"> public comment, stakeholder engagement, and Commission deliberations, </w:t>
            </w:r>
            <w:r w:rsidR="007875DF">
              <w:rPr>
                <w:sz w:val="22"/>
                <w:szCs w:val="22"/>
              </w:rPr>
              <w:t xml:space="preserve">today’s action </w:t>
            </w:r>
            <w:r w:rsidR="00F32AC2" w:rsidRPr="00601A60">
              <w:rPr>
                <w:sz w:val="22"/>
                <w:szCs w:val="22"/>
              </w:rPr>
              <w:t>simplifies and adds further transparency to the auction.</w:t>
            </w:r>
          </w:p>
          <w:p w14:paraId="1F8BCC61" w14:textId="77777777" w:rsidR="0036700E" w:rsidRPr="00601A60" w:rsidRDefault="0036700E" w:rsidP="00040127">
            <w:pPr>
              <w:tabs>
                <w:tab w:val="left" w:pos="8640"/>
              </w:tabs>
              <w:rPr>
                <w:sz w:val="22"/>
                <w:szCs w:val="22"/>
              </w:rPr>
            </w:pPr>
          </w:p>
          <w:p w14:paraId="512C757C" w14:textId="2722324C" w:rsidR="0036700E" w:rsidRPr="00601A60" w:rsidRDefault="007E7911" w:rsidP="00040127">
            <w:pPr>
              <w:tabs>
                <w:tab w:val="left" w:pos="8640"/>
              </w:tabs>
              <w:rPr>
                <w:sz w:val="22"/>
                <w:szCs w:val="22"/>
              </w:rPr>
            </w:pPr>
            <w:r>
              <w:rPr>
                <w:sz w:val="22"/>
                <w:szCs w:val="22"/>
              </w:rPr>
              <w:t>Specifically, t</w:t>
            </w:r>
            <w:r w:rsidR="004E00A2">
              <w:rPr>
                <w:sz w:val="22"/>
                <w:szCs w:val="22"/>
              </w:rPr>
              <w:t>he item adopted today</w:t>
            </w:r>
            <w:r w:rsidR="0036700E" w:rsidRPr="00601A60">
              <w:rPr>
                <w:sz w:val="22"/>
                <w:szCs w:val="22"/>
              </w:rPr>
              <w:t>:</w:t>
            </w:r>
          </w:p>
          <w:p w14:paraId="31A4047E" w14:textId="77777777" w:rsidR="006D0588" w:rsidRPr="00601A60" w:rsidRDefault="006D0588" w:rsidP="00040127">
            <w:pPr>
              <w:tabs>
                <w:tab w:val="left" w:pos="8640"/>
              </w:tabs>
              <w:rPr>
                <w:sz w:val="22"/>
                <w:szCs w:val="22"/>
              </w:rPr>
            </w:pPr>
          </w:p>
          <w:p w14:paraId="7C4D2592" w14:textId="51B2247A" w:rsidR="000933DA" w:rsidRPr="00601A60" w:rsidRDefault="00CC080B" w:rsidP="000933DA">
            <w:pPr>
              <w:pStyle w:val="ListParagraph"/>
              <w:numPr>
                <w:ilvl w:val="0"/>
                <w:numId w:val="2"/>
              </w:numPr>
              <w:tabs>
                <w:tab w:val="left" w:pos="8640"/>
              </w:tabs>
              <w:rPr>
                <w:sz w:val="22"/>
                <w:szCs w:val="22"/>
              </w:rPr>
            </w:pPr>
            <w:r>
              <w:rPr>
                <w:sz w:val="22"/>
                <w:szCs w:val="22"/>
              </w:rPr>
              <w:t xml:space="preserve">Establishes a procedure for selecting the initial clearing target (i.e., the amount of </w:t>
            </w:r>
            <w:r w:rsidR="008441FC">
              <w:rPr>
                <w:sz w:val="22"/>
                <w:szCs w:val="22"/>
              </w:rPr>
              <w:t xml:space="preserve">repurposed </w:t>
            </w:r>
            <w:r>
              <w:rPr>
                <w:sz w:val="22"/>
                <w:szCs w:val="22"/>
              </w:rPr>
              <w:t>spectrum</w:t>
            </w:r>
            <w:r w:rsidR="00E4314A">
              <w:rPr>
                <w:sz w:val="22"/>
                <w:szCs w:val="22"/>
              </w:rPr>
              <w:t xml:space="preserve"> </w:t>
            </w:r>
            <w:r w:rsidR="008441FC">
              <w:rPr>
                <w:sz w:val="22"/>
                <w:szCs w:val="22"/>
              </w:rPr>
              <w:t>offered</w:t>
            </w:r>
            <w:r>
              <w:rPr>
                <w:sz w:val="22"/>
                <w:szCs w:val="22"/>
              </w:rPr>
              <w:t xml:space="preserve"> in the auction) </w:t>
            </w:r>
            <w:r w:rsidRPr="00CC080B">
              <w:rPr>
                <w:sz w:val="22"/>
                <w:szCs w:val="22"/>
              </w:rPr>
              <w:t xml:space="preserve">that </w:t>
            </w:r>
            <w:r w:rsidRPr="00DD3C32">
              <w:rPr>
                <w:sz w:val="22"/>
                <w:szCs w:val="22"/>
              </w:rPr>
              <w:t>allows market forces to determine the highest and best use of spec</w:t>
            </w:r>
            <w:r w:rsidRPr="00CC080B">
              <w:rPr>
                <w:sz w:val="22"/>
                <w:szCs w:val="22"/>
              </w:rPr>
              <w:t>trum on a near-nationwide basis</w:t>
            </w:r>
            <w:r w:rsidRPr="00DD3C32">
              <w:rPr>
                <w:sz w:val="22"/>
                <w:szCs w:val="22"/>
              </w:rPr>
              <w:t xml:space="preserve"> while</w:t>
            </w:r>
            <w:r w:rsidRPr="00CC080B">
              <w:rPr>
                <w:sz w:val="22"/>
                <w:szCs w:val="22"/>
              </w:rPr>
              <w:t xml:space="preserve"> lowering</w:t>
            </w:r>
            <w:r>
              <w:rPr>
                <w:sz w:val="22"/>
                <w:szCs w:val="22"/>
              </w:rPr>
              <w:t xml:space="preserve"> </w:t>
            </w:r>
            <w:r w:rsidR="000933DA" w:rsidRPr="00601A60">
              <w:rPr>
                <w:sz w:val="22"/>
                <w:szCs w:val="22"/>
              </w:rPr>
              <w:t xml:space="preserve">the average </w:t>
            </w:r>
            <w:r w:rsidR="003E6331">
              <w:rPr>
                <w:sz w:val="22"/>
                <w:szCs w:val="22"/>
              </w:rPr>
              <w:t>“</w:t>
            </w:r>
            <w:r w:rsidR="000933DA" w:rsidRPr="00601A60">
              <w:rPr>
                <w:sz w:val="22"/>
                <w:szCs w:val="22"/>
              </w:rPr>
              <w:t>impairment threshold</w:t>
            </w:r>
            <w:r w:rsidR="003E6331">
              <w:rPr>
                <w:sz w:val="22"/>
                <w:szCs w:val="22"/>
              </w:rPr>
              <w:t>”</w:t>
            </w:r>
            <w:r w:rsidR="000933DA" w:rsidRPr="00601A60">
              <w:rPr>
                <w:sz w:val="22"/>
                <w:szCs w:val="22"/>
              </w:rPr>
              <w:t xml:space="preserve"> – the maximum percentage of the overall population </w:t>
            </w:r>
            <w:r w:rsidR="003E6331">
              <w:rPr>
                <w:sz w:val="22"/>
                <w:szCs w:val="22"/>
              </w:rPr>
              <w:t>that</w:t>
            </w:r>
            <w:r w:rsidR="000933DA" w:rsidRPr="00601A60">
              <w:rPr>
                <w:sz w:val="22"/>
                <w:szCs w:val="22"/>
              </w:rPr>
              <w:t xml:space="preserve"> new wireless license</w:t>
            </w:r>
            <w:r w:rsidR="008441FC">
              <w:rPr>
                <w:sz w:val="22"/>
                <w:szCs w:val="22"/>
              </w:rPr>
              <w:t>e</w:t>
            </w:r>
            <w:r w:rsidR="000933DA" w:rsidRPr="00601A60">
              <w:rPr>
                <w:sz w:val="22"/>
                <w:szCs w:val="22"/>
              </w:rPr>
              <w:t xml:space="preserve">s cannot </w:t>
            </w:r>
            <w:r w:rsidR="008441FC">
              <w:rPr>
                <w:sz w:val="22"/>
                <w:szCs w:val="22"/>
              </w:rPr>
              <w:t>serve</w:t>
            </w:r>
            <w:r w:rsidR="008441FC" w:rsidRPr="00601A60">
              <w:rPr>
                <w:sz w:val="22"/>
                <w:szCs w:val="22"/>
              </w:rPr>
              <w:t xml:space="preserve"> </w:t>
            </w:r>
            <w:r w:rsidR="000933DA" w:rsidRPr="00601A60">
              <w:rPr>
                <w:sz w:val="22"/>
                <w:szCs w:val="22"/>
              </w:rPr>
              <w:t xml:space="preserve">– by as much as half depending on </w:t>
            </w:r>
            <w:r>
              <w:rPr>
                <w:sz w:val="22"/>
                <w:szCs w:val="22"/>
              </w:rPr>
              <w:t>the clearing target</w:t>
            </w:r>
            <w:r w:rsidR="000933DA" w:rsidRPr="00601A60">
              <w:rPr>
                <w:sz w:val="22"/>
                <w:szCs w:val="22"/>
              </w:rPr>
              <w:t>.</w:t>
            </w:r>
          </w:p>
          <w:p w14:paraId="36A73D0A" w14:textId="77777777" w:rsidR="004E00A2" w:rsidRPr="00601A60" w:rsidRDefault="00E7722E" w:rsidP="004E00A2">
            <w:pPr>
              <w:pStyle w:val="ListParagraph"/>
              <w:numPr>
                <w:ilvl w:val="0"/>
                <w:numId w:val="2"/>
              </w:numPr>
              <w:tabs>
                <w:tab w:val="left" w:pos="8640"/>
              </w:tabs>
              <w:rPr>
                <w:sz w:val="22"/>
                <w:szCs w:val="22"/>
              </w:rPr>
            </w:pPr>
            <w:r>
              <w:rPr>
                <w:sz w:val="22"/>
                <w:szCs w:val="22"/>
              </w:rPr>
              <w:t>Establishes a formula for c</w:t>
            </w:r>
            <w:r w:rsidR="004E00A2" w:rsidRPr="00601A60">
              <w:rPr>
                <w:sz w:val="22"/>
                <w:szCs w:val="22"/>
              </w:rPr>
              <w:t>alculat</w:t>
            </w:r>
            <w:r>
              <w:rPr>
                <w:sz w:val="22"/>
                <w:szCs w:val="22"/>
              </w:rPr>
              <w:t xml:space="preserve">ing </w:t>
            </w:r>
            <w:r w:rsidR="004E00A2" w:rsidRPr="00601A60">
              <w:rPr>
                <w:sz w:val="22"/>
                <w:szCs w:val="22"/>
              </w:rPr>
              <w:t>opening price offers for each eligible television station based equally on its interference and population characteristics, noting that population is an important indicator of value in the forward auction.</w:t>
            </w:r>
          </w:p>
          <w:p w14:paraId="48DD6ACB" w14:textId="77777777" w:rsidR="00052D4F" w:rsidRPr="00601A60" w:rsidRDefault="00052D4F" w:rsidP="00052D4F">
            <w:pPr>
              <w:pStyle w:val="ListParagraph"/>
              <w:numPr>
                <w:ilvl w:val="0"/>
                <w:numId w:val="2"/>
              </w:numPr>
              <w:tabs>
                <w:tab w:val="left" w:pos="8640"/>
              </w:tabs>
              <w:rPr>
                <w:sz w:val="22"/>
                <w:szCs w:val="22"/>
              </w:rPr>
            </w:pPr>
            <w:r w:rsidRPr="00601A60">
              <w:rPr>
                <w:sz w:val="22"/>
                <w:szCs w:val="22"/>
              </w:rPr>
              <w:t>Eliminat</w:t>
            </w:r>
            <w:r>
              <w:rPr>
                <w:sz w:val="22"/>
                <w:szCs w:val="22"/>
              </w:rPr>
              <w:t xml:space="preserve">es </w:t>
            </w:r>
            <w:r w:rsidRPr="00601A60">
              <w:rPr>
                <w:sz w:val="22"/>
                <w:szCs w:val="22"/>
              </w:rPr>
              <w:t xml:space="preserve">the </w:t>
            </w:r>
            <w:r>
              <w:rPr>
                <w:sz w:val="22"/>
                <w:szCs w:val="22"/>
              </w:rPr>
              <w:t xml:space="preserve">“Dynamic Reserve Pricing” </w:t>
            </w:r>
            <w:r w:rsidRPr="00601A60">
              <w:rPr>
                <w:sz w:val="22"/>
                <w:szCs w:val="22"/>
              </w:rPr>
              <w:t xml:space="preserve">proposal </w:t>
            </w:r>
            <w:r>
              <w:rPr>
                <w:sz w:val="22"/>
                <w:szCs w:val="22"/>
              </w:rPr>
              <w:t>that would</w:t>
            </w:r>
            <w:r w:rsidRPr="00601A60">
              <w:rPr>
                <w:sz w:val="22"/>
                <w:szCs w:val="22"/>
              </w:rPr>
              <w:t xml:space="preserve"> </w:t>
            </w:r>
            <w:r>
              <w:rPr>
                <w:sz w:val="22"/>
                <w:szCs w:val="22"/>
              </w:rPr>
              <w:t xml:space="preserve">have </w:t>
            </w:r>
            <w:r w:rsidRPr="00601A60">
              <w:rPr>
                <w:sz w:val="22"/>
                <w:szCs w:val="22"/>
              </w:rPr>
              <w:t>reduce</w:t>
            </w:r>
            <w:r>
              <w:rPr>
                <w:sz w:val="22"/>
                <w:szCs w:val="22"/>
              </w:rPr>
              <w:t>d</w:t>
            </w:r>
            <w:r w:rsidRPr="00601A60">
              <w:rPr>
                <w:sz w:val="22"/>
                <w:szCs w:val="22"/>
              </w:rPr>
              <w:t xml:space="preserve"> opening bids for stations that cannot be repacked in the TV band.</w:t>
            </w:r>
          </w:p>
          <w:p w14:paraId="7156D67E" w14:textId="77777777" w:rsidR="00CC080B" w:rsidRDefault="00CC080B" w:rsidP="004E00A2">
            <w:pPr>
              <w:pStyle w:val="ListParagraph"/>
              <w:numPr>
                <w:ilvl w:val="0"/>
                <w:numId w:val="2"/>
              </w:numPr>
              <w:tabs>
                <w:tab w:val="left" w:pos="8640"/>
              </w:tabs>
              <w:rPr>
                <w:sz w:val="22"/>
                <w:szCs w:val="22"/>
              </w:rPr>
            </w:pPr>
            <w:r>
              <w:rPr>
                <w:sz w:val="22"/>
                <w:szCs w:val="22"/>
              </w:rPr>
              <w:t xml:space="preserve">Bases the calculation for </w:t>
            </w:r>
            <w:r w:rsidR="0088630B">
              <w:rPr>
                <w:sz w:val="22"/>
                <w:szCs w:val="22"/>
              </w:rPr>
              <w:t xml:space="preserve">forward auction </w:t>
            </w:r>
            <w:r w:rsidR="0088630B" w:rsidRPr="0088630B">
              <w:rPr>
                <w:sz w:val="22"/>
                <w:szCs w:val="22"/>
              </w:rPr>
              <w:t>minimum opening bids, upfront p</w:t>
            </w:r>
            <w:r w:rsidR="0088630B">
              <w:rPr>
                <w:sz w:val="22"/>
                <w:szCs w:val="22"/>
              </w:rPr>
              <w:t>ayments, and bidder eligibility (</w:t>
            </w:r>
            <w:r w:rsidR="0088630B" w:rsidRPr="0088630B">
              <w:rPr>
                <w:sz w:val="22"/>
                <w:szCs w:val="22"/>
              </w:rPr>
              <w:t xml:space="preserve">as well as </w:t>
            </w:r>
            <w:r w:rsidR="0088630B">
              <w:rPr>
                <w:sz w:val="22"/>
                <w:szCs w:val="22"/>
              </w:rPr>
              <w:t xml:space="preserve">for measuring </w:t>
            </w:r>
            <w:r w:rsidR="0088630B" w:rsidRPr="0088630B">
              <w:rPr>
                <w:sz w:val="22"/>
                <w:szCs w:val="22"/>
              </w:rPr>
              <w:t>bidding activity</w:t>
            </w:r>
            <w:r w:rsidR="0088630B">
              <w:rPr>
                <w:sz w:val="22"/>
                <w:szCs w:val="22"/>
              </w:rPr>
              <w:t xml:space="preserve">) on the assignment of a specific number of </w:t>
            </w:r>
            <w:r w:rsidR="007E6BB3">
              <w:rPr>
                <w:sz w:val="22"/>
                <w:szCs w:val="22"/>
              </w:rPr>
              <w:t>“</w:t>
            </w:r>
            <w:r w:rsidR="0088630B">
              <w:rPr>
                <w:sz w:val="22"/>
                <w:szCs w:val="22"/>
              </w:rPr>
              <w:t>bidding units</w:t>
            </w:r>
            <w:r w:rsidR="007E6BB3">
              <w:rPr>
                <w:sz w:val="22"/>
                <w:szCs w:val="22"/>
              </w:rPr>
              <w:t>”</w:t>
            </w:r>
            <w:r w:rsidR="0088630B">
              <w:rPr>
                <w:sz w:val="22"/>
                <w:szCs w:val="22"/>
              </w:rPr>
              <w:t xml:space="preserve"> to each spectrum block to be auctioned.</w:t>
            </w:r>
          </w:p>
          <w:p w14:paraId="2B6F9D6E" w14:textId="77777777" w:rsidR="007E6BB3" w:rsidRPr="00601A60" w:rsidRDefault="007E6BB3" w:rsidP="007E6BB3">
            <w:pPr>
              <w:pStyle w:val="ListParagraph"/>
              <w:numPr>
                <w:ilvl w:val="0"/>
                <w:numId w:val="2"/>
              </w:numPr>
              <w:tabs>
                <w:tab w:val="left" w:pos="8640"/>
              </w:tabs>
              <w:rPr>
                <w:sz w:val="22"/>
                <w:szCs w:val="22"/>
              </w:rPr>
            </w:pPr>
            <w:r>
              <w:rPr>
                <w:sz w:val="22"/>
                <w:szCs w:val="22"/>
              </w:rPr>
              <w:t xml:space="preserve">Ensures that </w:t>
            </w:r>
            <w:r w:rsidRPr="00601A60">
              <w:rPr>
                <w:sz w:val="22"/>
                <w:szCs w:val="22"/>
              </w:rPr>
              <w:t xml:space="preserve">broadcasters </w:t>
            </w:r>
            <w:r>
              <w:rPr>
                <w:sz w:val="22"/>
                <w:szCs w:val="22"/>
              </w:rPr>
              <w:t xml:space="preserve">receive </w:t>
            </w:r>
            <w:r w:rsidRPr="00601A60">
              <w:rPr>
                <w:sz w:val="22"/>
                <w:szCs w:val="22"/>
              </w:rPr>
              <w:t xml:space="preserve">information about channel vacancies </w:t>
            </w:r>
            <w:r>
              <w:rPr>
                <w:sz w:val="22"/>
                <w:szCs w:val="22"/>
              </w:rPr>
              <w:t xml:space="preserve">from round to round </w:t>
            </w:r>
            <w:r w:rsidRPr="00601A60">
              <w:rPr>
                <w:sz w:val="22"/>
                <w:szCs w:val="22"/>
              </w:rPr>
              <w:t>so that they can assess whether to drop out of the auction based on the likelihood that the current price will continue to decrease.</w:t>
            </w:r>
          </w:p>
          <w:p w14:paraId="73F74FF6" w14:textId="2119B307" w:rsidR="007E6BB3" w:rsidRDefault="007E6BB3" w:rsidP="00113CD0">
            <w:pPr>
              <w:pStyle w:val="ListParagraph"/>
              <w:numPr>
                <w:ilvl w:val="0"/>
                <w:numId w:val="2"/>
              </w:numPr>
              <w:tabs>
                <w:tab w:val="left" w:pos="8640"/>
              </w:tabs>
              <w:rPr>
                <w:sz w:val="22"/>
                <w:szCs w:val="22"/>
              </w:rPr>
            </w:pPr>
            <w:r>
              <w:rPr>
                <w:sz w:val="22"/>
                <w:szCs w:val="22"/>
              </w:rPr>
              <w:t xml:space="preserve">Ensures that </w:t>
            </w:r>
            <w:r w:rsidRPr="00601A60">
              <w:rPr>
                <w:sz w:val="22"/>
                <w:szCs w:val="22"/>
              </w:rPr>
              <w:t xml:space="preserve">wireless companies </w:t>
            </w:r>
            <w:r>
              <w:rPr>
                <w:sz w:val="22"/>
                <w:szCs w:val="22"/>
              </w:rPr>
              <w:t xml:space="preserve">receive </w:t>
            </w:r>
            <w:r w:rsidRPr="00601A60">
              <w:rPr>
                <w:sz w:val="22"/>
                <w:szCs w:val="22"/>
              </w:rPr>
              <w:t xml:space="preserve">detailed information on “impaired” licenses in a given area, including the source and location of any interference; and progress reports on the prices of each block, quantity demanded, and how close </w:t>
            </w:r>
            <w:r w:rsidR="00E4314A">
              <w:rPr>
                <w:sz w:val="22"/>
                <w:szCs w:val="22"/>
              </w:rPr>
              <w:t>forward</w:t>
            </w:r>
            <w:r w:rsidRPr="00601A60">
              <w:rPr>
                <w:sz w:val="22"/>
                <w:szCs w:val="22"/>
              </w:rPr>
              <w:t xml:space="preserve"> auction </w:t>
            </w:r>
            <w:r w:rsidR="00E4314A">
              <w:rPr>
                <w:sz w:val="22"/>
                <w:szCs w:val="22"/>
              </w:rPr>
              <w:t xml:space="preserve">bidding is </w:t>
            </w:r>
            <w:r w:rsidR="00113CD0" w:rsidRPr="00113CD0">
              <w:rPr>
                <w:sz w:val="22"/>
                <w:szCs w:val="22"/>
              </w:rPr>
              <w:t>to confirming that the auction can close at the selected clearing target</w:t>
            </w:r>
            <w:r>
              <w:rPr>
                <w:sz w:val="22"/>
                <w:szCs w:val="22"/>
              </w:rPr>
              <w:t>.</w:t>
            </w:r>
          </w:p>
          <w:p w14:paraId="71C389C0" w14:textId="7EE7E02B" w:rsidR="007E6BB3" w:rsidRDefault="007E6BB3" w:rsidP="0005267A">
            <w:pPr>
              <w:pStyle w:val="ListParagraph"/>
              <w:numPr>
                <w:ilvl w:val="0"/>
                <w:numId w:val="2"/>
              </w:numPr>
              <w:tabs>
                <w:tab w:val="left" w:pos="8640"/>
              </w:tabs>
              <w:rPr>
                <w:sz w:val="22"/>
                <w:szCs w:val="22"/>
              </w:rPr>
            </w:pPr>
            <w:r>
              <w:rPr>
                <w:sz w:val="22"/>
                <w:szCs w:val="22"/>
              </w:rPr>
              <w:t xml:space="preserve">Establishes two categories of </w:t>
            </w:r>
            <w:r w:rsidRPr="007E6BB3">
              <w:rPr>
                <w:sz w:val="22"/>
                <w:szCs w:val="22"/>
              </w:rPr>
              <w:t xml:space="preserve">generic spectrum blocks for bidding in the clock phase of the forward auction:  “Category 1” blocks with potential impairments that affect zero to 15 percent of the population of a </w:t>
            </w:r>
            <w:r>
              <w:rPr>
                <w:sz w:val="22"/>
                <w:szCs w:val="22"/>
              </w:rPr>
              <w:t>geographic area</w:t>
            </w:r>
            <w:r w:rsidR="0047515A">
              <w:rPr>
                <w:sz w:val="22"/>
                <w:szCs w:val="22"/>
              </w:rPr>
              <w:t xml:space="preserve"> (“Partial Economic Area” or “PEA”)</w:t>
            </w:r>
            <w:r w:rsidRPr="007E6BB3">
              <w:rPr>
                <w:sz w:val="22"/>
                <w:szCs w:val="22"/>
              </w:rPr>
              <w:t>; and “Category 2” blocks with potential impairments that affect greater than 15 percent and up to 50 percent. Prices for frequency-specific licenses will be adjusted downward at the end of the assignment phase of the forward auction by one percent of the final clock price for each one percent of impairment to the license.</w:t>
            </w:r>
          </w:p>
          <w:p w14:paraId="75886E7A" w14:textId="7EC20CBB" w:rsidR="00E92BA2" w:rsidRPr="00601A60" w:rsidRDefault="00DF4990" w:rsidP="0005267A">
            <w:pPr>
              <w:pStyle w:val="ListParagraph"/>
              <w:numPr>
                <w:ilvl w:val="0"/>
                <w:numId w:val="2"/>
              </w:numPr>
              <w:tabs>
                <w:tab w:val="left" w:pos="8640"/>
              </w:tabs>
              <w:rPr>
                <w:sz w:val="22"/>
                <w:szCs w:val="22"/>
              </w:rPr>
            </w:pPr>
            <w:r w:rsidRPr="00DF4990">
              <w:rPr>
                <w:sz w:val="22"/>
                <w:szCs w:val="22"/>
              </w:rPr>
              <w:t>Authorizes the auction system to relocate TV stations in the downlink, uplink, or duplex gap in a limited number of geographic areas where necessary to accommodate market variations in broadcaster participation,</w:t>
            </w:r>
            <w:r w:rsidR="00063D5B">
              <w:rPr>
                <w:sz w:val="22"/>
                <w:szCs w:val="22"/>
              </w:rPr>
              <w:t xml:space="preserve"> </w:t>
            </w:r>
            <w:r w:rsidR="00F42C79">
              <w:rPr>
                <w:sz w:val="22"/>
                <w:szCs w:val="22"/>
              </w:rPr>
              <w:t>and</w:t>
            </w:r>
            <w:r w:rsidR="00063D5B">
              <w:rPr>
                <w:sz w:val="22"/>
                <w:szCs w:val="22"/>
              </w:rPr>
              <w:t xml:space="preserve"> seeks further comment on a proposal to preserve an additional vacant channel for </w:t>
            </w:r>
            <w:r w:rsidR="00570F68">
              <w:rPr>
                <w:sz w:val="22"/>
                <w:szCs w:val="22"/>
              </w:rPr>
              <w:t xml:space="preserve">licensed </w:t>
            </w:r>
            <w:r w:rsidR="00063D5B">
              <w:rPr>
                <w:sz w:val="22"/>
                <w:szCs w:val="22"/>
              </w:rPr>
              <w:t xml:space="preserve">wireless microphones and unlicensed devices in such geographic </w:t>
            </w:r>
            <w:r w:rsidR="00570F68">
              <w:rPr>
                <w:sz w:val="22"/>
                <w:szCs w:val="22"/>
              </w:rPr>
              <w:t>areas</w:t>
            </w:r>
            <w:r w:rsidR="00F42C79">
              <w:rPr>
                <w:sz w:val="22"/>
                <w:szCs w:val="22"/>
              </w:rPr>
              <w:t xml:space="preserve"> in which a TV station is assigned a channel in the duplex gap</w:t>
            </w:r>
            <w:r w:rsidR="00C0629B">
              <w:rPr>
                <w:sz w:val="22"/>
                <w:szCs w:val="22"/>
              </w:rPr>
              <w:t>.</w:t>
            </w:r>
          </w:p>
          <w:p w14:paraId="0E033589" w14:textId="22491F51" w:rsidR="00E01188" w:rsidRDefault="007E6BB3" w:rsidP="0005267A">
            <w:pPr>
              <w:pStyle w:val="ListParagraph"/>
              <w:numPr>
                <w:ilvl w:val="0"/>
                <w:numId w:val="2"/>
              </w:numPr>
              <w:tabs>
                <w:tab w:val="left" w:pos="8640"/>
              </w:tabs>
              <w:rPr>
                <w:sz w:val="22"/>
                <w:szCs w:val="22"/>
              </w:rPr>
            </w:pPr>
            <w:r>
              <w:rPr>
                <w:sz w:val="22"/>
                <w:szCs w:val="22"/>
              </w:rPr>
              <w:t xml:space="preserve">Affirms the </w:t>
            </w:r>
            <w:r w:rsidRPr="007E6BB3">
              <w:rPr>
                <w:sz w:val="22"/>
                <w:szCs w:val="22"/>
              </w:rPr>
              <w:t>proposed average price and spectrum benchmarks of $1.25 and 70 megahertz of licensed spectrum, respectively</w:t>
            </w:r>
            <w:r>
              <w:rPr>
                <w:sz w:val="22"/>
                <w:szCs w:val="22"/>
              </w:rPr>
              <w:t xml:space="preserve">, to implement the final stage rule adopted in the </w:t>
            </w:r>
            <w:r>
              <w:rPr>
                <w:i/>
                <w:sz w:val="22"/>
                <w:szCs w:val="22"/>
              </w:rPr>
              <w:t>Incentive Auction Report &amp; Order</w:t>
            </w:r>
            <w:r w:rsidRPr="007E6BB3">
              <w:rPr>
                <w:sz w:val="22"/>
                <w:szCs w:val="22"/>
              </w:rPr>
              <w:t xml:space="preserve">. The benchmarks will help to ensure that winning bids for the licenses in the forward auction reflect competitive prices and return a portion of the value of the spectrum to taxpayers without reducing the amount of spectrum repurposed for new, flexible-use licenses.  </w:t>
            </w:r>
            <w:r w:rsidR="0026603E">
              <w:rPr>
                <w:sz w:val="22"/>
                <w:szCs w:val="22"/>
              </w:rPr>
              <w:t xml:space="preserve">Satisfaction of the final stage rule will also trigger the establishment of the spectrum reserve adopted in the </w:t>
            </w:r>
            <w:r w:rsidR="0026603E">
              <w:rPr>
                <w:i/>
                <w:sz w:val="22"/>
                <w:szCs w:val="22"/>
              </w:rPr>
              <w:t>Mobile Spectrum Holdings Report &amp; Order</w:t>
            </w:r>
            <w:r w:rsidR="00C0629B" w:rsidRPr="00C0629B">
              <w:rPr>
                <w:sz w:val="22"/>
                <w:szCs w:val="22"/>
              </w:rPr>
              <w:t>.</w:t>
            </w:r>
          </w:p>
          <w:p w14:paraId="15FE5CAB" w14:textId="0FF3A2B8" w:rsidR="000D42EC" w:rsidRDefault="000D42EC" w:rsidP="000D42EC">
            <w:pPr>
              <w:pStyle w:val="ListParagraph"/>
              <w:numPr>
                <w:ilvl w:val="0"/>
                <w:numId w:val="2"/>
              </w:numPr>
              <w:tabs>
                <w:tab w:val="left" w:pos="8640"/>
              </w:tabs>
              <w:rPr>
                <w:sz w:val="22"/>
                <w:szCs w:val="22"/>
              </w:rPr>
            </w:pPr>
            <w:r>
              <w:rPr>
                <w:sz w:val="22"/>
                <w:szCs w:val="22"/>
              </w:rPr>
              <w:t>Establishes</w:t>
            </w:r>
            <w:r w:rsidRPr="000D42EC">
              <w:rPr>
                <w:sz w:val="22"/>
                <w:szCs w:val="22"/>
              </w:rPr>
              <w:t xml:space="preserve"> a 20 MHz cap on the </w:t>
            </w:r>
            <w:r w:rsidR="00E25727">
              <w:rPr>
                <w:sz w:val="22"/>
                <w:szCs w:val="22"/>
              </w:rPr>
              <w:t xml:space="preserve">total </w:t>
            </w:r>
            <w:r w:rsidRPr="000D42EC">
              <w:rPr>
                <w:sz w:val="22"/>
                <w:szCs w:val="22"/>
              </w:rPr>
              <w:t>amount of re</w:t>
            </w:r>
            <w:r>
              <w:rPr>
                <w:sz w:val="22"/>
                <w:szCs w:val="22"/>
              </w:rPr>
              <w:t>serve spectrum that any reserve-</w:t>
            </w:r>
            <w:r w:rsidRPr="000D42EC">
              <w:rPr>
                <w:sz w:val="22"/>
                <w:szCs w:val="22"/>
              </w:rPr>
              <w:t>eligible entity could acquire in PEAs with populations of 500,000 or fewer people.</w:t>
            </w:r>
          </w:p>
          <w:p w14:paraId="2C297BF2" w14:textId="77777777" w:rsidR="0005267A" w:rsidRPr="00601A60" w:rsidRDefault="00E01188" w:rsidP="0005267A">
            <w:pPr>
              <w:pStyle w:val="ListParagraph"/>
              <w:numPr>
                <w:ilvl w:val="0"/>
                <w:numId w:val="2"/>
              </w:numPr>
              <w:tabs>
                <w:tab w:val="left" w:pos="8640"/>
              </w:tabs>
              <w:rPr>
                <w:sz w:val="22"/>
                <w:szCs w:val="22"/>
              </w:rPr>
            </w:pPr>
            <w:r>
              <w:rPr>
                <w:sz w:val="22"/>
                <w:szCs w:val="22"/>
              </w:rPr>
              <w:t>Enables t</w:t>
            </w:r>
            <w:r w:rsidR="0047515A">
              <w:rPr>
                <w:sz w:val="22"/>
                <w:szCs w:val="22"/>
              </w:rPr>
              <w:t>he</w:t>
            </w:r>
            <w:r>
              <w:rPr>
                <w:sz w:val="22"/>
                <w:szCs w:val="22"/>
              </w:rPr>
              <w:t xml:space="preserve"> Commission to trigger </w:t>
            </w:r>
            <w:r w:rsidR="007E6BB3" w:rsidRPr="007E6BB3">
              <w:rPr>
                <w:sz w:val="22"/>
                <w:szCs w:val="22"/>
              </w:rPr>
              <w:t xml:space="preserve">an “extended round” to give bidders the opportunity to meet the final stage rule </w:t>
            </w:r>
            <w:r>
              <w:rPr>
                <w:sz w:val="22"/>
                <w:szCs w:val="22"/>
              </w:rPr>
              <w:t xml:space="preserve">without moving to another stage if the shortfall is </w:t>
            </w:r>
            <w:r w:rsidR="007E6BB3" w:rsidRPr="007E6BB3">
              <w:rPr>
                <w:sz w:val="22"/>
                <w:szCs w:val="22"/>
              </w:rPr>
              <w:t>20 percent</w:t>
            </w:r>
            <w:r>
              <w:rPr>
                <w:sz w:val="22"/>
                <w:szCs w:val="22"/>
              </w:rPr>
              <w:t xml:space="preserve"> or less</w:t>
            </w:r>
            <w:r w:rsidR="007E6BB3" w:rsidRPr="007E6BB3">
              <w:rPr>
                <w:sz w:val="22"/>
                <w:szCs w:val="22"/>
              </w:rPr>
              <w:t xml:space="preserve">. </w:t>
            </w:r>
          </w:p>
          <w:p w14:paraId="5808F5C6" w14:textId="77777777" w:rsidR="0047515A" w:rsidRPr="00DD3C32" w:rsidRDefault="00DD3C32" w:rsidP="0047515A">
            <w:pPr>
              <w:pStyle w:val="ListParagraph"/>
              <w:numPr>
                <w:ilvl w:val="0"/>
                <w:numId w:val="2"/>
              </w:numPr>
              <w:tabs>
                <w:tab w:val="left" w:pos="8640"/>
              </w:tabs>
              <w:rPr>
                <w:sz w:val="22"/>
                <w:szCs w:val="22"/>
              </w:rPr>
            </w:pPr>
            <w:r>
              <w:rPr>
                <w:sz w:val="22"/>
                <w:szCs w:val="22"/>
              </w:rPr>
              <w:t>Affirms</w:t>
            </w:r>
            <w:r w:rsidR="0047515A">
              <w:rPr>
                <w:sz w:val="22"/>
                <w:szCs w:val="22"/>
              </w:rPr>
              <w:t xml:space="preserve"> the </w:t>
            </w:r>
            <w:r w:rsidR="0047515A" w:rsidRPr="0047515A">
              <w:rPr>
                <w:sz w:val="22"/>
                <w:szCs w:val="22"/>
              </w:rPr>
              <w:t xml:space="preserve">assignment round bidding procedures proposed in the </w:t>
            </w:r>
            <w:r w:rsidR="0047515A" w:rsidRPr="0047515A">
              <w:rPr>
                <w:i/>
                <w:sz w:val="22"/>
                <w:szCs w:val="22"/>
              </w:rPr>
              <w:t>Comment PN</w:t>
            </w:r>
            <w:r w:rsidR="0047515A" w:rsidRPr="0047515A">
              <w:rPr>
                <w:sz w:val="22"/>
                <w:szCs w:val="22"/>
              </w:rPr>
              <w:t xml:space="preserve"> with a modification: in addition to limiting PEA grouping to PEAs with the same mix of clock-phase winners and winnings, as proposed, we will limit PEA grouping to unimpaired PEAs. Winning clock-phase bidders will have the opportunity to bid for their preferred combinations of licenses, consistent with their clock-phase winnings, in a series of single sealed-bid rounds conducted by PEA or, in some cases, PEA group</w:t>
            </w:r>
            <w:r w:rsidR="0047515A">
              <w:rPr>
                <w:sz w:val="22"/>
                <w:szCs w:val="22"/>
              </w:rPr>
              <w:t>.</w:t>
            </w:r>
          </w:p>
          <w:p w14:paraId="6AC9A004" w14:textId="77777777" w:rsidR="00DD3C32" w:rsidRDefault="00DD3C32" w:rsidP="0005267A">
            <w:pPr>
              <w:pStyle w:val="ListParagraph"/>
              <w:numPr>
                <w:ilvl w:val="0"/>
                <w:numId w:val="2"/>
              </w:numPr>
              <w:tabs>
                <w:tab w:val="left" w:pos="8640"/>
              </w:tabs>
              <w:rPr>
                <w:sz w:val="22"/>
                <w:szCs w:val="22"/>
              </w:rPr>
            </w:pPr>
            <w:r>
              <w:rPr>
                <w:sz w:val="22"/>
                <w:szCs w:val="22"/>
              </w:rPr>
              <w:t xml:space="preserve">Establishes </w:t>
            </w:r>
            <w:r w:rsidR="0047515A" w:rsidRPr="0047515A">
              <w:rPr>
                <w:sz w:val="22"/>
                <w:szCs w:val="22"/>
              </w:rPr>
              <w:t xml:space="preserve">optimization techniques to determine a final TV channel assignment plan that satisfies the constraints adopted in the </w:t>
            </w:r>
            <w:r w:rsidR="0047515A" w:rsidRPr="0047515A">
              <w:rPr>
                <w:i/>
                <w:sz w:val="22"/>
                <w:szCs w:val="22"/>
              </w:rPr>
              <w:t>Incentive Auction R&amp;O</w:t>
            </w:r>
            <w:r w:rsidR="0047515A" w:rsidRPr="0047515A">
              <w:rPr>
                <w:sz w:val="22"/>
                <w:szCs w:val="22"/>
              </w:rPr>
              <w:t xml:space="preserve"> and strives for the</w:t>
            </w:r>
            <w:r>
              <w:rPr>
                <w:sz w:val="22"/>
                <w:szCs w:val="22"/>
              </w:rPr>
              <w:t>se</w:t>
            </w:r>
            <w:r w:rsidR="0047515A" w:rsidRPr="0047515A">
              <w:rPr>
                <w:sz w:val="22"/>
                <w:szCs w:val="22"/>
              </w:rPr>
              <w:t xml:space="preserve"> additional policy goals</w:t>
            </w:r>
            <w:r>
              <w:rPr>
                <w:sz w:val="22"/>
                <w:szCs w:val="22"/>
              </w:rPr>
              <w:t>:</w:t>
            </w:r>
          </w:p>
          <w:p w14:paraId="540CB9A8" w14:textId="77777777" w:rsidR="00DD3C32" w:rsidRDefault="00DD3C32" w:rsidP="00DD3C32">
            <w:pPr>
              <w:pStyle w:val="ListParagraph"/>
              <w:numPr>
                <w:ilvl w:val="1"/>
                <w:numId w:val="2"/>
              </w:numPr>
              <w:tabs>
                <w:tab w:val="left" w:pos="8640"/>
              </w:tabs>
              <w:rPr>
                <w:sz w:val="22"/>
                <w:szCs w:val="22"/>
              </w:rPr>
            </w:pPr>
            <w:r>
              <w:rPr>
                <w:sz w:val="22"/>
                <w:szCs w:val="22"/>
              </w:rPr>
              <w:t>M</w:t>
            </w:r>
            <w:r w:rsidR="0047515A" w:rsidRPr="0047515A">
              <w:rPr>
                <w:sz w:val="22"/>
                <w:szCs w:val="22"/>
              </w:rPr>
              <w:t>aximizing the number of stations that stay</w:t>
            </w:r>
            <w:r>
              <w:rPr>
                <w:sz w:val="22"/>
                <w:szCs w:val="22"/>
              </w:rPr>
              <w:t xml:space="preserve"> on their pre-auction channels;</w:t>
            </w:r>
          </w:p>
          <w:p w14:paraId="073B33C8" w14:textId="77777777" w:rsidR="00DD3C32" w:rsidRDefault="00DD3C32" w:rsidP="00DD3C32">
            <w:pPr>
              <w:pStyle w:val="ListParagraph"/>
              <w:numPr>
                <w:ilvl w:val="1"/>
                <w:numId w:val="2"/>
              </w:numPr>
              <w:tabs>
                <w:tab w:val="left" w:pos="8640"/>
              </w:tabs>
              <w:rPr>
                <w:sz w:val="22"/>
                <w:szCs w:val="22"/>
              </w:rPr>
            </w:pPr>
            <w:r>
              <w:rPr>
                <w:sz w:val="22"/>
                <w:szCs w:val="22"/>
              </w:rPr>
              <w:t>M</w:t>
            </w:r>
            <w:r w:rsidR="0047515A" w:rsidRPr="0047515A">
              <w:rPr>
                <w:sz w:val="22"/>
                <w:szCs w:val="22"/>
              </w:rPr>
              <w:t>inimizing aggregate new inte</w:t>
            </w:r>
            <w:r>
              <w:rPr>
                <w:sz w:val="22"/>
                <w:szCs w:val="22"/>
              </w:rPr>
              <w:t>rference to individual stations;</w:t>
            </w:r>
            <w:r w:rsidR="0047515A" w:rsidRPr="0047515A">
              <w:rPr>
                <w:sz w:val="22"/>
                <w:szCs w:val="22"/>
              </w:rPr>
              <w:t xml:space="preserve"> and </w:t>
            </w:r>
          </w:p>
          <w:p w14:paraId="053E39A8" w14:textId="77777777" w:rsidR="00DD3C32" w:rsidRDefault="00DD3C32" w:rsidP="00DD3C32">
            <w:pPr>
              <w:pStyle w:val="ListParagraph"/>
              <w:numPr>
                <w:ilvl w:val="1"/>
                <w:numId w:val="2"/>
              </w:numPr>
              <w:tabs>
                <w:tab w:val="left" w:pos="8640"/>
              </w:tabs>
              <w:rPr>
                <w:sz w:val="22"/>
                <w:szCs w:val="22"/>
              </w:rPr>
            </w:pPr>
            <w:r>
              <w:rPr>
                <w:sz w:val="22"/>
                <w:szCs w:val="22"/>
              </w:rPr>
              <w:t>A</w:t>
            </w:r>
            <w:r w:rsidR="0047515A" w:rsidRPr="0047515A">
              <w:rPr>
                <w:sz w:val="22"/>
                <w:szCs w:val="22"/>
              </w:rPr>
              <w:t xml:space="preserve">voiding channel reassignments for stations with high anticipated costs.  </w:t>
            </w:r>
          </w:p>
          <w:p w14:paraId="3F3685C6" w14:textId="77777777" w:rsidR="0047515A" w:rsidRPr="00601A60" w:rsidRDefault="0047515A" w:rsidP="00DD3C32">
            <w:pPr>
              <w:pStyle w:val="ListParagraph"/>
              <w:tabs>
                <w:tab w:val="left" w:pos="8640"/>
              </w:tabs>
              <w:rPr>
                <w:sz w:val="22"/>
                <w:szCs w:val="22"/>
              </w:rPr>
            </w:pPr>
            <w:r w:rsidRPr="0047515A">
              <w:rPr>
                <w:sz w:val="22"/>
                <w:szCs w:val="22"/>
              </w:rPr>
              <w:t>These goals, in turn, will help to ensure that the total reimbursement costs associated with the repacking process remain below the $1.75 billion in the TV Broadcaster Relocation Fund that Congress made available, speed the post-auction transition process and minimize disruption for stations and viewers alike.</w:t>
            </w:r>
          </w:p>
          <w:p w14:paraId="5497EC8F" w14:textId="77777777" w:rsidR="00601A60" w:rsidRDefault="00601A60" w:rsidP="00040127">
            <w:pPr>
              <w:tabs>
                <w:tab w:val="left" w:pos="8640"/>
              </w:tabs>
              <w:rPr>
                <w:sz w:val="22"/>
                <w:szCs w:val="22"/>
              </w:rPr>
            </w:pPr>
          </w:p>
          <w:p w14:paraId="635B0057" w14:textId="6E2A0280" w:rsidR="0005267A" w:rsidRDefault="0047515A" w:rsidP="00040127">
            <w:pPr>
              <w:tabs>
                <w:tab w:val="left" w:pos="8640"/>
              </w:tabs>
              <w:rPr>
                <w:sz w:val="22"/>
                <w:szCs w:val="22"/>
              </w:rPr>
            </w:pPr>
            <w:r>
              <w:rPr>
                <w:sz w:val="22"/>
                <w:szCs w:val="22"/>
              </w:rPr>
              <w:t xml:space="preserve">For more information about the Incentive Auction, please visit </w:t>
            </w:r>
            <w:hyperlink r:id="rId9" w:history="1">
              <w:r w:rsidRPr="00EA7AE8">
                <w:rPr>
                  <w:rStyle w:val="Hyperlink"/>
                  <w:sz w:val="22"/>
                  <w:szCs w:val="22"/>
                </w:rPr>
                <w:t>https://www.fcc.gov/incentiveauctions</w:t>
              </w:r>
            </w:hyperlink>
            <w:r>
              <w:rPr>
                <w:sz w:val="22"/>
                <w:szCs w:val="22"/>
              </w:rPr>
              <w:t xml:space="preserve">. </w:t>
            </w:r>
          </w:p>
          <w:p w14:paraId="7B869090" w14:textId="77777777" w:rsidR="00D93F6E" w:rsidRDefault="00D93F6E" w:rsidP="00D93F6E">
            <w:pPr>
              <w:tabs>
                <w:tab w:val="left" w:pos="8640"/>
              </w:tabs>
              <w:rPr>
                <w:sz w:val="22"/>
                <w:szCs w:val="22"/>
              </w:rPr>
            </w:pPr>
          </w:p>
          <w:p w14:paraId="7C11D737" w14:textId="73A97C07" w:rsidR="008A5809" w:rsidRPr="008A5809" w:rsidRDefault="008A5809" w:rsidP="008A5809">
            <w:pPr>
              <w:rPr>
                <w:sz w:val="22"/>
                <w:szCs w:val="22"/>
              </w:rPr>
            </w:pPr>
            <w:r w:rsidRPr="008A5809">
              <w:rPr>
                <w:sz w:val="22"/>
                <w:szCs w:val="22"/>
              </w:rPr>
              <w:t xml:space="preserve">Action by the Commission August </w:t>
            </w:r>
            <w:r w:rsidRPr="00D93F6E">
              <w:rPr>
                <w:sz w:val="22"/>
                <w:szCs w:val="22"/>
              </w:rPr>
              <w:t>6</w:t>
            </w:r>
            <w:r w:rsidRPr="008A5809">
              <w:rPr>
                <w:sz w:val="22"/>
                <w:szCs w:val="22"/>
              </w:rPr>
              <w:t>, 2015 by Public Notice (FCC 15-78</w:t>
            </w:r>
            <w:r w:rsidRPr="00D93F6E">
              <w:rPr>
                <w:sz w:val="22"/>
                <w:szCs w:val="22"/>
              </w:rPr>
              <w:t xml:space="preserve">).  Chairman Wheeler, Commissioners Clyburn and Rosenworcel </w:t>
            </w:r>
            <w:r w:rsidR="00B24941" w:rsidRPr="00D93F6E">
              <w:rPr>
                <w:sz w:val="22"/>
                <w:szCs w:val="22"/>
              </w:rPr>
              <w:t>approving.</w:t>
            </w:r>
            <w:r w:rsidRPr="00D93F6E">
              <w:rPr>
                <w:sz w:val="22"/>
                <w:szCs w:val="22"/>
              </w:rPr>
              <w:t xml:space="preserve"> Commissioners Pai and O’Rielly dissenting.  Chairman Wheeler, Commissioners Clyburn, Rosenworcel, Pai and O’Rielly issuing statements.</w:t>
            </w:r>
            <w:r w:rsidRPr="008A5809">
              <w:rPr>
                <w:sz w:val="22"/>
                <w:szCs w:val="22"/>
              </w:rPr>
              <w:t xml:space="preserve">  </w:t>
            </w:r>
          </w:p>
          <w:p w14:paraId="3528F401" w14:textId="77777777" w:rsidR="0005267A" w:rsidRPr="00601A60" w:rsidRDefault="0005267A" w:rsidP="00040127">
            <w:pPr>
              <w:tabs>
                <w:tab w:val="left" w:pos="8640"/>
              </w:tabs>
              <w:rPr>
                <w:sz w:val="22"/>
                <w:szCs w:val="22"/>
              </w:rPr>
            </w:pPr>
          </w:p>
          <w:p w14:paraId="0A588910" w14:textId="77777777" w:rsidR="004F0F1F" w:rsidRPr="008A3940" w:rsidRDefault="00F708E3" w:rsidP="00BB4E29">
            <w:pPr>
              <w:ind w:right="240"/>
              <w:jc w:val="center"/>
              <w:rPr>
                <w:sz w:val="22"/>
                <w:szCs w:val="22"/>
              </w:rPr>
            </w:pPr>
            <w:r w:rsidRPr="008A3940">
              <w:rPr>
                <w:sz w:val="22"/>
                <w:szCs w:val="22"/>
              </w:rPr>
              <w:t>###</w:t>
            </w:r>
          </w:p>
          <w:p w14:paraId="018ED3CD" w14:textId="77777777" w:rsidR="00E644FE" w:rsidRPr="006B0A70" w:rsidRDefault="00E644FE" w:rsidP="00BB4E29">
            <w:pPr>
              <w:ind w:right="498"/>
              <w:jc w:val="center"/>
              <w:rPr>
                <w:b/>
                <w:bCs/>
                <w:sz w:val="18"/>
                <w:szCs w:val="18"/>
              </w:rPr>
            </w:pPr>
            <w:r w:rsidRPr="00DF4990">
              <w:rPr>
                <w:b/>
                <w:bCs/>
                <w:sz w:val="18"/>
                <w:szCs w:val="18"/>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5F6020A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5D1CE4A" w14:textId="77777777" w:rsidR="00CC5E08" w:rsidRPr="006B0A70" w:rsidRDefault="006A2FC5" w:rsidP="00BB4E29">
            <w:pPr>
              <w:ind w:right="498"/>
              <w:jc w:val="center"/>
              <w:rPr>
                <w:b/>
                <w:bCs/>
                <w:sz w:val="18"/>
                <w:szCs w:val="18"/>
              </w:rPr>
            </w:pPr>
            <w:r>
              <w:rPr>
                <w:b/>
                <w:bCs/>
                <w:sz w:val="18"/>
                <w:szCs w:val="18"/>
              </w:rPr>
              <w:t>Twitter: @FCC</w:t>
            </w:r>
          </w:p>
          <w:p w14:paraId="216993AB" w14:textId="11DF645C" w:rsidR="0069420F" w:rsidRDefault="00CB6515"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66E8F1FF" w14:textId="77777777" w:rsidR="00DF4990" w:rsidRPr="00EE0E90" w:rsidRDefault="00DF4990" w:rsidP="00BB4E29">
            <w:pPr>
              <w:ind w:right="498"/>
              <w:jc w:val="center"/>
              <w:rPr>
                <w:b/>
                <w:bCs/>
                <w:sz w:val="18"/>
                <w:szCs w:val="18"/>
              </w:rPr>
            </w:pPr>
          </w:p>
          <w:p w14:paraId="6A52C9E1"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76BDD3E1" w14:textId="77777777" w:rsidR="00D24C3D" w:rsidRPr="007528A5" w:rsidRDefault="00D24C3D">
      <w:pPr>
        <w:rPr>
          <w:b/>
          <w:bCs/>
          <w:sz w:val="2"/>
          <w:szCs w:val="2"/>
        </w:rPr>
      </w:pPr>
    </w:p>
    <w:sectPr w:rsidR="00D24C3D" w:rsidRPr="007528A5" w:rsidSect="00FB4C3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2AC3C" w14:textId="77777777" w:rsidR="007B542A" w:rsidRDefault="007B542A" w:rsidP="007B542A">
      <w:r>
        <w:separator/>
      </w:r>
    </w:p>
  </w:endnote>
  <w:endnote w:type="continuationSeparator" w:id="0">
    <w:p w14:paraId="203AD200" w14:textId="77777777" w:rsidR="007B542A" w:rsidRDefault="007B542A" w:rsidP="007B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4FD" w14:textId="77777777" w:rsidR="007B542A" w:rsidRDefault="007B5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4FA5" w14:textId="77777777" w:rsidR="007B542A" w:rsidRDefault="007B5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4ACA" w14:textId="77777777" w:rsidR="007B542A" w:rsidRDefault="007B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272E" w14:textId="77777777" w:rsidR="007B542A" w:rsidRDefault="007B542A" w:rsidP="007B542A">
      <w:r>
        <w:separator/>
      </w:r>
    </w:p>
  </w:footnote>
  <w:footnote w:type="continuationSeparator" w:id="0">
    <w:p w14:paraId="1A5E9472" w14:textId="77777777" w:rsidR="007B542A" w:rsidRDefault="007B542A" w:rsidP="007B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EA2A" w14:textId="77777777" w:rsidR="007B542A" w:rsidRDefault="007B5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A5EB" w14:textId="77777777" w:rsidR="007B542A" w:rsidRDefault="007B5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E49A" w14:textId="77777777" w:rsidR="007B542A" w:rsidRDefault="007B5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C5A"/>
    <w:multiLevelType w:val="hybridMultilevel"/>
    <w:tmpl w:val="E5FA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5267A"/>
    <w:rsid w:val="00052D4F"/>
    <w:rsid w:val="00063D5B"/>
    <w:rsid w:val="00081232"/>
    <w:rsid w:val="00091E65"/>
    <w:rsid w:val="000933DA"/>
    <w:rsid w:val="00096D4A"/>
    <w:rsid w:val="000A38EA"/>
    <w:rsid w:val="000C1E47"/>
    <w:rsid w:val="000C26F3"/>
    <w:rsid w:val="000D42EC"/>
    <w:rsid w:val="000E049E"/>
    <w:rsid w:val="0010799B"/>
    <w:rsid w:val="00113CD0"/>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7DA5"/>
    <w:rsid w:val="00240345"/>
    <w:rsid w:val="002421F0"/>
    <w:rsid w:val="00247274"/>
    <w:rsid w:val="0026603E"/>
    <w:rsid w:val="00266966"/>
    <w:rsid w:val="00271579"/>
    <w:rsid w:val="00294C0C"/>
    <w:rsid w:val="002A0934"/>
    <w:rsid w:val="002B1013"/>
    <w:rsid w:val="002D03E5"/>
    <w:rsid w:val="002D0A2C"/>
    <w:rsid w:val="002E3F1D"/>
    <w:rsid w:val="002F31D0"/>
    <w:rsid w:val="00300359"/>
    <w:rsid w:val="0031773E"/>
    <w:rsid w:val="00343EF9"/>
    <w:rsid w:val="00347716"/>
    <w:rsid w:val="003506E1"/>
    <w:rsid w:val="0036700E"/>
    <w:rsid w:val="003727E3"/>
    <w:rsid w:val="00385A93"/>
    <w:rsid w:val="003910F1"/>
    <w:rsid w:val="003A76EE"/>
    <w:rsid w:val="003E42FC"/>
    <w:rsid w:val="003E5991"/>
    <w:rsid w:val="003E6331"/>
    <w:rsid w:val="003F344A"/>
    <w:rsid w:val="00403FF0"/>
    <w:rsid w:val="0042046D"/>
    <w:rsid w:val="00425AEF"/>
    <w:rsid w:val="00426518"/>
    <w:rsid w:val="00427B06"/>
    <w:rsid w:val="00441F59"/>
    <w:rsid w:val="00444E07"/>
    <w:rsid w:val="00444FA9"/>
    <w:rsid w:val="00473E9C"/>
    <w:rsid w:val="0047515A"/>
    <w:rsid w:val="0047605D"/>
    <w:rsid w:val="00480099"/>
    <w:rsid w:val="00497858"/>
    <w:rsid w:val="004B4FEA"/>
    <w:rsid w:val="004C0ADA"/>
    <w:rsid w:val="004C433E"/>
    <w:rsid w:val="004C4512"/>
    <w:rsid w:val="004C4F36"/>
    <w:rsid w:val="004D3D85"/>
    <w:rsid w:val="004D5964"/>
    <w:rsid w:val="004E00A2"/>
    <w:rsid w:val="004E2BD8"/>
    <w:rsid w:val="004F0F1F"/>
    <w:rsid w:val="005022AA"/>
    <w:rsid w:val="00504845"/>
    <w:rsid w:val="0050757F"/>
    <w:rsid w:val="00516AD2"/>
    <w:rsid w:val="00545DAE"/>
    <w:rsid w:val="00547A6D"/>
    <w:rsid w:val="00570B5F"/>
    <w:rsid w:val="00570F68"/>
    <w:rsid w:val="00571B83"/>
    <w:rsid w:val="00575A00"/>
    <w:rsid w:val="0058673C"/>
    <w:rsid w:val="0059571E"/>
    <w:rsid w:val="005A7972"/>
    <w:rsid w:val="005B17E7"/>
    <w:rsid w:val="005B2643"/>
    <w:rsid w:val="005D17FD"/>
    <w:rsid w:val="005F0D55"/>
    <w:rsid w:val="005F183E"/>
    <w:rsid w:val="00600DDA"/>
    <w:rsid w:val="00601A6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0588"/>
    <w:rsid w:val="006D5D22"/>
    <w:rsid w:val="006E0324"/>
    <w:rsid w:val="006E4A76"/>
    <w:rsid w:val="006F1DBD"/>
    <w:rsid w:val="00700556"/>
    <w:rsid w:val="007167DD"/>
    <w:rsid w:val="0072478B"/>
    <w:rsid w:val="00732F7D"/>
    <w:rsid w:val="0073414D"/>
    <w:rsid w:val="0075235E"/>
    <w:rsid w:val="007528A5"/>
    <w:rsid w:val="007732CC"/>
    <w:rsid w:val="00774079"/>
    <w:rsid w:val="0077752B"/>
    <w:rsid w:val="007875DF"/>
    <w:rsid w:val="00793D6F"/>
    <w:rsid w:val="00794090"/>
    <w:rsid w:val="007A44F8"/>
    <w:rsid w:val="007B542A"/>
    <w:rsid w:val="007D21BF"/>
    <w:rsid w:val="007E5C84"/>
    <w:rsid w:val="007E6BB3"/>
    <w:rsid w:val="007E7911"/>
    <w:rsid w:val="007F3C12"/>
    <w:rsid w:val="007F5205"/>
    <w:rsid w:val="008215E7"/>
    <w:rsid w:val="00830FC6"/>
    <w:rsid w:val="008441FC"/>
    <w:rsid w:val="00865EAA"/>
    <w:rsid w:val="00866F06"/>
    <w:rsid w:val="008728F5"/>
    <w:rsid w:val="00874AA0"/>
    <w:rsid w:val="008824C2"/>
    <w:rsid w:val="0088630B"/>
    <w:rsid w:val="008960E4"/>
    <w:rsid w:val="008A3940"/>
    <w:rsid w:val="008A5809"/>
    <w:rsid w:val="008A61B9"/>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C6984"/>
    <w:rsid w:val="009E54A1"/>
    <w:rsid w:val="009F4E25"/>
    <w:rsid w:val="009F5B1F"/>
    <w:rsid w:val="00A35DFD"/>
    <w:rsid w:val="00A46F82"/>
    <w:rsid w:val="00A52FCB"/>
    <w:rsid w:val="00A702DF"/>
    <w:rsid w:val="00A775A3"/>
    <w:rsid w:val="00A81B5B"/>
    <w:rsid w:val="00A82FAD"/>
    <w:rsid w:val="00A8771C"/>
    <w:rsid w:val="00A9673A"/>
    <w:rsid w:val="00A96EF2"/>
    <w:rsid w:val="00AA5C35"/>
    <w:rsid w:val="00AA5ED9"/>
    <w:rsid w:val="00AB5C8E"/>
    <w:rsid w:val="00AC0A38"/>
    <w:rsid w:val="00AC4E0E"/>
    <w:rsid w:val="00AC517B"/>
    <w:rsid w:val="00AD0D19"/>
    <w:rsid w:val="00AF051B"/>
    <w:rsid w:val="00B037A2"/>
    <w:rsid w:val="00B24941"/>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629B"/>
    <w:rsid w:val="00C432E4"/>
    <w:rsid w:val="00C64D40"/>
    <w:rsid w:val="00C70C26"/>
    <w:rsid w:val="00C72001"/>
    <w:rsid w:val="00C772B7"/>
    <w:rsid w:val="00C80347"/>
    <w:rsid w:val="00CB6515"/>
    <w:rsid w:val="00CB7C1A"/>
    <w:rsid w:val="00CC080B"/>
    <w:rsid w:val="00CC5E08"/>
    <w:rsid w:val="00CF6860"/>
    <w:rsid w:val="00D02AC6"/>
    <w:rsid w:val="00D03F0C"/>
    <w:rsid w:val="00D04312"/>
    <w:rsid w:val="00D16A7F"/>
    <w:rsid w:val="00D16AD2"/>
    <w:rsid w:val="00D22596"/>
    <w:rsid w:val="00D22691"/>
    <w:rsid w:val="00D24C3D"/>
    <w:rsid w:val="00D46CB1"/>
    <w:rsid w:val="00D723F0"/>
    <w:rsid w:val="00D8133F"/>
    <w:rsid w:val="00D93F6E"/>
    <w:rsid w:val="00D95B05"/>
    <w:rsid w:val="00D97E2D"/>
    <w:rsid w:val="00DA103D"/>
    <w:rsid w:val="00DA45D3"/>
    <w:rsid w:val="00DA4772"/>
    <w:rsid w:val="00DA7B44"/>
    <w:rsid w:val="00DB2667"/>
    <w:rsid w:val="00DB67B7"/>
    <w:rsid w:val="00DB79AC"/>
    <w:rsid w:val="00DC15A9"/>
    <w:rsid w:val="00DC40AA"/>
    <w:rsid w:val="00DD1750"/>
    <w:rsid w:val="00DD3C32"/>
    <w:rsid w:val="00DE7708"/>
    <w:rsid w:val="00DF4990"/>
    <w:rsid w:val="00E01188"/>
    <w:rsid w:val="00E25727"/>
    <w:rsid w:val="00E349AA"/>
    <w:rsid w:val="00E41390"/>
    <w:rsid w:val="00E41CA0"/>
    <w:rsid w:val="00E4314A"/>
    <w:rsid w:val="00E4366B"/>
    <w:rsid w:val="00E50A4A"/>
    <w:rsid w:val="00E606DE"/>
    <w:rsid w:val="00E644FE"/>
    <w:rsid w:val="00E72733"/>
    <w:rsid w:val="00E742FA"/>
    <w:rsid w:val="00E76816"/>
    <w:rsid w:val="00E7722E"/>
    <w:rsid w:val="00E83DBF"/>
    <w:rsid w:val="00E87C13"/>
    <w:rsid w:val="00E92BA2"/>
    <w:rsid w:val="00E94CD9"/>
    <w:rsid w:val="00EA1A76"/>
    <w:rsid w:val="00EA290B"/>
    <w:rsid w:val="00EE0E90"/>
    <w:rsid w:val="00EF3BCA"/>
    <w:rsid w:val="00F01B0D"/>
    <w:rsid w:val="00F1238F"/>
    <w:rsid w:val="00F16485"/>
    <w:rsid w:val="00F228ED"/>
    <w:rsid w:val="00F26E31"/>
    <w:rsid w:val="00F27C6C"/>
    <w:rsid w:val="00F32AC2"/>
    <w:rsid w:val="00F34A8D"/>
    <w:rsid w:val="00F42C79"/>
    <w:rsid w:val="00F44C45"/>
    <w:rsid w:val="00F50D25"/>
    <w:rsid w:val="00F535D8"/>
    <w:rsid w:val="00F61155"/>
    <w:rsid w:val="00F708E3"/>
    <w:rsid w:val="00F76561"/>
    <w:rsid w:val="00F84736"/>
    <w:rsid w:val="00FB4C3A"/>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E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E92BA2"/>
    <w:pPr>
      <w:ind w:left="720"/>
      <w:contextualSpacing/>
    </w:pPr>
  </w:style>
  <w:style w:type="character" w:styleId="CommentReference">
    <w:name w:val="annotation reference"/>
    <w:basedOn w:val="DefaultParagraphFont"/>
    <w:semiHidden/>
    <w:unhideWhenUsed/>
    <w:rsid w:val="00601A60"/>
    <w:rPr>
      <w:sz w:val="16"/>
      <w:szCs w:val="16"/>
    </w:rPr>
  </w:style>
  <w:style w:type="paragraph" w:styleId="CommentText">
    <w:name w:val="annotation text"/>
    <w:basedOn w:val="Normal"/>
    <w:link w:val="CommentTextChar"/>
    <w:semiHidden/>
    <w:unhideWhenUsed/>
    <w:rsid w:val="00601A60"/>
    <w:rPr>
      <w:sz w:val="20"/>
      <w:szCs w:val="20"/>
    </w:rPr>
  </w:style>
  <w:style w:type="character" w:customStyle="1" w:styleId="CommentTextChar">
    <w:name w:val="Comment Text Char"/>
    <w:basedOn w:val="DefaultParagraphFont"/>
    <w:link w:val="CommentText"/>
    <w:semiHidden/>
    <w:rsid w:val="00601A60"/>
  </w:style>
  <w:style w:type="paragraph" w:styleId="CommentSubject">
    <w:name w:val="annotation subject"/>
    <w:basedOn w:val="CommentText"/>
    <w:next w:val="CommentText"/>
    <w:link w:val="CommentSubjectChar"/>
    <w:semiHidden/>
    <w:unhideWhenUsed/>
    <w:rsid w:val="00601A60"/>
    <w:rPr>
      <w:b/>
      <w:bCs/>
    </w:rPr>
  </w:style>
  <w:style w:type="character" w:customStyle="1" w:styleId="CommentSubjectChar">
    <w:name w:val="Comment Subject Char"/>
    <w:basedOn w:val="CommentTextChar"/>
    <w:link w:val="CommentSubject"/>
    <w:semiHidden/>
    <w:rsid w:val="00601A60"/>
    <w:rPr>
      <w:b/>
      <w:bCs/>
    </w:rPr>
  </w:style>
  <w:style w:type="paragraph" w:styleId="Revision">
    <w:name w:val="Revision"/>
    <w:hidden/>
    <w:uiPriority w:val="99"/>
    <w:semiHidden/>
    <w:rsid w:val="00601A60"/>
    <w:rPr>
      <w:sz w:val="24"/>
      <w:szCs w:val="24"/>
    </w:rPr>
  </w:style>
  <w:style w:type="paragraph" w:styleId="BalloonText">
    <w:name w:val="Balloon Text"/>
    <w:basedOn w:val="Normal"/>
    <w:link w:val="BalloonTextChar"/>
    <w:semiHidden/>
    <w:unhideWhenUsed/>
    <w:rsid w:val="00601A60"/>
    <w:rPr>
      <w:rFonts w:ascii="Segoe UI" w:hAnsi="Segoe UI" w:cs="Segoe UI"/>
      <w:sz w:val="18"/>
      <w:szCs w:val="18"/>
    </w:rPr>
  </w:style>
  <w:style w:type="character" w:customStyle="1" w:styleId="BalloonTextChar">
    <w:name w:val="Balloon Text Char"/>
    <w:basedOn w:val="DefaultParagraphFont"/>
    <w:link w:val="BalloonText"/>
    <w:semiHidden/>
    <w:rsid w:val="00601A60"/>
    <w:rPr>
      <w:rFonts w:ascii="Segoe UI" w:hAnsi="Segoe UI" w:cs="Segoe UI"/>
      <w:sz w:val="18"/>
      <w:szCs w:val="18"/>
    </w:rPr>
  </w:style>
  <w:style w:type="paragraph" w:styleId="Header">
    <w:name w:val="header"/>
    <w:basedOn w:val="Normal"/>
    <w:link w:val="HeaderChar"/>
    <w:unhideWhenUsed/>
    <w:rsid w:val="007B542A"/>
    <w:pPr>
      <w:tabs>
        <w:tab w:val="center" w:pos="4680"/>
        <w:tab w:val="right" w:pos="9360"/>
      </w:tabs>
    </w:pPr>
  </w:style>
  <w:style w:type="character" w:customStyle="1" w:styleId="HeaderChar">
    <w:name w:val="Header Char"/>
    <w:basedOn w:val="DefaultParagraphFont"/>
    <w:link w:val="Header"/>
    <w:rsid w:val="007B542A"/>
    <w:rPr>
      <w:sz w:val="24"/>
      <w:szCs w:val="24"/>
    </w:rPr>
  </w:style>
  <w:style w:type="paragraph" w:styleId="Footer">
    <w:name w:val="footer"/>
    <w:basedOn w:val="Normal"/>
    <w:link w:val="FooterChar"/>
    <w:unhideWhenUsed/>
    <w:rsid w:val="007B542A"/>
    <w:pPr>
      <w:tabs>
        <w:tab w:val="center" w:pos="4680"/>
        <w:tab w:val="right" w:pos="9360"/>
      </w:tabs>
    </w:pPr>
  </w:style>
  <w:style w:type="character" w:customStyle="1" w:styleId="FooterChar">
    <w:name w:val="Footer Char"/>
    <w:basedOn w:val="DefaultParagraphFont"/>
    <w:link w:val="Footer"/>
    <w:rsid w:val="007B54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E92BA2"/>
    <w:pPr>
      <w:ind w:left="720"/>
      <w:contextualSpacing/>
    </w:pPr>
  </w:style>
  <w:style w:type="character" w:styleId="CommentReference">
    <w:name w:val="annotation reference"/>
    <w:basedOn w:val="DefaultParagraphFont"/>
    <w:semiHidden/>
    <w:unhideWhenUsed/>
    <w:rsid w:val="00601A60"/>
    <w:rPr>
      <w:sz w:val="16"/>
      <w:szCs w:val="16"/>
    </w:rPr>
  </w:style>
  <w:style w:type="paragraph" w:styleId="CommentText">
    <w:name w:val="annotation text"/>
    <w:basedOn w:val="Normal"/>
    <w:link w:val="CommentTextChar"/>
    <w:semiHidden/>
    <w:unhideWhenUsed/>
    <w:rsid w:val="00601A60"/>
    <w:rPr>
      <w:sz w:val="20"/>
      <w:szCs w:val="20"/>
    </w:rPr>
  </w:style>
  <w:style w:type="character" w:customStyle="1" w:styleId="CommentTextChar">
    <w:name w:val="Comment Text Char"/>
    <w:basedOn w:val="DefaultParagraphFont"/>
    <w:link w:val="CommentText"/>
    <w:semiHidden/>
    <w:rsid w:val="00601A60"/>
  </w:style>
  <w:style w:type="paragraph" w:styleId="CommentSubject">
    <w:name w:val="annotation subject"/>
    <w:basedOn w:val="CommentText"/>
    <w:next w:val="CommentText"/>
    <w:link w:val="CommentSubjectChar"/>
    <w:semiHidden/>
    <w:unhideWhenUsed/>
    <w:rsid w:val="00601A60"/>
    <w:rPr>
      <w:b/>
      <w:bCs/>
    </w:rPr>
  </w:style>
  <w:style w:type="character" w:customStyle="1" w:styleId="CommentSubjectChar">
    <w:name w:val="Comment Subject Char"/>
    <w:basedOn w:val="CommentTextChar"/>
    <w:link w:val="CommentSubject"/>
    <w:semiHidden/>
    <w:rsid w:val="00601A60"/>
    <w:rPr>
      <w:b/>
      <w:bCs/>
    </w:rPr>
  </w:style>
  <w:style w:type="paragraph" w:styleId="Revision">
    <w:name w:val="Revision"/>
    <w:hidden/>
    <w:uiPriority w:val="99"/>
    <w:semiHidden/>
    <w:rsid w:val="00601A60"/>
    <w:rPr>
      <w:sz w:val="24"/>
      <w:szCs w:val="24"/>
    </w:rPr>
  </w:style>
  <w:style w:type="paragraph" w:styleId="BalloonText">
    <w:name w:val="Balloon Text"/>
    <w:basedOn w:val="Normal"/>
    <w:link w:val="BalloonTextChar"/>
    <w:semiHidden/>
    <w:unhideWhenUsed/>
    <w:rsid w:val="00601A60"/>
    <w:rPr>
      <w:rFonts w:ascii="Segoe UI" w:hAnsi="Segoe UI" w:cs="Segoe UI"/>
      <w:sz w:val="18"/>
      <w:szCs w:val="18"/>
    </w:rPr>
  </w:style>
  <w:style w:type="character" w:customStyle="1" w:styleId="BalloonTextChar">
    <w:name w:val="Balloon Text Char"/>
    <w:basedOn w:val="DefaultParagraphFont"/>
    <w:link w:val="BalloonText"/>
    <w:semiHidden/>
    <w:rsid w:val="00601A60"/>
    <w:rPr>
      <w:rFonts w:ascii="Segoe UI" w:hAnsi="Segoe UI" w:cs="Segoe UI"/>
      <w:sz w:val="18"/>
      <w:szCs w:val="18"/>
    </w:rPr>
  </w:style>
  <w:style w:type="paragraph" w:styleId="Header">
    <w:name w:val="header"/>
    <w:basedOn w:val="Normal"/>
    <w:link w:val="HeaderChar"/>
    <w:unhideWhenUsed/>
    <w:rsid w:val="007B542A"/>
    <w:pPr>
      <w:tabs>
        <w:tab w:val="center" w:pos="4680"/>
        <w:tab w:val="right" w:pos="9360"/>
      </w:tabs>
    </w:pPr>
  </w:style>
  <w:style w:type="character" w:customStyle="1" w:styleId="HeaderChar">
    <w:name w:val="Header Char"/>
    <w:basedOn w:val="DefaultParagraphFont"/>
    <w:link w:val="Header"/>
    <w:rsid w:val="007B542A"/>
    <w:rPr>
      <w:sz w:val="24"/>
      <w:szCs w:val="24"/>
    </w:rPr>
  </w:style>
  <w:style w:type="paragraph" w:styleId="Footer">
    <w:name w:val="footer"/>
    <w:basedOn w:val="Normal"/>
    <w:link w:val="FooterChar"/>
    <w:unhideWhenUsed/>
    <w:rsid w:val="007B542A"/>
    <w:pPr>
      <w:tabs>
        <w:tab w:val="center" w:pos="4680"/>
        <w:tab w:val="right" w:pos="9360"/>
      </w:tabs>
    </w:pPr>
  </w:style>
  <w:style w:type="character" w:customStyle="1" w:styleId="FooterChar">
    <w:name w:val="Footer Char"/>
    <w:basedOn w:val="DefaultParagraphFont"/>
    <w:link w:val="Footer"/>
    <w:rsid w:val="007B5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20298625">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incentiveau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5348</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2015-08-06T16:28:00Z</dcterms:created>
  <dcterms:modified xsi:type="dcterms:W3CDTF">2015-08-06T16:28:00Z</dcterms:modified>
  <cp:category> </cp:category>
  <cp:contentStatus> </cp:contentStatus>
</cp:coreProperties>
</file>