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53A4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99A24F8" w14:textId="77777777" w:rsidR="00921803" w:rsidRDefault="00921803" w:rsidP="00921803">
      <w:pPr>
        <w:pStyle w:val="StyleBoldCentered"/>
      </w:pPr>
      <w:r>
        <w:t>F</w:t>
      </w:r>
      <w:r>
        <w:rPr>
          <w:caps w:val="0"/>
        </w:rPr>
        <w:t>ederal Communications Commission</w:t>
      </w:r>
    </w:p>
    <w:p w14:paraId="7988E9C6" w14:textId="77777777" w:rsidR="004C2EE3" w:rsidRDefault="00810B6F" w:rsidP="00096D8C">
      <w:pPr>
        <w:pStyle w:val="StyleBoldCentered"/>
      </w:pPr>
      <w:r>
        <w:rPr>
          <w:caps w:val="0"/>
        </w:rPr>
        <w:t>Washington, D.C. 20554</w:t>
      </w:r>
    </w:p>
    <w:p w14:paraId="147D4D2A" w14:textId="77777777" w:rsidR="004C2EE3" w:rsidRDefault="004C2EE3" w:rsidP="0070224F"/>
    <w:p w14:paraId="2605FE08"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3D825E46" w14:textId="77777777">
        <w:tc>
          <w:tcPr>
            <w:tcW w:w="4698" w:type="dxa"/>
          </w:tcPr>
          <w:p w14:paraId="4EEF2E1B" w14:textId="77777777" w:rsidR="004C2EE3" w:rsidRDefault="004C2EE3">
            <w:pPr>
              <w:tabs>
                <w:tab w:val="center" w:pos="4680"/>
              </w:tabs>
              <w:suppressAutoHyphens/>
              <w:rPr>
                <w:spacing w:val="-2"/>
              </w:rPr>
            </w:pPr>
            <w:r>
              <w:rPr>
                <w:spacing w:val="-2"/>
              </w:rPr>
              <w:t>In the Matter of</w:t>
            </w:r>
          </w:p>
          <w:p w14:paraId="48C89A4C" w14:textId="77777777" w:rsidR="004C2EE3" w:rsidRDefault="004C2EE3">
            <w:pPr>
              <w:tabs>
                <w:tab w:val="center" w:pos="4680"/>
              </w:tabs>
              <w:suppressAutoHyphens/>
              <w:rPr>
                <w:spacing w:val="-2"/>
              </w:rPr>
            </w:pPr>
          </w:p>
          <w:p w14:paraId="52D4434E" w14:textId="77777777" w:rsidR="00B1076F" w:rsidRPr="007A6FE3" w:rsidRDefault="00B1076F" w:rsidP="00B1076F">
            <w:pPr>
              <w:tabs>
                <w:tab w:val="center" w:pos="4680"/>
              </w:tabs>
              <w:suppressAutoHyphens/>
              <w:rPr>
                <w:spacing w:val="-2"/>
              </w:rPr>
            </w:pPr>
            <w:r w:rsidRPr="007A6FE3">
              <w:rPr>
                <w:spacing w:val="-2"/>
              </w:rPr>
              <w:t>Technology Transitions</w:t>
            </w:r>
          </w:p>
          <w:p w14:paraId="3426DE2E" w14:textId="77777777" w:rsidR="00B1076F" w:rsidRPr="007A6FE3" w:rsidRDefault="00B1076F" w:rsidP="00B1076F">
            <w:pPr>
              <w:rPr>
                <w:snapToGrid/>
                <w:kern w:val="0"/>
                <w:szCs w:val="22"/>
              </w:rPr>
            </w:pPr>
          </w:p>
          <w:p w14:paraId="52265231" w14:textId="5A99C9B2" w:rsidR="00B1076F" w:rsidRPr="007A6FE3" w:rsidRDefault="00B1076F" w:rsidP="00B1076F">
            <w:pPr>
              <w:rPr>
                <w:snapToGrid/>
                <w:kern w:val="0"/>
                <w:szCs w:val="22"/>
              </w:rPr>
            </w:pPr>
            <w:r w:rsidRPr="007A6FE3">
              <w:rPr>
                <w:snapToGrid/>
                <w:kern w:val="0"/>
                <w:szCs w:val="22"/>
              </w:rPr>
              <w:t xml:space="preserve">Policies </w:t>
            </w:r>
            <w:r w:rsidR="00B73683">
              <w:rPr>
                <w:snapToGrid/>
                <w:kern w:val="0"/>
                <w:szCs w:val="22"/>
              </w:rPr>
              <w:t>and Rules Governing Retirement o</w:t>
            </w:r>
            <w:r w:rsidRPr="007A6FE3">
              <w:rPr>
                <w:snapToGrid/>
                <w:kern w:val="0"/>
                <w:szCs w:val="22"/>
              </w:rPr>
              <w:t>f Copper Loops by Incumbent Local Exchange Carriers</w:t>
            </w:r>
          </w:p>
          <w:p w14:paraId="232C0695" w14:textId="77777777" w:rsidR="00B1076F" w:rsidRPr="007A6FE3" w:rsidRDefault="00B1076F" w:rsidP="00B1076F">
            <w:pPr>
              <w:rPr>
                <w:snapToGrid/>
                <w:kern w:val="0"/>
                <w:szCs w:val="22"/>
              </w:rPr>
            </w:pPr>
          </w:p>
          <w:p w14:paraId="6B05415E" w14:textId="77777777" w:rsidR="00B1076F" w:rsidRDefault="00B1076F" w:rsidP="00B1076F">
            <w:pPr>
              <w:rPr>
                <w:snapToGrid/>
                <w:kern w:val="0"/>
                <w:szCs w:val="22"/>
              </w:rPr>
            </w:pPr>
            <w:r w:rsidRPr="007A6FE3">
              <w:rPr>
                <w:snapToGrid/>
                <w:kern w:val="0"/>
                <w:szCs w:val="22"/>
              </w:rPr>
              <w:t>Special Access for Price Cap Local Exchange Carriers</w:t>
            </w:r>
          </w:p>
          <w:p w14:paraId="43A998AD" w14:textId="77777777" w:rsidR="00B1076F" w:rsidRDefault="00B1076F" w:rsidP="00B1076F">
            <w:pPr>
              <w:rPr>
                <w:snapToGrid/>
                <w:kern w:val="0"/>
                <w:szCs w:val="22"/>
              </w:rPr>
            </w:pPr>
          </w:p>
          <w:p w14:paraId="5C53037B" w14:textId="77777777" w:rsidR="00B1076F" w:rsidRPr="007A6FE3" w:rsidRDefault="00B1076F" w:rsidP="00B1076F">
            <w:pPr>
              <w:rPr>
                <w:snapToGrid/>
                <w:kern w:val="0"/>
                <w:szCs w:val="22"/>
              </w:rPr>
            </w:pPr>
            <w:r>
              <w:rPr>
                <w:snapToGrid/>
                <w:kern w:val="0"/>
                <w:szCs w:val="22"/>
              </w:rPr>
              <w:t>AT&amp;T Corporation Petition for Rulemaking to Reform Regulation of Incumbent Local Exchange Carrier Rates for Interstate Special Access Services</w:t>
            </w:r>
          </w:p>
          <w:p w14:paraId="77B96F54" w14:textId="77777777" w:rsidR="004C2EE3" w:rsidRPr="007115F7" w:rsidRDefault="004C2EE3" w:rsidP="007115F7">
            <w:pPr>
              <w:tabs>
                <w:tab w:val="center" w:pos="4680"/>
              </w:tabs>
              <w:suppressAutoHyphens/>
              <w:rPr>
                <w:spacing w:val="-2"/>
              </w:rPr>
            </w:pPr>
          </w:p>
        </w:tc>
        <w:tc>
          <w:tcPr>
            <w:tcW w:w="630" w:type="dxa"/>
          </w:tcPr>
          <w:p w14:paraId="1FF0EE11" w14:textId="77777777" w:rsidR="004C2EE3" w:rsidRDefault="004C2EE3">
            <w:pPr>
              <w:tabs>
                <w:tab w:val="center" w:pos="4680"/>
              </w:tabs>
              <w:suppressAutoHyphens/>
              <w:rPr>
                <w:b/>
                <w:spacing w:val="-2"/>
              </w:rPr>
            </w:pPr>
            <w:r>
              <w:rPr>
                <w:b/>
                <w:spacing w:val="-2"/>
              </w:rPr>
              <w:t>)</w:t>
            </w:r>
          </w:p>
          <w:p w14:paraId="78E9C216" w14:textId="77777777" w:rsidR="004C2EE3" w:rsidRDefault="004C2EE3">
            <w:pPr>
              <w:tabs>
                <w:tab w:val="center" w:pos="4680"/>
              </w:tabs>
              <w:suppressAutoHyphens/>
              <w:rPr>
                <w:b/>
                <w:spacing w:val="-2"/>
              </w:rPr>
            </w:pPr>
            <w:r>
              <w:rPr>
                <w:b/>
                <w:spacing w:val="-2"/>
              </w:rPr>
              <w:t>)</w:t>
            </w:r>
          </w:p>
          <w:p w14:paraId="3AC7C3DF" w14:textId="77777777" w:rsidR="004C2EE3" w:rsidRDefault="004C2EE3">
            <w:pPr>
              <w:tabs>
                <w:tab w:val="center" w:pos="4680"/>
              </w:tabs>
              <w:suppressAutoHyphens/>
              <w:rPr>
                <w:b/>
                <w:spacing w:val="-2"/>
              </w:rPr>
            </w:pPr>
            <w:r>
              <w:rPr>
                <w:b/>
                <w:spacing w:val="-2"/>
              </w:rPr>
              <w:t>)</w:t>
            </w:r>
          </w:p>
          <w:p w14:paraId="1CB221D9" w14:textId="77777777" w:rsidR="004C2EE3" w:rsidRDefault="004C2EE3">
            <w:pPr>
              <w:tabs>
                <w:tab w:val="center" w:pos="4680"/>
              </w:tabs>
              <w:suppressAutoHyphens/>
              <w:rPr>
                <w:b/>
                <w:spacing w:val="-2"/>
              </w:rPr>
            </w:pPr>
            <w:r>
              <w:rPr>
                <w:b/>
                <w:spacing w:val="-2"/>
              </w:rPr>
              <w:t>)</w:t>
            </w:r>
          </w:p>
          <w:p w14:paraId="78C94185" w14:textId="77777777" w:rsidR="004C2EE3" w:rsidRDefault="004C2EE3">
            <w:pPr>
              <w:tabs>
                <w:tab w:val="center" w:pos="4680"/>
              </w:tabs>
              <w:suppressAutoHyphens/>
              <w:rPr>
                <w:b/>
                <w:spacing w:val="-2"/>
              </w:rPr>
            </w:pPr>
            <w:r>
              <w:rPr>
                <w:b/>
                <w:spacing w:val="-2"/>
              </w:rPr>
              <w:t>)</w:t>
            </w:r>
          </w:p>
          <w:p w14:paraId="5BE3744A" w14:textId="77777777" w:rsidR="004C2EE3" w:rsidRDefault="004C2EE3">
            <w:pPr>
              <w:tabs>
                <w:tab w:val="center" w:pos="4680"/>
              </w:tabs>
              <w:suppressAutoHyphens/>
              <w:rPr>
                <w:b/>
                <w:spacing w:val="-2"/>
              </w:rPr>
            </w:pPr>
            <w:r>
              <w:rPr>
                <w:b/>
                <w:spacing w:val="-2"/>
              </w:rPr>
              <w:t>)</w:t>
            </w:r>
          </w:p>
          <w:p w14:paraId="3FF12728" w14:textId="77777777" w:rsidR="004C2EE3" w:rsidRDefault="004C2EE3">
            <w:pPr>
              <w:tabs>
                <w:tab w:val="center" w:pos="4680"/>
              </w:tabs>
              <w:suppressAutoHyphens/>
              <w:rPr>
                <w:b/>
                <w:spacing w:val="-2"/>
              </w:rPr>
            </w:pPr>
            <w:r>
              <w:rPr>
                <w:b/>
                <w:spacing w:val="-2"/>
              </w:rPr>
              <w:t>)</w:t>
            </w:r>
          </w:p>
          <w:p w14:paraId="2177EF11" w14:textId="77777777" w:rsidR="004C2EE3" w:rsidRDefault="004C2EE3">
            <w:pPr>
              <w:tabs>
                <w:tab w:val="center" w:pos="4680"/>
              </w:tabs>
              <w:suppressAutoHyphens/>
              <w:rPr>
                <w:b/>
                <w:spacing w:val="-2"/>
              </w:rPr>
            </w:pPr>
            <w:r>
              <w:rPr>
                <w:b/>
                <w:spacing w:val="-2"/>
              </w:rPr>
              <w:t>)</w:t>
            </w:r>
          </w:p>
          <w:p w14:paraId="111B283C" w14:textId="77777777" w:rsidR="004C2EE3" w:rsidRDefault="004C2EE3">
            <w:pPr>
              <w:tabs>
                <w:tab w:val="center" w:pos="4680"/>
              </w:tabs>
              <w:suppressAutoHyphens/>
              <w:rPr>
                <w:b/>
                <w:spacing w:val="-2"/>
              </w:rPr>
            </w:pPr>
            <w:r>
              <w:rPr>
                <w:b/>
                <w:spacing w:val="-2"/>
              </w:rPr>
              <w:t>)</w:t>
            </w:r>
          </w:p>
          <w:p w14:paraId="59E33D18" w14:textId="77777777" w:rsidR="00B1076F" w:rsidRDefault="00B1076F">
            <w:pPr>
              <w:tabs>
                <w:tab w:val="center" w:pos="4680"/>
              </w:tabs>
              <w:suppressAutoHyphens/>
              <w:rPr>
                <w:b/>
                <w:spacing w:val="-2"/>
              </w:rPr>
            </w:pPr>
            <w:r>
              <w:rPr>
                <w:b/>
                <w:spacing w:val="-2"/>
              </w:rPr>
              <w:t>)</w:t>
            </w:r>
          </w:p>
          <w:p w14:paraId="7DAB9D81" w14:textId="77777777" w:rsidR="00B1076F" w:rsidRDefault="00B1076F">
            <w:pPr>
              <w:tabs>
                <w:tab w:val="center" w:pos="4680"/>
              </w:tabs>
              <w:suppressAutoHyphens/>
              <w:rPr>
                <w:b/>
                <w:spacing w:val="-2"/>
              </w:rPr>
            </w:pPr>
            <w:r>
              <w:rPr>
                <w:b/>
                <w:spacing w:val="-2"/>
              </w:rPr>
              <w:t>)</w:t>
            </w:r>
          </w:p>
          <w:p w14:paraId="3BC64B42" w14:textId="77777777" w:rsidR="00B1076F" w:rsidRDefault="00B1076F">
            <w:pPr>
              <w:tabs>
                <w:tab w:val="center" w:pos="4680"/>
              </w:tabs>
              <w:suppressAutoHyphens/>
              <w:rPr>
                <w:b/>
                <w:spacing w:val="-2"/>
              </w:rPr>
            </w:pPr>
            <w:r>
              <w:rPr>
                <w:b/>
                <w:spacing w:val="-2"/>
              </w:rPr>
              <w:t>)</w:t>
            </w:r>
          </w:p>
          <w:p w14:paraId="4142044F" w14:textId="77777777" w:rsidR="00B1076F" w:rsidRDefault="00B1076F">
            <w:pPr>
              <w:tabs>
                <w:tab w:val="center" w:pos="4680"/>
              </w:tabs>
              <w:suppressAutoHyphens/>
              <w:rPr>
                <w:b/>
                <w:spacing w:val="-2"/>
              </w:rPr>
            </w:pPr>
            <w:r>
              <w:rPr>
                <w:b/>
                <w:spacing w:val="-2"/>
              </w:rPr>
              <w:t>)</w:t>
            </w:r>
          </w:p>
          <w:p w14:paraId="1CAC22AB" w14:textId="77777777" w:rsidR="00B1076F" w:rsidRDefault="00B1076F">
            <w:pPr>
              <w:tabs>
                <w:tab w:val="center" w:pos="4680"/>
              </w:tabs>
              <w:suppressAutoHyphens/>
              <w:rPr>
                <w:b/>
                <w:spacing w:val="-2"/>
              </w:rPr>
            </w:pPr>
            <w:r>
              <w:rPr>
                <w:b/>
                <w:spacing w:val="-2"/>
              </w:rPr>
              <w:t>)</w:t>
            </w:r>
          </w:p>
          <w:p w14:paraId="12BAB70A" w14:textId="77777777" w:rsidR="00B1076F" w:rsidRDefault="00B1076F">
            <w:pPr>
              <w:tabs>
                <w:tab w:val="center" w:pos="4680"/>
              </w:tabs>
              <w:suppressAutoHyphens/>
              <w:rPr>
                <w:b/>
                <w:spacing w:val="-2"/>
              </w:rPr>
            </w:pPr>
            <w:r>
              <w:rPr>
                <w:b/>
                <w:spacing w:val="-2"/>
              </w:rPr>
              <w:t>)</w:t>
            </w:r>
          </w:p>
          <w:p w14:paraId="200CC7F6" w14:textId="77777777" w:rsidR="00B1076F" w:rsidRDefault="00B1076F">
            <w:pPr>
              <w:tabs>
                <w:tab w:val="center" w:pos="4680"/>
              </w:tabs>
              <w:suppressAutoHyphens/>
              <w:rPr>
                <w:b/>
                <w:spacing w:val="-2"/>
              </w:rPr>
            </w:pPr>
            <w:r>
              <w:rPr>
                <w:b/>
                <w:spacing w:val="-2"/>
              </w:rPr>
              <w:t>)</w:t>
            </w:r>
          </w:p>
          <w:p w14:paraId="6C1CA122" w14:textId="7D383ADB" w:rsidR="00B1076F" w:rsidRPr="00B73683" w:rsidRDefault="00B1076F">
            <w:pPr>
              <w:tabs>
                <w:tab w:val="center" w:pos="4680"/>
              </w:tabs>
              <w:suppressAutoHyphens/>
              <w:rPr>
                <w:b/>
                <w:spacing w:val="-2"/>
              </w:rPr>
            </w:pPr>
            <w:r>
              <w:rPr>
                <w:b/>
                <w:spacing w:val="-2"/>
              </w:rPr>
              <w:t>)</w:t>
            </w:r>
          </w:p>
        </w:tc>
        <w:tc>
          <w:tcPr>
            <w:tcW w:w="4248" w:type="dxa"/>
          </w:tcPr>
          <w:p w14:paraId="215E981B" w14:textId="77777777" w:rsidR="004C2EE3" w:rsidRDefault="004C2EE3">
            <w:pPr>
              <w:tabs>
                <w:tab w:val="center" w:pos="4680"/>
              </w:tabs>
              <w:suppressAutoHyphens/>
              <w:rPr>
                <w:spacing w:val="-2"/>
              </w:rPr>
            </w:pPr>
          </w:p>
          <w:p w14:paraId="44FDF5F0" w14:textId="77777777" w:rsidR="004C2EE3" w:rsidRDefault="004C2EE3">
            <w:pPr>
              <w:pStyle w:val="TOAHeading"/>
              <w:tabs>
                <w:tab w:val="clear" w:pos="9360"/>
                <w:tab w:val="center" w:pos="4680"/>
              </w:tabs>
              <w:rPr>
                <w:spacing w:val="-2"/>
              </w:rPr>
            </w:pPr>
          </w:p>
          <w:p w14:paraId="5DD0BF85" w14:textId="77777777" w:rsidR="00B1076F" w:rsidRPr="007A6FE3" w:rsidRDefault="00B1076F" w:rsidP="00B1076F">
            <w:pPr>
              <w:tabs>
                <w:tab w:val="center" w:pos="4680"/>
              </w:tabs>
              <w:suppressAutoHyphens/>
              <w:rPr>
                <w:spacing w:val="-2"/>
              </w:rPr>
            </w:pPr>
            <w:r w:rsidRPr="007A6FE3">
              <w:rPr>
                <w:spacing w:val="-2"/>
              </w:rPr>
              <w:t>GN Docket No. 13-5</w:t>
            </w:r>
          </w:p>
          <w:p w14:paraId="2C502829" w14:textId="77777777" w:rsidR="00B1076F" w:rsidRPr="007A6FE3" w:rsidRDefault="00B1076F" w:rsidP="00B1076F">
            <w:pPr>
              <w:tabs>
                <w:tab w:val="center" w:pos="4680"/>
              </w:tabs>
              <w:suppressAutoHyphens/>
              <w:rPr>
                <w:snapToGrid/>
                <w:kern w:val="0"/>
                <w:szCs w:val="22"/>
              </w:rPr>
            </w:pPr>
          </w:p>
          <w:p w14:paraId="1A217461" w14:textId="77777777" w:rsidR="00B1076F" w:rsidRPr="007A6FE3" w:rsidRDefault="00B1076F" w:rsidP="00B1076F">
            <w:pPr>
              <w:tabs>
                <w:tab w:val="center" w:pos="4680"/>
              </w:tabs>
              <w:suppressAutoHyphens/>
              <w:rPr>
                <w:spacing w:val="-2"/>
              </w:rPr>
            </w:pPr>
            <w:r w:rsidRPr="007A6FE3">
              <w:rPr>
                <w:snapToGrid/>
                <w:kern w:val="0"/>
                <w:szCs w:val="22"/>
              </w:rPr>
              <w:t>RM-11358</w:t>
            </w:r>
          </w:p>
          <w:p w14:paraId="107A6BA8" w14:textId="77777777" w:rsidR="00B1076F" w:rsidRPr="007A6FE3" w:rsidRDefault="00B1076F" w:rsidP="00B1076F">
            <w:pPr>
              <w:tabs>
                <w:tab w:val="center" w:pos="4680"/>
              </w:tabs>
              <w:suppressAutoHyphens/>
              <w:rPr>
                <w:spacing w:val="-2"/>
              </w:rPr>
            </w:pPr>
          </w:p>
          <w:p w14:paraId="4380CB45" w14:textId="77777777" w:rsidR="00B1076F" w:rsidRPr="007A6FE3" w:rsidRDefault="00B1076F" w:rsidP="00B1076F">
            <w:pPr>
              <w:tabs>
                <w:tab w:val="center" w:pos="4680"/>
              </w:tabs>
              <w:suppressAutoHyphens/>
              <w:rPr>
                <w:spacing w:val="-2"/>
              </w:rPr>
            </w:pPr>
          </w:p>
          <w:p w14:paraId="3F02FB98" w14:textId="77777777" w:rsidR="00B1076F" w:rsidRPr="007A6FE3" w:rsidRDefault="00B1076F" w:rsidP="00B1076F">
            <w:pPr>
              <w:tabs>
                <w:tab w:val="center" w:pos="4680"/>
              </w:tabs>
              <w:suppressAutoHyphens/>
              <w:rPr>
                <w:spacing w:val="-2"/>
              </w:rPr>
            </w:pPr>
          </w:p>
          <w:p w14:paraId="707AD4C7" w14:textId="77777777" w:rsidR="00B1076F" w:rsidRDefault="00B1076F" w:rsidP="00B1076F">
            <w:pPr>
              <w:tabs>
                <w:tab w:val="center" w:pos="4680"/>
              </w:tabs>
              <w:suppressAutoHyphens/>
              <w:rPr>
                <w:snapToGrid/>
                <w:kern w:val="0"/>
                <w:szCs w:val="22"/>
              </w:rPr>
            </w:pPr>
            <w:r w:rsidRPr="007A6FE3">
              <w:rPr>
                <w:snapToGrid/>
                <w:kern w:val="0"/>
                <w:szCs w:val="22"/>
              </w:rPr>
              <w:t>WC Docket No. 05-25</w:t>
            </w:r>
          </w:p>
          <w:p w14:paraId="3341B8FA" w14:textId="77777777" w:rsidR="00B1076F" w:rsidRDefault="00B1076F" w:rsidP="00B1076F">
            <w:pPr>
              <w:tabs>
                <w:tab w:val="center" w:pos="4680"/>
              </w:tabs>
              <w:suppressAutoHyphens/>
              <w:rPr>
                <w:snapToGrid/>
                <w:kern w:val="0"/>
                <w:szCs w:val="22"/>
              </w:rPr>
            </w:pPr>
          </w:p>
          <w:p w14:paraId="7B620AD6" w14:textId="77777777" w:rsidR="00B1076F" w:rsidRPr="007A6FE3" w:rsidRDefault="00B1076F" w:rsidP="00B1076F">
            <w:pPr>
              <w:tabs>
                <w:tab w:val="center" w:pos="4680"/>
              </w:tabs>
              <w:suppressAutoHyphens/>
              <w:rPr>
                <w:snapToGrid/>
                <w:kern w:val="0"/>
                <w:szCs w:val="22"/>
              </w:rPr>
            </w:pPr>
          </w:p>
          <w:p w14:paraId="7B46A089" w14:textId="77777777" w:rsidR="00B1076F" w:rsidRPr="007A6FE3" w:rsidRDefault="00B1076F" w:rsidP="00B1076F">
            <w:pPr>
              <w:tabs>
                <w:tab w:val="center" w:pos="4680"/>
              </w:tabs>
              <w:suppressAutoHyphens/>
              <w:rPr>
                <w:snapToGrid/>
                <w:kern w:val="0"/>
                <w:szCs w:val="22"/>
              </w:rPr>
            </w:pPr>
            <w:r w:rsidRPr="007A6FE3">
              <w:rPr>
                <w:snapToGrid/>
                <w:kern w:val="0"/>
                <w:szCs w:val="22"/>
              </w:rPr>
              <w:t>RM-10593</w:t>
            </w:r>
          </w:p>
          <w:p w14:paraId="5F899E14" w14:textId="77777777" w:rsidR="004C2EE3" w:rsidRDefault="004C2EE3">
            <w:pPr>
              <w:tabs>
                <w:tab w:val="center" w:pos="4680"/>
              </w:tabs>
              <w:suppressAutoHyphens/>
              <w:rPr>
                <w:spacing w:val="-2"/>
              </w:rPr>
            </w:pPr>
          </w:p>
        </w:tc>
      </w:tr>
    </w:tbl>
    <w:p w14:paraId="4D678AAE" w14:textId="77777777" w:rsidR="004C2EE3" w:rsidRDefault="004C2EE3" w:rsidP="0070224F"/>
    <w:p w14:paraId="18401A97" w14:textId="77777777" w:rsidR="00841AB1" w:rsidRDefault="00B1076F" w:rsidP="00F021FA">
      <w:pPr>
        <w:pStyle w:val="StyleBoldCentered"/>
      </w:pPr>
      <w:r>
        <w:t>ERRATUM</w:t>
      </w:r>
    </w:p>
    <w:p w14:paraId="6E48E37A" w14:textId="77777777" w:rsidR="004C2EE3" w:rsidRDefault="004C2EE3">
      <w:pPr>
        <w:tabs>
          <w:tab w:val="left" w:pos="-720"/>
        </w:tabs>
        <w:suppressAutoHyphens/>
        <w:spacing w:line="227" w:lineRule="auto"/>
        <w:rPr>
          <w:spacing w:val="-2"/>
        </w:rPr>
      </w:pPr>
    </w:p>
    <w:p w14:paraId="7D4BAA3D" w14:textId="38A67406" w:rsidR="004C2EE3" w:rsidRDefault="00822CE0" w:rsidP="00B73683">
      <w:pPr>
        <w:tabs>
          <w:tab w:val="right" w:pos="9360"/>
        </w:tabs>
        <w:suppressAutoHyphens/>
        <w:spacing w:line="227" w:lineRule="auto"/>
        <w:jc w:val="right"/>
        <w:rPr>
          <w:spacing w:val="-2"/>
        </w:rPr>
      </w:pPr>
      <w:r>
        <w:rPr>
          <w:b/>
          <w:spacing w:val="-2"/>
        </w:rPr>
        <w:t>Released</w:t>
      </w:r>
      <w:r w:rsidR="004C2EE3">
        <w:rPr>
          <w:b/>
          <w:spacing w:val="-2"/>
        </w:rPr>
        <w:t>:</w:t>
      </w:r>
      <w:r>
        <w:rPr>
          <w:b/>
          <w:spacing w:val="-2"/>
        </w:rPr>
        <w:t xml:space="preserve"> </w:t>
      </w:r>
      <w:r w:rsidR="004C2EE3">
        <w:rPr>
          <w:b/>
          <w:spacing w:val="-2"/>
        </w:rPr>
        <w:t xml:space="preserve"> </w:t>
      </w:r>
      <w:r w:rsidR="00ED16C5">
        <w:rPr>
          <w:b/>
          <w:spacing w:val="-2"/>
        </w:rPr>
        <w:t>Septembe</w:t>
      </w:r>
      <w:r w:rsidR="005A7BD2">
        <w:rPr>
          <w:b/>
          <w:spacing w:val="-2"/>
        </w:rPr>
        <w:t xml:space="preserve">r </w:t>
      </w:r>
      <w:r w:rsidR="00221EF1">
        <w:rPr>
          <w:b/>
          <w:spacing w:val="-2"/>
        </w:rPr>
        <w:t>25</w:t>
      </w:r>
      <w:r w:rsidR="00CF0978">
        <w:rPr>
          <w:b/>
          <w:spacing w:val="-2"/>
        </w:rPr>
        <w:t>, 201</w:t>
      </w:r>
      <w:r w:rsidR="005A7BD2">
        <w:rPr>
          <w:b/>
          <w:spacing w:val="-2"/>
        </w:rPr>
        <w:t>5</w:t>
      </w:r>
    </w:p>
    <w:p w14:paraId="5ACEEE27" w14:textId="77777777" w:rsidR="00822CE0" w:rsidRDefault="00822CE0"/>
    <w:p w14:paraId="4F934215" w14:textId="77777777" w:rsidR="004C2EE3" w:rsidRDefault="004C2EE3">
      <w:pPr>
        <w:rPr>
          <w:spacing w:val="-2"/>
        </w:rPr>
      </w:pPr>
      <w:r>
        <w:t xml:space="preserve">By </w:t>
      </w:r>
      <w:r w:rsidR="004E4A22">
        <w:t>the</w:t>
      </w:r>
      <w:r w:rsidR="002A2D2E">
        <w:t xml:space="preserve"> </w:t>
      </w:r>
      <w:r w:rsidR="00B1076F">
        <w:t>Chief, Wireline Competition Bureau</w:t>
      </w:r>
      <w:r>
        <w:rPr>
          <w:spacing w:val="-2"/>
        </w:rPr>
        <w:t>:</w:t>
      </w:r>
    </w:p>
    <w:p w14:paraId="5F5AF964" w14:textId="77777777" w:rsidR="00822CE0" w:rsidRDefault="00822CE0">
      <w:pPr>
        <w:rPr>
          <w:spacing w:val="-2"/>
        </w:rPr>
      </w:pPr>
    </w:p>
    <w:p w14:paraId="401E6265" w14:textId="6587F27A" w:rsidR="002A2681" w:rsidRDefault="00B1076F" w:rsidP="00B73683">
      <w:pPr>
        <w:pStyle w:val="ParaNum"/>
        <w:numPr>
          <w:ilvl w:val="0"/>
          <w:numId w:val="0"/>
        </w:numPr>
        <w:tabs>
          <w:tab w:val="clear" w:pos="1440"/>
          <w:tab w:val="num" w:pos="720"/>
        </w:tabs>
      </w:pPr>
      <w:r>
        <w:tab/>
        <w:t xml:space="preserve">On </w:t>
      </w:r>
      <w:r w:rsidR="005A7BD2">
        <w:t>August 6</w:t>
      </w:r>
      <w:r>
        <w:t>, 201</w:t>
      </w:r>
      <w:r w:rsidR="005A7BD2">
        <w:t>5</w:t>
      </w:r>
      <w:r>
        <w:t xml:space="preserve">, the Commission released a </w:t>
      </w:r>
      <w:r w:rsidR="005A7BD2">
        <w:t xml:space="preserve">Report and Order, Order on Reconsideration, and Further </w:t>
      </w:r>
      <w:r>
        <w:t xml:space="preserve">Notice of Proposed </w:t>
      </w:r>
      <w:r w:rsidR="002A2681">
        <w:t>(</w:t>
      </w:r>
      <w:r w:rsidR="005A7BD2">
        <w:rPr>
          <w:i/>
        </w:rPr>
        <w:t>Report and Order</w:t>
      </w:r>
      <w:r w:rsidR="002A2681">
        <w:t>)</w:t>
      </w:r>
      <w:r>
        <w:t>, FCC 1</w:t>
      </w:r>
      <w:r w:rsidR="005A7BD2">
        <w:t>5-97</w:t>
      </w:r>
      <w:r>
        <w:t>, in the above-captioned p</w:t>
      </w:r>
      <w:r w:rsidR="0073071E">
        <w:t>roceeding</w:t>
      </w:r>
      <w:r w:rsidR="00932541">
        <w:t>s</w:t>
      </w:r>
      <w:r w:rsidR="0073071E">
        <w:t xml:space="preserve">.  This Erratum </w:t>
      </w:r>
      <w:r w:rsidR="00E34FA7">
        <w:t xml:space="preserve">amends </w:t>
      </w:r>
      <w:r w:rsidR="002A2681">
        <w:t xml:space="preserve">the </w:t>
      </w:r>
      <w:r w:rsidR="005A7BD2">
        <w:rPr>
          <w:i/>
        </w:rPr>
        <w:t>Report and Order</w:t>
      </w:r>
      <w:r w:rsidR="00DF0553">
        <w:rPr>
          <w:i/>
        </w:rPr>
        <w:t xml:space="preserve"> </w:t>
      </w:r>
      <w:r w:rsidR="002A2681">
        <w:t xml:space="preserve">as </w:t>
      </w:r>
      <w:r w:rsidR="005F2F6A">
        <w:t>indicated below</w:t>
      </w:r>
      <w:r w:rsidR="002A2681">
        <w:t>:</w:t>
      </w:r>
    </w:p>
    <w:p w14:paraId="68B19A33" w14:textId="2061B884" w:rsidR="006A50BD" w:rsidRDefault="005F2F6A" w:rsidP="00B73683">
      <w:pPr>
        <w:pStyle w:val="ParaNum"/>
        <w:tabs>
          <w:tab w:val="clear" w:pos="990"/>
          <w:tab w:val="clear" w:pos="1440"/>
          <w:tab w:val="num" w:pos="1080"/>
        </w:tabs>
      </w:pPr>
      <w:r>
        <w:t>In t</w:t>
      </w:r>
      <w:r w:rsidR="006A50BD">
        <w:t>he Table of Contents</w:t>
      </w:r>
      <w:r>
        <w:t xml:space="preserve">, </w:t>
      </w:r>
      <w:r w:rsidR="00530E6F">
        <w:t xml:space="preserve">for headings “b” through “VI,” </w:t>
      </w:r>
      <w:r w:rsidR="00B25BA9">
        <w:t>the</w:t>
      </w:r>
      <w:r>
        <w:t xml:space="preserve"> paragraph number</w:t>
      </w:r>
      <w:r w:rsidR="00B25BA9">
        <w:t>s</w:t>
      </w:r>
      <w:r>
        <w:t xml:space="preserve"> </w:t>
      </w:r>
      <w:r w:rsidR="00E34FA7">
        <w:t xml:space="preserve">are corrected </w:t>
      </w:r>
      <w:r w:rsidR="00B25BA9">
        <w:t>to read as follows</w:t>
      </w:r>
      <w:r w:rsidR="006A50BD">
        <w:t>:</w:t>
      </w:r>
    </w:p>
    <w:p w14:paraId="063DB511" w14:textId="049229E4" w:rsidR="006A50BD" w:rsidRDefault="00091ABC" w:rsidP="00B73683">
      <w:pPr>
        <w:pStyle w:val="ParaNum"/>
        <w:numPr>
          <w:ilvl w:val="0"/>
          <w:numId w:val="0"/>
        </w:numPr>
        <w:tabs>
          <w:tab w:val="clear" w:pos="1440"/>
          <w:tab w:val="num" w:pos="2790"/>
        </w:tabs>
        <w:spacing w:after="0"/>
        <w:rPr>
          <w:rFonts w:asciiTheme="minorHAnsi" w:eastAsiaTheme="minorEastAsia" w:hAnsiTheme="minorHAnsi" w:cstheme="minorBidi"/>
          <w:snapToGrid/>
          <w:kern w:val="0"/>
          <w:szCs w:val="22"/>
        </w:rPr>
      </w:pPr>
      <w:r>
        <w:tab/>
      </w:r>
      <w:r w:rsidR="00530E6F">
        <w:t>“</w:t>
      </w:r>
      <w:r w:rsidR="006A50BD">
        <w:t>b.</w:t>
      </w:r>
      <w:r w:rsidR="006A50BD">
        <w:rPr>
          <w:rFonts w:asciiTheme="minorHAnsi" w:eastAsiaTheme="minorEastAsia" w:hAnsiTheme="minorHAnsi" w:cstheme="minorBidi"/>
          <w:snapToGrid/>
          <w:kern w:val="0"/>
          <w:szCs w:val="22"/>
        </w:rPr>
        <w:tab/>
      </w:r>
      <w:r w:rsidR="006A50BD">
        <w:t>Definition of “Copper Retirement”</w:t>
      </w:r>
      <w:r w:rsidR="006A50BD">
        <w:tab/>
      </w:r>
      <w:r w:rsidR="006A50BD">
        <w:tab/>
      </w:r>
      <w:r w:rsidR="006A50BD">
        <w:tab/>
      </w:r>
      <w:r w:rsidR="00530E6F">
        <w:t xml:space="preserve">  </w:t>
      </w:r>
      <w:r w:rsidR="005B02D3">
        <w:t>79</w:t>
      </w:r>
    </w:p>
    <w:p w14:paraId="0858018E" w14:textId="77777777" w:rsidR="00091ABC" w:rsidRDefault="00091ABC" w:rsidP="00E34FA7">
      <w:pPr>
        <w:pStyle w:val="ParaNum"/>
        <w:numPr>
          <w:ilvl w:val="0"/>
          <w:numId w:val="0"/>
        </w:numPr>
        <w:tabs>
          <w:tab w:val="clear" w:pos="1440"/>
          <w:tab w:val="num" w:pos="720"/>
          <w:tab w:val="num" w:pos="2790"/>
        </w:tabs>
        <w:spacing w:after="0"/>
      </w:pPr>
      <w:r>
        <w:tab/>
      </w:r>
      <w:r>
        <w:tab/>
      </w:r>
      <w:r>
        <w:tab/>
      </w:r>
      <w:r w:rsidR="006A50BD">
        <w:t>c.</w:t>
      </w:r>
      <w:r w:rsidR="006A50BD">
        <w:rPr>
          <w:rFonts w:asciiTheme="minorHAnsi" w:eastAsiaTheme="minorEastAsia" w:hAnsiTheme="minorHAnsi" w:cstheme="minorBidi"/>
          <w:snapToGrid/>
          <w:kern w:val="0"/>
          <w:szCs w:val="22"/>
        </w:rPr>
        <w:tab/>
      </w:r>
      <w:r w:rsidR="006A50BD">
        <w:t xml:space="preserve">Sale of Copper Facilities That Would Otherwise </w:t>
      </w:r>
    </w:p>
    <w:p w14:paraId="334056CA" w14:textId="765DCF4A" w:rsidR="006A50BD" w:rsidRDefault="00091ABC" w:rsidP="00E34FA7">
      <w:pPr>
        <w:pStyle w:val="ParaNum"/>
        <w:numPr>
          <w:ilvl w:val="0"/>
          <w:numId w:val="0"/>
        </w:numPr>
        <w:tabs>
          <w:tab w:val="clear" w:pos="1440"/>
          <w:tab w:val="num" w:pos="720"/>
          <w:tab w:val="num" w:pos="2790"/>
        </w:tabs>
        <w:spacing w:after="0"/>
        <w:rPr>
          <w:rFonts w:asciiTheme="minorHAnsi" w:eastAsiaTheme="minorEastAsia" w:hAnsiTheme="minorHAnsi" w:cstheme="minorBidi"/>
          <w:snapToGrid/>
          <w:kern w:val="0"/>
          <w:szCs w:val="22"/>
        </w:rPr>
      </w:pPr>
      <w:r>
        <w:tab/>
      </w:r>
      <w:r>
        <w:tab/>
      </w:r>
      <w:r>
        <w:tab/>
      </w:r>
      <w:r>
        <w:tab/>
      </w:r>
      <w:r w:rsidR="006A50BD">
        <w:t>Be Retired</w:t>
      </w:r>
      <w:r w:rsidR="006A50BD">
        <w:tab/>
      </w:r>
      <w:r w:rsidR="006A50BD">
        <w:tab/>
      </w:r>
      <w:r>
        <w:tab/>
      </w:r>
      <w:r>
        <w:tab/>
      </w:r>
      <w:r>
        <w:tab/>
      </w:r>
      <w:r w:rsidR="006A50BD">
        <w:tab/>
      </w:r>
      <w:r w:rsidR="00530E6F">
        <w:t xml:space="preserve">  </w:t>
      </w:r>
      <w:r w:rsidR="005B02D3">
        <w:t>98</w:t>
      </w:r>
    </w:p>
    <w:p w14:paraId="464E51AF" w14:textId="77777777" w:rsidR="00091ABC" w:rsidRDefault="00091ABC" w:rsidP="00B73683">
      <w:pPr>
        <w:pStyle w:val="ParaNum"/>
        <w:numPr>
          <w:ilvl w:val="0"/>
          <w:numId w:val="0"/>
        </w:numPr>
        <w:tabs>
          <w:tab w:val="clear" w:pos="1440"/>
          <w:tab w:val="num" w:pos="2160"/>
        </w:tabs>
        <w:spacing w:after="0"/>
        <w:ind w:left="720" w:hanging="1440"/>
      </w:pPr>
      <w:r>
        <w:tab/>
      </w:r>
      <w:r>
        <w:tab/>
      </w:r>
      <w:r w:rsidR="006A50BD">
        <w:t>2.</w:t>
      </w:r>
      <w:r w:rsidR="006A50BD">
        <w:rPr>
          <w:rFonts w:asciiTheme="minorHAnsi" w:eastAsiaTheme="minorEastAsia" w:hAnsiTheme="minorHAnsi" w:cstheme="minorBidi"/>
          <w:snapToGrid/>
          <w:kern w:val="0"/>
          <w:szCs w:val="22"/>
        </w:rPr>
        <w:tab/>
      </w:r>
      <w:r w:rsidR="006A50BD">
        <w:t>Updating and Clarifying Commission Section 214</w:t>
      </w:r>
    </w:p>
    <w:p w14:paraId="45A0794C" w14:textId="27D7A9C6" w:rsidR="006A50BD" w:rsidRDefault="00091ABC" w:rsidP="00E34FA7">
      <w:pPr>
        <w:pStyle w:val="ParaNum"/>
        <w:numPr>
          <w:ilvl w:val="0"/>
          <w:numId w:val="0"/>
        </w:numPr>
        <w:spacing w:after="0"/>
        <w:ind w:left="720"/>
        <w:rPr>
          <w:rFonts w:asciiTheme="minorHAnsi" w:eastAsiaTheme="minorEastAsia" w:hAnsiTheme="minorHAnsi" w:cstheme="minorBidi"/>
          <w:snapToGrid/>
          <w:kern w:val="0"/>
          <w:szCs w:val="22"/>
        </w:rPr>
      </w:pPr>
      <w:r>
        <w:tab/>
      </w:r>
      <w:r>
        <w:tab/>
      </w:r>
      <w:r>
        <w:tab/>
      </w:r>
      <w:r w:rsidR="006A50BD">
        <w:t xml:space="preserve"> Discontinuance</w:t>
      </w:r>
      <w:r>
        <w:t xml:space="preserve"> </w:t>
      </w:r>
      <w:r w:rsidR="006A50BD">
        <w:t>Policy for the Technology Transitions</w:t>
      </w:r>
      <w:r w:rsidR="00E34FA7">
        <w:tab/>
      </w:r>
      <w:r w:rsidR="00530E6F">
        <w:tab/>
      </w:r>
      <w:r w:rsidR="005B02D3">
        <w:t>101</w:t>
      </w:r>
    </w:p>
    <w:p w14:paraId="385A2077" w14:textId="77777777" w:rsidR="00091ABC" w:rsidRDefault="00091ABC" w:rsidP="00E34FA7">
      <w:pPr>
        <w:pStyle w:val="ParaNum"/>
        <w:numPr>
          <w:ilvl w:val="0"/>
          <w:numId w:val="0"/>
        </w:numPr>
        <w:spacing w:after="0"/>
        <w:ind w:left="720"/>
      </w:pPr>
      <w:r>
        <w:tab/>
      </w:r>
      <w:r>
        <w:tab/>
      </w:r>
      <w:r>
        <w:tab/>
      </w:r>
      <w:r w:rsidR="006A50BD">
        <w:t>a.</w:t>
      </w:r>
      <w:r w:rsidR="006A50BD">
        <w:rPr>
          <w:rFonts w:asciiTheme="minorHAnsi" w:eastAsiaTheme="minorEastAsia" w:hAnsiTheme="minorHAnsi" w:cstheme="minorBidi"/>
          <w:snapToGrid/>
          <w:kern w:val="0"/>
          <w:szCs w:val="22"/>
        </w:rPr>
        <w:tab/>
      </w:r>
      <w:r w:rsidR="006A50BD">
        <w:t xml:space="preserve">Scope of Section 214(a) Discontinuance Authority </w:t>
      </w:r>
    </w:p>
    <w:p w14:paraId="749C567C" w14:textId="5E489232" w:rsidR="006A50BD" w:rsidRDefault="00091ABC" w:rsidP="00E34FA7">
      <w:pPr>
        <w:pStyle w:val="ParaNum"/>
        <w:numPr>
          <w:ilvl w:val="0"/>
          <w:numId w:val="0"/>
        </w:numPr>
        <w:spacing w:after="0"/>
        <w:ind w:left="720" w:firstLine="630"/>
        <w:rPr>
          <w:rFonts w:asciiTheme="minorHAnsi" w:eastAsiaTheme="minorEastAsia" w:hAnsiTheme="minorHAnsi" w:cstheme="minorBidi"/>
          <w:snapToGrid/>
          <w:kern w:val="0"/>
          <w:szCs w:val="22"/>
        </w:rPr>
      </w:pPr>
      <w:r>
        <w:tab/>
      </w:r>
      <w:r>
        <w:tab/>
      </w:r>
      <w:r>
        <w:tab/>
      </w:r>
      <w:r>
        <w:tab/>
      </w:r>
      <w:r w:rsidR="006A50BD">
        <w:t>and Wholesale Services</w:t>
      </w:r>
      <w:r w:rsidR="006A50BD">
        <w:tab/>
      </w:r>
      <w:r w:rsidR="005B02D3">
        <w:t xml:space="preserve"> </w:t>
      </w:r>
      <w:r>
        <w:tab/>
      </w:r>
      <w:r>
        <w:tab/>
      </w:r>
      <w:r>
        <w:tab/>
      </w:r>
      <w:r w:rsidR="00530E6F">
        <w:tab/>
      </w:r>
      <w:r w:rsidR="005B02D3">
        <w:t>102</w:t>
      </w:r>
    </w:p>
    <w:p w14:paraId="2CAECA69" w14:textId="77777777" w:rsidR="00091ABC" w:rsidRDefault="00091ABC" w:rsidP="00E34FA7">
      <w:pPr>
        <w:pStyle w:val="ParaNum"/>
        <w:numPr>
          <w:ilvl w:val="0"/>
          <w:numId w:val="0"/>
        </w:numPr>
        <w:spacing w:after="0"/>
        <w:ind w:left="720"/>
      </w:pPr>
      <w:r>
        <w:tab/>
      </w:r>
      <w:r>
        <w:tab/>
      </w:r>
      <w:r>
        <w:tab/>
      </w:r>
      <w:r w:rsidR="006A50BD">
        <w:t>b.</w:t>
      </w:r>
      <w:r w:rsidR="006A50BD">
        <w:rPr>
          <w:rFonts w:asciiTheme="minorHAnsi" w:eastAsiaTheme="minorEastAsia" w:hAnsiTheme="minorHAnsi" w:cstheme="minorBidi"/>
          <w:snapToGrid/>
          <w:kern w:val="0"/>
          <w:szCs w:val="22"/>
        </w:rPr>
        <w:tab/>
      </w:r>
      <w:r w:rsidR="006A50BD">
        <w:t>Preserving the Benefits of Competition by</w:t>
      </w:r>
    </w:p>
    <w:p w14:paraId="4897DF42" w14:textId="77777777" w:rsidR="00091ABC" w:rsidRDefault="00091ABC" w:rsidP="00E34FA7">
      <w:pPr>
        <w:pStyle w:val="ParaNum"/>
        <w:numPr>
          <w:ilvl w:val="0"/>
          <w:numId w:val="0"/>
        </w:numPr>
        <w:spacing w:after="0"/>
        <w:ind w:left="720"/>
      </w:pPr>
      <w:r>
        <w:tab/>
      </w:r>
      <w:r>
        <w:tab/>
      </w:r>
      <w:r>
        <w:tab/>
      </w:r>
      <w:r>
        <w:tab/>
      </w:r>
      <w:r w:rsidR="006A50BD">
        <w:t>Maintaining Reasonably</w:t>
      </w:r>
      <w:r>
        <w:t xml:space="preserve"> </w:t>
      </w:r>
      <w:r w:rsidR="006A50BD">
        <w:t>Comparable Wholesale</w:t>
      </w:r>
    </w:p>
    <w:p w14:paraId="055CBAE6" w14:textId="211D7DA7" w:rsidR="006A50BD" w:rsidRDefault="00091ABC" w:rsidP="00E34FA7">
      <w:pPr>
        <w:pStyle w:val="ParaNum"/>
        <w:numPr>
          <w:ilvl w:val="0"/>
          <w:numId w:val="0"/>
        </w:numPr>
        <w:spacing w:after="0"/>
        <w:ind w:left="720"/>
        <w:rPr>
          <w:rFonts w:asciiTheme="minorHAnsi" w:eastAsiaTheme="minorEastAsia" w:hAnsiTheme="minorHAnsi" w:cstheme="minorBidi"/>
          <w:snapToGrid/>
          <w:kern w:val="0"/>
          <w:szCs w:val="22"/>
        </w:rPr>
      </w:pPr>
      <w:r>
        <w:tab/>
      </w:r>
      <w:r>
        <w:tab/>
      </w:r>
      <w:r>
        <w:tab/>
      </w:r>
      <w:r>
        <w:tab/>
      </w:r>
      <w:r w:rsidR="006A50BD">
        <w:t>Access to Last-Mile Services</w:t>
      </w:r>
      <w:r w:rsidR="006A50BD">
        <w:tab/>
      </w:r>
      <w:r w:rsidR="006A50BD">
        <w:tab/>
      </w:r>
      <w:r w:rsidR="006A50BD">
        <w:tab/>
      </w:r>
      <w:r w:rsidR="00E34FA7">
        <w:tab/>
      </w:r>
      <w:r w:rsidR="005B02D3">
        <w:t>131</w:t>
      </w:r>
    </w:p>
    <w:p w14:paraId="517ACDD0" w14:textId="2C5EC2B1" w:rsidR="006A50BD" w:rsidRDefault="006A50BD" w:rsidP="00E34FA7">
      <w:pPr>
        <w:pStyle w:val="ParaNum"/>
        <w:numPr>
          <w:ilvl w:val="0"/>
          <w:numId w:val="0"/>
        </w:numPr>
        <w:spacing w:after="0"/>
        <w:ind w:left="720"/>
        <w:rPr>
          <w:rFonts w:asciiTheme="minorHAnsi" w:eastAsiaTheme="minorEastAsia" w:hAnsiTheme="minorHAnsi" w:cstheme="minorBidi"/>
          <w:caps/>
          <w:snapToGrid/>
          <w:kern w:val="0"/>
          <w:szCs w:val="22"/>
        </w:rPr>
      </w:pPr>
      <w:r>
        <w:t>III.</w:t>
      </w:r>
      <w:r>
        <w:rPr>
          <w:rFonts w:asciiTheme="minorHAnsi" w:eastAsiaTheme="minorEastAsia" w:hAnsiTheme="minorHAnsi" w:cstheme="minorBidi"/>
          <w:caps/>
          <w:snapToGrid/>
          <w:kern w:val="0"/>
          <w:szCs w:val="22"/>
        </w:rPr>
        <w:tab/>
      </w:r>
      <w:r>
        <w:t>ORDER ON RECONSIDERATION</w:t>
      </w:r>
      <w:r>
        <w:tab/>
      </w:r>
      <w:r>
        <w:tab/>
      </w:r>
      <w:r>
        <w:tab/>
      </w:r>
      <w:r>
        <w:tab/>
      </w:r>
      <w:r>
        <w:tab/>
      </w:r>
      <w:r>
        <w:tab/>
      </w:r>
      <w:r w:rsidR="005B02D3">
        <w:t>181</w:t>
      </w:r>
    </w:p>
    <w:p w14:paraId="6F36909B" w14:textId="4A5FCE60" w:rsidR="006A50BD" w:rsidRDefault="00091ABC" w:rsidP="00E34FA7">
      <w:pPr>
        <w:pStyle w:val="ParaNum"/>
        <w:numPr>
          <w:ilvl w:val="0"/>
          <w:numId w:val="0"/>
        </w:numPr>
        <w:spacing w:after="0"/>
        <w:ind w:left="720"/>
        <w:rPr>
          <w:rFonts w:asciiTheme="minorHAnsi" w:eastAsiaTheme="minorEastAsia" w:hAnsiTheme="minorHAnsi" w:cstheme="minorBidi"/>
          <w:snapToGrid/>
          <w:kern w:val="0"/>
          <w:szCs w:val="22"/>
        </w:rPr>
      </w:pPr>
      <w:r>
        <w:tab/>
      </w:r>
      <w:r w:rsidR="006A50BD">
        <w:t>A.</w:t>
      </w:r>
      <w:r w:rsidR="006A50BD">
        <w:rPr>
          <w:rFonts w:asciiTheme="minorHAnsi" w:eastAsiaTheme="minorEastAsia" w:hAnsiTheme="minorHAnsi" w:cstheme="minorBidi"/>
          <w:snapToGrid/>
          <w:kern w:val="0"/>
          <w:szCs w:val="22"/>
        </w:rPr>
        <w:tab/>
      </w:r>
      <w:r w:rsidR="006A50BD">
        <w:t>Background</w:t>
      </w:r>
      <w:r w:rsidR="006A50BD">
        <w:tab/>
      </w:r>
      <w:r w:rsidR="006A50BD">
        <w:tab/>
      </w:r>
      <w:r w:rsidR="006A50BD">
        <w:tab/>
      </w:r>
      <w:r w:rsidR="006A50BD">
        <w:tab/>
      </w:r>
      <w:r w:rsidR="006A50BD">
        <w:tab/>
      </w:r>
      <w:r w:rsidR="006A50BD">
        <w:tab/>
      </w:r>
      <w:r w:rsidR="006A50BD">
        <w:tab/>
      </w:r>
      <w:r w:rsidR="006A50BD">
        <w:tab/>
      </w:r>
      <w:r w:rsidR="005B02D3">
        <w:t>182</w:t>
      </w:r>
    </w:p>
    <w:p w14:paraId="1B5687AB" w14:textId="587D1D0E" w:rsidR="006A50BD" w:rsidRDefault="00091ABC" w:rsidP="00E34FA7">
      <w:pPr>
        <w:pStyle w:val="ParaNum"/>
        <w:numPr>
          <w:ilvl w:val="0"/>
          <w:numId w:val="0"/>
        </w:numPr>
        <w:spacing w:after="0"/>
        <w:ind w:left="720"/>
        <w:rPr>
          <w:rFonts w:asciiTheme="minorHAnsi" w:eastAsiaTheme="minorEastAsia" w:hAnsiTheme="minorHAnsi" w:cstheme="minorBidi"/>
          <w:snapToGrid/>
          <w:kern w:val="0"/>
          <w:szCs w:val="22"/>
        </w:rPr>
      </w:pPr>
      <w:r>
        <w:tab/>
      </w:r>
      <w:r w:rsidR="006A50BD">
        <w:t>B.</w:t>
      </w:r>
      <w:r w:rsidR="006A50BD">
        <w:rPr>
          <w:rFonts w:asciiTheme="minorHAnsi" w:eastAsiaTheme="minorEastAsia" w:hAnsiTheme="minorHAnsi" w:cstheme="minorBidi"/>
          <w:snapToGrid/>
          <w:kern w:val="0"/>
          <w:szCs w:val="22"/>
        </w:rPr>
        <w:tab/>
      </w:r>
      <w:r w:rsidR="006A50BD">
        <w:t>Discussion</w:t>
      </w:r>
      <w:r w:rsidR="006A50BD">
        <w:tab/>
      </w:r>
      <w:r w:rsidR="006A50BD">
        <w:tab/>
      </w:r>
      <w:r w:rsidR="006A50BD">
        <w:tab/>
      </w:r>
      <w:r w:rsidR="006A50BD">
        <w:tab/>
      </w:r>
      <w:r w:rsidR="006A50BD">
        <w:tab/>
      </w:r>
      <w:r w:rsidR="006A50BD">
        <w:tab/>
      </w:r>
      <w:r w:rsidR="006A50BD">
        <w:tab/>
      </w:r>
      <w:r w:rsidR="006A50BD">
        <w:tab/>
      </w:r>
      <w:r w:rsidR="005B02D3">
        <w:t>187</w:t>
      </w:r>
    </w:p>
    <w:p w14:paraId="619F5A40" w14:textId="52D0764E" w:rsidR="006A50BD" w:rsidRPr="006A50BD" w:rsidRDefault="006A50BD" w:rsidP="00E34FA7">
      <w:pPr>
        <w:pStyle w:val="ParaNum"/>
        <w:numPr>
          <w:ilvl w:val="0"/>
          <w:numId w:val="0"/>
        </w:numPr>
        <w:spacing w:after="0"/>
        <w:ind w:left="720"/>
      </w:pPr>
      <w:r>
        <w:t>IV.</w:t>
      </w:r>
      <w:r w:rsidRPr="006A50BD">
        <w:tab/>
      </w:r>
      <w:r>
        <w:t>FURTHER NOTICE OF PROPOSED RULEMAKING</w:t>
      </w:r>
      <w:r>
        <w:tab/>
      </w:r>
      <w:r>
        <w:tab/>
      </w:r>
      <w:r>
        <w:tab/>
      </w:r>
      <w:r>
        <w:tab/>
      </w:r>
      <w:r w:rsidR="005B02D3">
        <w:t>202</w:t>
      </w:r>
    </w:p>
    <w:p w14:paraId="39562CC1" w14:textId="77777777" w:rsidR="00091ABC" w:rsidRDefault="00091ABC" w:rsidP="00E34FA7">
      <w:pPr>
        <w:pStyle w:val="ParaNum"/>
        <w:numPr>
          <w:ilvl w:val="0"/>
          <w:numId w:val="0"/>
        </w:numPr>
        <w:spacing w:after="0"/>
        <w:ind w:left="720"/>
      </w:pPr>
      <w:r>
        <w:tab/>
      </w:r>
      <w:r w:rsidR="006A50BD">
        <w:t>A.</w:t>
      </w:r>
      <w:r w:rsidR="006A50BD">
        <w:rPr>
          <w:rFonts w:asciiTheme="minorHAnsi" w:eastAsiaTheme="minorEastAsia" w:hAnsiTheme="minorHAnsi" w:cstheme="minorBidi"/>
          <w:snapToGrid/>
          <w:kern w:val="0"/>
          <w:szCs w:val="22"/>
        </w:rPr>
        <w:tab/>
      </w:r>
      <w:r w:rsidR="006A50BD">
        <w:t>Establishing Clear Standards to Streamline Transitions</w:t>
      </w:r>
    </w:p>
    <w:p w14:paraId="39FFCA58" w14:textId="22576E79" w:rsidR="006A50BD" w:rsidRDefault="00091ABC" w:rsidP="00E34FA7">
      <w:pPr>
        <w:pStyle w:val="ParaNum"/>
        <w:numPr>
          <w:ilvl w:val="0"/>
          <w:numId w:val="0"/>
        </w:numPr>
        <w:spacing w:after="0"/>
        <w:ind w:left="720"/>
        <w:rPr>
          <w:rFonts w:asciiTheme="minorHAnsi" w:eastAsiaTheme="minorEastAsia" w:hAnsiTheme="minorHAnsi" w:cstheme="minorBidi"/>
          <w:snapToGrid/>
          <w:kern w:val="0"/>
          <w:szCs w:val="22"/>
        </w:rPr>
      </w:pPr>
      <w:r>
        <w:tab/>
      </w:r>
      <w:r>
        <w:tab/>
      </w:r>
      <w:r w:rsidR="006A50BD">
        <w:t>to an All-IP Environment</w:t>
      </w:r>
      <w:r>
        <w:tab/>
      </w:r>
      <w:r>
        <w:tab/>
      </w:r>
      <w:r>
        <w:tab/>
      </w:r>
      <w:r>
        <w:tab/>
      </w:r>
      <w:r>
        <w:tab/>
      </w:r>
      <w:r w:rsidR="006A50BD">
        <w:tab/>
      </w:r>
      <w:r w:rsidR="005B02D3">
        <w:t>202</w:t>
      </w:r>
    </w:p>
    <w:p w14:paraId="250270D4" w14:textId="0F35CD29" w:rsidR="006A50BD" w:rsidRDefault="00091ABC" w:rsidP="00E34FA7">
      <w:pPr>
        <w:pStyle w:val="ParaNum"/>
        <w:numPr>
          <w:ilvl w:val="0"/>
          <w:numId w:val="0"/>
        </w:numPr>
        <w:spacing w:after="0"/>
        <w:ind w:left="720"/>
        <w:rPr>
          <w:rFonts w:asciiTheme="minorHAnsi" w:eastAsiaTheme="minorEastAsia" w:hAnsiTheme="minorHAnsi" w:cstheme="minorBidi"/>
          <w:snapToGrid/>
          <w:kern w:val="0"/>
          <w:szCs w:val="22"/>
        </w:rPr>
      </w:pPr>
      <w:r>
        <w:tab/>
      </w:r>
      <w:r w:rsidR="006A50BD">
        <w:t>B.</w:t>
      </w:r>
      <w:r w:rsidR="006A50BD">
        <w:rPr>
          <w:rFonts w:asciiTheme="minorHAnsi" w:eastAsiaTheme="minorEastAsia" w:hAnsiTheme="minorHAnsi" w:cstheme="minorBidi"/>
          <w:snapToGrid/>
          <w:kern w:val="0"/>
          <w:szCs w:val="22"/>
        </w:rPr>
        <w:tab/>
      </w:r>
      <w:r w:rsidR="006A50BD">
        <w:t>Section 214(a) Discontinuance Process</w:t>
      </w:r>
      <w:r w:rsidR="006A50BD">
        <w:tab/>
      </w:r>
      <w:r w:rsidR="006A50BD">
        <w:tab/>
      </w:r>
      <w:r w:rsidR="006A50BD">
        <w:tab/>
      </w:r>
      <w:r w:rsidR="006A50BD">
        <w:tab/>
      </w:r>
      <w:r w:rsidR="006A50BD">
        <w:tab/>
      </w:r>
      <w:r w:rsidR="005B02D3">
        <w:t>237</w:t>
      </w:r>
    </w:p>
    <w:p w14:paraId="69AF4D34" w14:textId="1E0C5006" w:rsidR="006A50BD" w:rsidRDefault="00091ABC" w:rsidP="00E34FA7">
      <w:pPr>
        <w:pStyle w:val="ParaNum"/>
        <w:numPr>
          <w:ilvl w:val="0"/>
          <w:numId w:val="0"/>
        </w:numPr>
        <w:spacing w:after="0"/>
        <w:ind w:left="720"/>
        <w:rPr>
          <w:rFonts w:asciiTheme="minorHAnsi" w:eastAsiaTheme="minorEastAsia" w:hAnsiTheme="minorHAnsi" w:cstheme="minorBidi"/>
          <w:snapToGrid/>
          <w:kern w:val="0"/>
          <w:szCs w:val="22"/>
        </w:rPr>
      </w:pPr>
      <w:r>
        <w:tab/>
      </w:r>
      <w:r w:rsidR="006A50BD">
        <w:t>C.</w:t>
      </w:r>
      <w:r w:rsidR="006A50BD">
        <w:rPr>
          <w:rFonts w:asciiTheme="minorHAnsi" w:eastAsiaTheme="minorEastAsia" w:hAnsiTheme="minorHAnsi" w:cstheme="minorBidi"/>
          <w:snapToGrid/>
          <w:kern w:val="0"/>
          <w:szCs w:val="22"/>
        </w:rPr>
        <w:tab/>
      </w:r>
      <w:r w:rsidR="006A50BD">
        <w:t>Section 214(a) Discontinuance Notice to Tribal Governments</w:t>
      </w:r>
      <w:r w:rsidR="006A50BD">
        <w:tab/>
      </w:r>
      <w:r w:rsidR="006A50BD">
        <w:tab/>
      </w:r>
      <w:r w:rsidR="005B02D3">
        <w:t>240</w:t>
      </w:r>
    </w:p>
    <w:p w14:paraId="0531BC14" w14:textId="77777777" w:rsidR="00091ABC" w:rsidRDefault="00091ABC" w:rsidP="00E34FA7">
      <w:pPr>
        <w:pStyle w:val="ParaNum"/>
        <w:numPr>
          <w:ilvl w:val="0"/>
          <w:numId w:val="0"/>
        </w:numPr>
        <w:spacing w:after="0"/>
        <w:ind w:left="720"/>
      </w:pPr>
      <w:r>
        <w:lastRenderedPageBreak/>
        <w:tab/>
      </w:r>
      <w:r w:rsidR="006A50BD">
        <w:t>D.</w:t>
      </w:r>
      <w:r w:rsidR="006A50BD">
        <w:rPr>
          <w:rFonts w:asciiTheme="minorHAnsi" w:eastAsiaTheme="minorEastAsia" w:hAnsiTheme="minorHAnsi" w:cstheme="minorBidi"/>
          <w:snapToGrid/>
          <w:kern w:val="0"/>
          <w:szCs w:val="22"/>
        </w:rPr>
        <w:tab/>
      </w:r>
      <w:r w:rsidR="006A50BD">
        <w:t xml:space="preserve">Copper Retirement Process – Good Faith Communication </w:t>
      </w:r>
    </w:p>
    <w:p w14:paraId="60090C3A" w14:textId="5581216E" w:rsidR="006A50BD" w:rsidRDefault="00091ABC" w:rsidP="00E34FA7">
      <w:pPr>
        <w:pStyle w:val="ParaNum"/>
        <w:numPr>
          <w:ilvl w:val="0"/>
          <w:numId w:val="0"/>
        </w:numPr>
        <w:spacing w:after="0"/>
        <w:ind w:left="720"/>
        <w:rPr>
          <w:rFonts w:asciiTheme="minorHAnsi" w:eastAsiaTheme="minorEastAsia" w:hAnsiTheme="minorHAnsi" w:cstheme="minorBidi"/>
          <w:snapToGrid/>
          <w:kern w:val="0"/>
          <w:szCs w:val="22"/>
        </w:rPr>
      </w:pPr>
      <w:r>
        <w:tab/>
      </w:r>
      <w:r>
        <w:tab/>
      </w:r>
      <w:r w:rsidR="006A50BD">
        <w:t>Requirement</w:t>
      </w:r>
      <w:r w:rsidR="006A50BD">
        <w:tab/>
      </w:r>
      <w:r w:rsidR="006A50BD">
        <w:tab/>
      </w:r>
      <w:r>
        <w:tab/>
      </w:r>
      <w:r>
        <w:tab/>
      </w:r>
      <w:r>
        <w:tab/>
      </w:r>
      <w:r>
        <w:tab/>
      </w:r>
      <w:r>
        <w:tab/>
      </w:r>
      <w:r>
        <w:tab/>
      </w:r>
      <w:r w:rsidR="005B02D3">
        <w:t>241</w:t>
      </w:r>
    </w:p>
    <w:p w14:paraId="5626F96A" w14:textId="77777777" w:rsidR="00091ABC" w:rsidRDefault="00091ABC" w:rsidP="00E34FA7">
      <w:pPr>
        <w:pStyle w:val="ParaNum"/>
        <w:numPr>
          <w:ilvl w:val="0"/>
          <w:numId w:val="0"/>
        </w:numPr>
        <w:spacing w:after="0"/>
        <w:ind w:left="720"/>
      </w:pPr>
      <w:r>
        <w:tab/>
      </w:r>
      <w:r w:rsidR="006A50BD">
        <w:t>E.</w:t>
      </w:r>
      <w:r w:rsidR="006A50BD">
        <w:rPr>
          <w:rFonts w:asciiTheme="minorHAnsi" w:eastAsiaTheme="minorEastAsia" w:hAnsiTheme="minorHAnsi" w:cstheme="minorBidi"/>
          <w:snapToGrid/>
          <w:kern w:val="0"/>
          <w:szCs w:val="22"/>
        </w:rPr>
        <w:tab/>
      </w:r>
      <w:r w:rsidR="006A50BD">
        <w:t>Termination of Interim Reasonably Comparable Wholesale</w:t>
      </w:r>
    </w:p>
    <w:p w14:paraId="303B4A60" w14:textId="55EC66CE" w:rsidR="006A50BD" w:rsidRDefault="00091ABC" w:rsidP="00E34FA7">
      <w:pPr>
        <w:pStyle w:val="ParaNum"/>
        <w:numPr>
          <w:ilvl w:val="0"/>
          <w:numId w:val="0"/>
        </w:numPr>
        <w:spacing w:after="0"/>
        <w:ind w:left="720"/>
        <w:rPr>
          <w:rFonts w:asciiTheme="minorHAnsi" w:eastAsiaTheme="minorEastAsia" w:hAnsiTheme="minorHAnsi" w:cstheme="minorBidi"/>
          <w:snapToGrid/>
          <w:kern w:val="0"/>
          <w:szCs w:val="22"/>
        </w:rPr>
      </w:pPr>
      <w:r>
        <w:tab/>
      </w:r>
      <w:r>
        <w:tab/>
      </w:r>
      <w:r w:rsidR="006A50BD">
        <w:t>Access Condition</w:t>
      </w:r>
      <w:r w:rsidR="006A50BD">
        <w:tab/>
      </w:r>
      <w:r>
        <w:tab/>
      </w:r>
      <w:r>
        <w:tab/>
      </w:r>
      <w:r>
        <w:tab/>
      </w:r>
      <w:r>
        <w:tab/>
      </w:r>
      <w:r>
        <w:tab/>
      </w:r>
      <w:r>
        <w:tab/>
      </w:r>
      <w:r w:rsidR="005B02D3">
        <w:t>242</w:t>
      </w:r>
    </w:p>
    <w:p w14:paraId="6DA109CE" w14:textId="6930D19D" w:rsidR="006A50BD" w:rsidRDefault="006A50BD" w:rsidP="00E34FA7">
      <w:pPr>
        <w:pStyle w:val="ParaNum"/>
        <w:numPr>
          <w:ilvl w:val="0"/>
          <w:numId w:val="0"/>
        </w:numPr>
        <w:spacing w:after="0"/>
        <w:ind w:left="720"/>
        <w:rPr>
          <w:rFonts w:asciiTheme="minorHAnsi" w:eastAsiaTheme="minorEastAsia" w:hAnsiTheme="minorHAnsi" w:cstheme="minorBidi"/>
          <w:caps/>
          <w:snapToGrid/>
          <w:kern w:val="0"/>
          <w:szCs w:val="22"/>
        </w:rPr>
      </w:pPr>
      <w:r>
        <w:t>V.</w:t>
      </w:r>
      <w:r>
        <w:rPr>
          <w:rFonts w:asciiTheme="minorHAnsi" w:eastAsiaTheme="minorEastAsia" w:hAnsiTheme="minorHAnsi" w:cstheme="minorBidi"/>
          <w:caps/>
          <w:snapToGrid/>
          <w:kern w:val="0"/>
          <w:szCs w:val="22"/>
        </w:rPr>
        <w:tab/>
      </w:r>
      <w:r>
        <w:t>PROCEDURAL MATTERS</w:t>
      </w:r>
      <w:r>
        <w:tab/>
      </w:r>
      <w:r>
        <w:tab/>
      </w:r>
      <w:r>
        <w:tab/>
      </w:r>
      <w:r>
        <w:tab/>
      </w:r>
      <w:r>
        <w:tab/>
      </w:r>
      <w:r>
        <w:tab/>
      </w:r>
      <w:r>
        <w:tab/>
      </w:r>
      <w:r w:rsidR="005B02D3">
        <w:t>245</w:t>
      </w:r>
    </w:p>
    <w:p w14:paraId="5602283C" w14:textId="62D0E634" w:rsidR="006A50BD" w:rsidRDefault="006A50BD" w:rsidP="00E34FA7">
      <w:pPr>
        <w:pStyle w:val="ParaNum"/>
        <w:numPr>
          <w:ilvl w:val="0"/>
          <w:numId w:val="0"/>
        </w:numPr>
        <w:spacing w:after="0"/>
        <w:ind w:left="720"/>
      </w:pPr>
      <w:r>
        <w:t>VI.</w:t>
      </w:r>
      <w:r>
        <w:rPr>
          <w:rFonts w:asciiTheme="minorHAnsi" w:eastAsiaTheme="minorEastAsia" w:hAnsiTheme="minorHAnsi" w:cstheme="minorBidi"/>
          <w:caps/>
          <w:snapToGrid/>
          <w:kern w:val="0"/>
          <w:szCs w:val="22"/>
        </w:rPr>
        <w:tab/>
      </w:r>
      <w:r>
        <w:t>ORDERING CLAUSES</w:t>
      </w:r>
      <w:r>
        <w:tab/>
      </w:r>
      <w:r>
        <w:tab/>
      </w:r>
      <w:r>
        <w:tab/>
      </w:r>
      <w:r>
        <w:tab/>
      </w:r>
      <w:r>
        <w:tab/>
      </w:r>
      <w:r>
        <w:tab/>
      </w:r>
      <w:r>
        <w:tab/>
      </w:r>
      <w:r w:rsidR="005B02D3">
        <w:t>253</w:t>
      </w:r>
      <w:r w:rsidR="00530E6F">
        <w:t>”</w:t>
      </w:r>
    </w:p>
    <w:p w14:paraId="26663044" w14:textId="77777777" w:rsidR="00530E6F" w:rsidRDefault="00530E6F" w:rsidP="006A50BD">
      <w:pPr>
        <w:pStyle w:val="ParaNum"/>
        <w:numPr>
          <w:ilvl w:val="0"/>
          <w:numId w:val="0"/>
        </w:numPr>
        <w:spacing w:after="0"/>
        <w:ind w:left="630"/>
        <w:rPr>
          <w:rFonts w:asciiTheme="minorHAnsi" w:eastAsiaTheme="minorEastAsia" w:hAnsiTheme="minorHAnsi" w:cstheme="minorBidi"/>
          <w:caps/>
          <w:snapToGrid/>
          <w:kern w:val="0"/>
          <w:szCs w:val="22"/>
        </w:rPr>
      </w:pPr>
    </w:p>
    <w:p w14:paraId="30AD900F" w14:textId="7009A7BD" w:rsidR="00DF0553" w:rsidRDefault="004D1C19" w:rsidP="00E34FA7">
      <w:pPr>
        <w:pStyle w:val="ParaNum"/>
        <w:tabs>
          <w:tab w:val="clear" w:pos="990"/>
          <w:tab w:val="clear" w:pos="1440"/>
          <w:tab w:val="num" w:pos="1080"/>
        </w:tabs>
        <w:ind w:left="0"/>
      </w:pPr>
      <w:r>
        <w:t>In footnote 713</w:t>
      </w:r>
      <w:r w:rsidR="00103F03">
        <w:t xml:space="preserve">, </w:t>
      </w:r>
      <w:r w:rsidR="004749F9">
        <w:t>replace</w:t>
      </w:r>
      <w:r w:rsidR="00DF0553">
        <w:t xml:space="preserve"> “</w:t>
      </w:r>
      <w:r w:rsidR="0083016D">
        <w:t>FCC 15-</w:t>
      </w:r>
      <w:r>
        <w:t>XXX</w:t>
      </w:r>
      <w:r w:rsidR="00DF0553">
        <w:t xml:space="preserve">” </w:t>
      </w:r>
      <w:r w:rsidR="00932541">
        <w:t>with</w:t>
      </w:r>
      <w:r w:rsidR="0073071E">
        <w:t xml:space="preserve"> “</w:t>
      </w:r>
      <w:r w:rsidR="0083016D">
        <w:t xml:space="preserve">FCC </w:t>
      </w:r>
      <w:r>
        <w:t>15-98</w:t>
      </w:r>
      <w:r w:rsidR="0073071E">
        <w:t>”</w:t>
      </w:r>
      <w:r w:rsidR="00426661">
        <w:t>.</w:t>
      </w:r>
    </w:p>
    <w:p w14:paraId="0D7C51C4" w14:textId="7E5E217E" w:rsidR="006903E1" w:rsidRDefault="006903E1" w:rsidP="00E34FA7">
      <w:pPr>
        <w:pStyle w:val="ParaNum"/>
        <w:tabs>
          <w:tab w:val="clear" w:pos="990"/>
          <w:tab w:val="clear" w:pos="1440"/>
          <w:tab w:val="num" w:pos="1080"/>
        </w:tabs>
        <w:ind w:left="0"/>
      </w:pPr>
      <w:r>
        <w:t xml:space="preserve">Paragraph 255 is </w:t>
      </w:r>
      <w:r w:rsidR="00E34FA7">
        <w:t xml:space="preserve">corrected </w:t>
      </w:r>
      <w:r>
        <w:t>to read as follows:</w:t>
      </w:r>
    </w:p>
    <w:p w14:paraId="75597629" w14:textId="4CF0F0F5" w:rsidR="006903E1" w:rsidRDefault="00875706" w:rsidP="00B73683">
      <w:pPr>
        <w:pStyle w:val="ParaNum"/>
        <w:numPr>
          <w:ilvl w:val="0"/>
          <w:numId w:val="0"/>
        </w:numPr>
        <w:tabs>
          <w:tab w:val="clear" w:pos="1440"/>
        </w:tabs>
        <w:ind w:firstLine="1080"/>
        <w:rPr>
          <w:sz w:val="24"/>
          <w:szCs w:val="24"/>
        </w:rPr>
      </w:pPr>
      <w:r w:rsidRPr="000C2155">
        <w:t>“</w:t>
      </w:r>
      <w:r w:rsidRPr="000C2155">
        <w:rPr>
          <w:sz w:val="24"/>
          <w:szCs w:val="24"/>
        </w:rPr>
        <w:t>IT IS FURTHER ORDE</w:t>
      </w:r>
      <w:r w:rsidRPr="00D96A0B">
        <w:rPr>
          <w:sz w:val="24"/>
          <w:szCs w:val="24"/>
        </w:rPr>
        <w:t>RED that this Report and Order and Order on Reconsideration SHALL BE effective 30 days after publication in the Federal Register, except for 47 CFR 51.325(a)(4) and (e), 51.332, and 51.</w:t>
      </w:r>
      <w:r w:rsidRPr="000C2155">
        <w:rPr>
          <w:sz w:val="24"/>
          <w:szCs w:val="24"/>
        </w:rPr>
        <w:t>333</w:t>
      </w:r>
      <w:r w:rsidRPr="00D96A0B">
        <w:rPr>
          <w:sz w:val="24"/>
          <w:szCs w:val="24"/>
        </w:rPr>
        <w:t>(b)</w:t>
      </w:r>
      <w:r>
        <w:rPr>
          <w:sz w:val="24"/>
          <w:szCs w:val="24"/>
        </w:rPr>
        <w:t xml:space="preserve"> and </w:t>
      </w:r>
      <w:r w:rsidRPr="00D96A0B">
        <w:rPr>
          <w:sz w:val="24"/>
          <w:szCs w:val="24"/>
        </w:rPr>
        <w:t xml:space="preserve">(c), which contain information collection requirements that have not been </w:t>
      </w:r>
      <w:r w:rsidRPr="000C2155">
        <w:rPr>
          <w:sz w:val="24"/>
          <w:szCs w:val="24"/>
        </w:rPr>
        <w:t>approved</w:t>
      </w:r>
      <w:r w:rsidRPr="00D96A0B">
        <w:rPr>
          <w:sz w:val="24"/>
          <w:szCs w:val="24"/>
        </w:rPr>
        <w:t xml:space="preserve"> by OMB</w:t>
      </w:r>
      <w:r>
        <w:rPr>
          <w:sz w:val="24"/>
          <w:szCs w:val="24"/>
        </w:rPr>
        <w:t>.  Additionally</w:t>
      </w:r>
      <w:r w:rsidRPr="00D96A0B">
        <w:rPr>
          <w:sz w:val="24"/>
          <w:szCs w:val="24"/>
        </w:rPr>
        <w:t xml:space="preserve">, the removal of </w:t>
      </w:r>
      <w:r w:rsidRPr="00573160">
        <w:rPr>
          <w:sz w:val="24"/>
          <w:szCs w:val="24"/>
        </w:rPr>
        <w:t>47 CFR 51.331(c) and 51.333(f), resulting in the removal of information collection requirements previously approved by OMB</w:t>
      </w:r>
      <w:r>
        <w:rPr>
          <w:sz w:val="24"/>
          <w:szCs w:val="24"/>
        </w:rPr>
        <w:t>, has not been approved by OMB</w:t>
      </w:r>
      <w:r w:rsidRPr="00D96A0B">
        <w:rPr>
          <w:sz w:val="24"/>
          <w:szCs w:val="24"/>
        </w:rPr>
        <w:t>.  The Federal Communications Commission will publish a document in the Federal Register announcing the effective date.</w:t>
      </w:r>
      <w:r>
        <w:rPr>
          <w:sz w:val="24"/>
          <w:szCs w:val="24"/>
        </w:rPr>
        <w:t>”</w:t>
      </w:r>
    </w:p>
    <w:p w14:paraId="108A9F60" w14:textId="0F319281" w:rsidR="00E34FA7" w:rsidRPr="00E34FA7" w:rsidRDefault="00E34FA7" w:rsidP="000C2155">
      <w:pPr>
        <w:pStyle w:val="ParaNum"/>
        <w:numPr>
          <w:ilvl w:val="0"/>
          <w:numId w:val="0"/>
        </w:numPr>
        <w:tabs>
          <w:tab w:val="clear" w:pos="1440"/>
        </w:tabs>
        <w:ind w:firstLine="630"/>
      </w:pPr>
      <w:r>
        <w:rPr>
          <w:sz w:val="24"/>
          <w:szCs w:val="24"/>
        </w:rPr>
        <w:t xml:space="preserve">This Erratum also amends Appendix A of the </w:t>
      </w:r>
      <w:r>
        <w:rPr>
          <w:i/>
        </w:rPr>
        <w:t>Report and Order</w:t>
      </w:r>
      <w:r>
        <w:t xml:space="preserve"> as indicated below:</w:t>
      </w:r>
    </w:p>
    <w:p w14:paraId="0040BA75" w14:textId="55263D29" w:rsidR="00826965" w:rsidRDefault="00826965" w:rsidP="00B73683">
      <w:pPr>
        <w:pStyle w:val="ParaNum"/>
        <w:rPr>
          <w:szCs w:val="22"/>
        </w:rPr>
      </w:pPr>
      <w:r>
        <w:t xml:space="preserve">In paragraph (b)(3) of section 51.332, delete the phrase “, </w:t>
      </w:r>
      <w:r w:rsidRPr="00E34FA7">
        <w:rPr>
          <w:szCs w:val="22"/>
        </w:rPr>
        <w:t>as that term is defined in §51.319(a)(3)”</w:t>
      </w:r>
      <w:r w:rsidR="002949F6" w:rsidRPr="00E34FA7">
        <w:rPr>
          <w:szCs w:val="22"/>
        </w:rPr>
        <w:t>.</w:t>
      </w:r>
    </w:p>
    <w:p w14:paraId="0609C523" w14:textId="2DD3BEDB" w:rsidR="00A517C8" w:rsidRDefault="006819D2" w:rsidP="00A517C8">
      <w:pPr>
        <w:pStyle w:val="ParaNum"/>
      </w:pPr>
      <w:r>
        <w:t xml:space="preserve">Paragraph (c), of </w:t>
      </w:r>
      <w:r w:rsidR="00E34FA7">
        <w:t>section 63.71</w:t>
      </w:r>
      <w:r>
        <w:t>,</w:t>
      </w:r>
      <w:r w:rsidR="00A517C8">
        <w:t xml:space="preserve"> is corrected as follows:</w:t>
      </w:r>
    </w:p>
    <w:p w14:paraId="73DE45DC" w14:textId="4ECFD370" w:rsidR="00A517C8" w:rsidRDefault="00221EF1" w:rsidP="00B73683">
      <w:pPr>
        <w:pStyle w:val="ParaNum"/>
        <w:numPr>
          <w:ilvl w:val="0"/>
          <w:numId w:val="3"/>
        </w:numPr>
        <w:tabs>
          <w:tab w:val="clear" w:pos="1440"/>
        </w:tabs>
        <w:ind w:left="1440"/>
      </w:pPr>
      <w:r>
        <w:t>Paragraph “(c)” is corrected to read as paragraph “(c)(1)”;</w:t>
      </w:r>
    </w:p>
    <w:p w14:paraId="1CA3BDA5" w14:textId="3C32FDF1" w:rsidR="006819D2" w:rsidRDefault="00A517C8" w:rsidP="00B73683">
      <w:pPr>
        <w:pStyle w:val="ParaNum"/>
        <w:numPr>
          <w:ilvl w:val="0"/>
          <w:numId w:val="3"/>
        </w:numPr>
        <w:tabs>
          <w:tab w:val="clear" w:pos="1440"/>
        </w:tabs>
        <w:ind w:left="1440"/>
      </w:pPr>
      <w:r>
        <w:t>I</w:t>
      </w:r>
      <w:r w:rsidR="00E34FA7">
        <w:t>n the se</w:t>
      </w:r>
      <w:r w:rsidR="00221EF1">
        <w:t>cond se</w:t>
      </w:r>
      <w:r w:rsidR="00E34FA7">
        <w:t xml:space="preserve">ntence </w:t>
      </w:r>
      <w:r w:rsidR="00221EF1">
        <w:t xml:space="preserve">of the new paragraph (c)(1), </w:t>
      </w:r>
      <w:r w:rsidR="00E34FA7">
        <w:t>numbers “(1)</w:t>
      </w:r>
      <w:r w:rsidR="00221EF1">
        <w:t xml:space="preserve">, </w:t>
      </w:r>
      <w:r w:rsidR="00E34FA7">
        <w:t xml:space="preserve">(2), and (3)” </w:t>
      </w:r>
      <w:r w:rsidR="00221EF1">
        <w:t xml:space="preserve">are corrected to read as </w:t>
      </w:r>
      <w:r w:rsidR="00E34FA7">
        <w:t>“(i), (ii), and (iii)”</w:t>
      </w:r>
      <w:r w:rsidR="00221EF1">
        <w:t>; and</w:t>
      </w:r>
    </w:p>
    <w:p w14:paraId="077178EA" w14:textId="2866732E" w:rsidR="00E34FA7" w:rsidRPr="006819D2" w:rsidRDefault="006819D2" w:rsidP="00B73683">
      <w:pPr>
        <w:pStyle w:val="ParaNum"/>
        <w:numPr>
          <w:ilvl w:val="0"/>
          <w:numId w:val="3"/>
        </w:numPr>
        <w:tabs>
          <w:tab w:val="clear" w:pos="1440"/>
        </w:tabs>
        <w:ind w:left="1440"/>
        <w:rPr>
          <w:szCs w:val="22"/>
        </w:rPr>
      </w:pPr>
      <w:r>
        <w:t>In the last paragraph, on page 135, replace “(1)</w:t>
      </w:r>
      <w:r w:rsidR="00221EF1">
        <w:t xml:space="preserve"> The requirements of this subsection…”</w:t>
      </w:r>
      <w:r>
        <w:t xml:space="preserve"> with </w:t>
      </w:r>
      <w:r w:rsidR="00E34FA7">
        <w:t>“(2)</w:t>
      </w:r>
      <w:r w:rsidR="00221EF1">
        <w:t xml:space="preserve"> The requirements of this </w:t>
      </w:r>
      <w:r w:rsidR="00E34FA7">
        <w:t>paragraph</w:t>
      </w:r>
      <w:r w:rsidR="00221EF1">
        <w:t>…</w:t>
      </w:r>
      <w:r w:rsidR="00E34FA7">
        <w:t>”.</w:t>
      </w:r>
    </w:p>
    <w:p w14:paraId="28C4D7C9" w14:textId="77777777" w:rsidR="00A517C8" w:rsidRDefault="00A517C8" w:rsidP="00B73683">
      <w:pPr>
        <w:pStyle w:val="ParaNum"/>
        <w:numPr>
          <w:ilvl w:val="0"/>
          <w:numId w:val="0"/>
        </w:numPr>
        <w:tabs>
          <w:tab w:val="clear" w:pos="1440"/>
        </w:tabs>
        <w:ind w:firstLine="630"/>
        <w:rPr>
          <w:szCs w:val="22"/>
        </w:rPr>
      </w:pPr>
    </w:p>
    <w:p w14:paraId="29572490" w14:textId="77777777" w:rsidR="00B1076F" w:rsidRDefault="00B1076F" w:rsidP="00A043A6">
      <w:pPr>
        <w:pStyle w:val="ParaNum"/>
        <w:numPr>
          <w:ilvl w:val="0"/>
          <w:numId w:val="0"/>
        </w:numPr>
        <w:spacing w:after="0"/>
        <w:ind w:left="4320"/>
      </w:pPr>
      <w:r>
        <w:t>FEDERAL COMMUNICATIONS COMMISSION</w:t>
      </w:r>
    </w:p>
    <w:p w14:paraId="0F226B4D" w14:textId="77777777" w:rsidR="00B1076F" w:rsidRDefault="00B1076F" w:rsidP="00A043A6">
      <w:pPr>
        <w:pStyle w:val="ParaNum"/>
        <w:numPr>
          <w:ilvl w:val="0"/>
          <w:numId w:val="0"/>
        </w:numPr>
        <w:spacing w:after="0"/>
        <w:ind w:left="4320"/>
      </w:pPr>
    </w:p>
    <w:p w14:paraId="367B2B49" w14:textId="77777777" w:rsidR="00297D75" w:rsidRDefault="00297D75" w:rsidP="00A043A6">
      <w:pPr>
        <w:pStyle w:val="ParaNum"/>
        <w:numPr>
          <w:ilvl w:val="0"/>
          <w:numId w:val="0"/>
        </w:numPr>
        <w:spacing w:after="0"/>
        <w:ind w:left="4320"/>
      </w:pPr>
    </w:p>
    <w:p w14:paraId="2E385FD8" w14:textId="77777777" w:rsidR="00297D75" w:rsidRDefault="00297D75" w:rsidP="00A043A6">
      <w:pPr>
        <w:pStyle w:val="ParaNum"/>
        <w:numPr>
          <w:ilvl w:val="0"/>
          <w:numId w:val="0"/>
        </w:numPr>
        <w:spacing w:after="0"/>
        <w:ind w:left="4320"/>
      </w:pPr>
    </w:p>
    <w:p w14:paraId="43C1B085" w14:textId="77777777" w:rsidR="00297D75" w:rsidRDefault="00297D75" w:rsidP="00A043A6">
      <w:pPr>
        <w:pStyle w:val="ParaNum"/>
        <w:numPr>
          <w:ilvl w:val="0"/>
          <w:numId w:val="0"/>
        </w:numPr>
        <w:spacing w:after="0"/>
        <w:ind w:left="4320"/>
      </w:pPr>
    </w:p>
    <w:p w14:paraId="789DA9FE" w14:textId="506BF805" w:rsidR="00B1076F" w:rsidRDefault="00A043A6" w:rsidP="00B1076F">
      <w:pPr>
        <w:pStyle w:val="ParaNum"/>
        <w:numPr>
          <w:ilvl w:val="0"/>
          <w:numId w:val="0"/>
        </w:numPr>
        <w:spacing w:after="0"/>
        <w:ind w:left="4320"/>
      </w:pPr>
      <w:r>
        <w:t xml:space="preserve">Matthew </w:t>
      </w:r>
      <w:r w:rsidR="002949F6">
        <w:t xml:space="preserve">S. </w:t>
      </w:r>
      <w:r>
        <w:t>DelNero</w:t>
      </w:r>
    </w:p>
    <w:p w14:paraId="538F60A5" w14:textId="59D6BE1D" w:rsidR="00297D75" w:rsidRDefault="00B1076F" w:rsidP="00A043A6">
      <w:pPr>
        <w:pStyle w:val="ParaNum"/>
        <w:numPr>
          <w:ilvl w:val="0"/>
          <w:numId w:val="0"/>
        </w:numPr>
        <w:spacing w:after="0"/>
        <w:ind w:left="4320"/>
      </w:pPr>
      <w:r>
        <w:t>Chief</w:t>
      </w:r>
    </w:p>
    <w:p w14:paraId="3E7B7F05" w14:textId="77777777" w:rsidR="00412FC5" w:rsidRDefault="007060CF" w:rsidP="0013567C">
      <w:pPr>
        <w:pStyle w:val="ParaNum"/>
        <w:numPr>
          <w:ilvl w:val="0"/>
          <w:numId w:val="0"/>
        </w:numPr>
        <w:ind w:left="4320"/>
      </w:pPr>
      <w:r>
        <w:t>Wireline Competition</w:t>
      </w:r>
      <w:r w:rsidR="00B1076F">
        <w:t xml:space="preserve"> Bureau</w:t>
      </w:r>
    </w:p>
    <w:sectPr w:rsidR="00412FC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A459" w14:textId="77777777" w:rsidR="006C4D24" w:rsidRDefault="006C4D24">
      <w:pPr>
        <w:spacing w:line="20" w:lineRule="exact"/>
      </w:pPr>
    </w:p>
  </w:endnote>
  <w:endnote w:type="continuationSeparator" w:id="0">
    <w:p w14:paraId="3DC31F6A" w14:textId="77777777" w:rsidR="006C4D24" w:rsidRDefault="006C4D24">
      <w:r>
        <w:t xml:space="preserve"> </w:t>
      </w:r>
    </w:p>
  </w:endnote>
  <w:endnote w:type="continuationNotice" w:id="1">
    <w:p w14:paraId="6626E3E4" w14:textId="77777777" w:rsidR="006C4D24" w:rsidRDefault="006C4D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38EB"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BF74D0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17F6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B00E0">
      <w:rPr>
        <w:noProof/>
      </w:rPr>
      <w:t>2</w:t>
    </w:r>
    <w:r>
      <w:fldChar w:fldCharType="end"/>
    </w:r>
  </w:p>
  <w:p w14:paraId="03A0AD6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D7DB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256E" w14:textId="77777777" w:rsidR="006C4D24" w:rsidRDefault="006C4D24">
      <w:r>
        <w:separator/>
      </w:r>
    </w:p>
  </w:footnote>
  <w:footnote w:type="continuationSeparator" w:id="0">
    <w:p w14:paraId="52E2827D" w14:textId="77777777" w:rsidR="006C4D24" w:rsidRDefault="006C4D24" w:rsidP="00C721AC">
      <w:pPr>
        <w:spacing w:before="120"/>
        <w:rPr>
          <w:sz w:val="20"/>
        </w:rPr>
      </w:pPr>
      <w:r>
        <w:rPr>
          <w:sz w:val="20"/>
        </w:rPr>
        <w:t xml:space="preserve">(Continued from previous page)  </w:t>
      </w:r>
      <w:r>
        <w:rPr>
          <w:sz w:val="20"/>
        </w:rPr>
        <w:separator/>
      </w:r>
    </w:p>
  </w:footnote>
  <w:footnote w:type="continuationNotice" w:id="1">
    <w:p w14:paraId="74D83561" w14:textId="77777777" w:rsidR="006C4D24" w:rsidRDefault="006C4D2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83E83" w14:textId="77777777" w:rsidR="00A10B1B" w:rsidRDefault="00A10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9CFEE" w14:textId="54AA99BA" w:rsidR="00D25FB5" w:rsidRDefault="00D25FB5" w:rsidP="00810B6F">
    <w:pPr>
      <w:pStyle w:val="Header"/>
      <w:rPr>
        <w:b w:val="0"/>
      </w:rPr>
    </w:pPr>
    <w:r>
      <w:tab/>
      <w:t>Federal Communications Commission</w:t>
    </w:r>
    <w:r>
      <w:tab/>
    </w:r>
  </w:p>
  <w:p w14:paraId="088AB79A" w14:textId="77777777" w:rsidR="00D25FB5" w:rsidRDefault="00B1076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CA3D98C" wp14:editId="14DDA4E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3A498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CB25620"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DBF2D" w14:textId="77777777" w:rsidR="00D25FB5" w:rsidRDefault="00B1076F"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60C11FB" wp14:editId="681A786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DFEA2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990"/>
        </w:tabs>
        <w:ind w:left="-90" w:firstLine="720"/>
      </w:pPr>
    </w:lvl>
  </w:abstractNum>
  <w:abstractNum w:abstractNumId="2">
    <w:nsid w:val="61C34C59"/>
    <w:multiLevelType w:val="hybridMultilevel"/>
    <w:tmpl w:val="4C2454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6F"/>
    <w:rsid w:val="00036039"/>
    <w:rsid w:val="00037F90"/>
    <w:rsid w:val="00050800"/>
    <w:rsid w:val="000875BF"/>
    <w:rsid w:val="00091ABC"/>
    <w:rsid w:val="00096D8C"/>
    <w:rsid w:val="000C0B65"/>
    <w:rsid w:val="000C2155"/>
    <w:rsid w:val="000E05FE"/>
    <w:rsid w:val="000E3D42"/>
    <w:rsid w:val="00103F03"/>
    <w:rsid w:val="00122BD5"/>
    <w:rsid w:val="00133F79"/>
    <w:rsid w:val="0013567C"/>
    <w:rsid w:val="00194A66"/>
    <w:rsid w:val="001D6BCF"/>
    <w:rsid w:val="001E01CA"/>
    <w:rsid w:val="00221EF1"/>
    <w:rsid w:val="00224707"/>
    <w:rsid w:val="0025153D"/>
    <w:rsid w:val="00275CF5"/>
    <w:rsid w:val="0028301F"/>
    <w:rsid w:val="00285017"/>
    <w:rsid w:val="002920F6"/>
    <w:rsid w:val="002949F6"/>
    <w:rsid w:val="00297D75"/>
    <w:rsid w:val="002A2681"/>
    <w:rsid w:val="002A2D2E"/>
    <w:rsid w:val="002B6BFE"/>
    <w:rsid w:val="002C00E8"/>
    <w:rsid w:val="002C7670"/>
    <w:rsid w:val="002E3A7E"/>
    <w:rsid w:val="003251C5"/>
    <w:rsid w:val="00343749"/>
    <w:rsid w:val="003660ED"/>
    <w:rsid w:val="003B0550"/>
    <w:rsid w:val="003B694F"/>
    <w:rsid w:val="003D7899"/>
    <w:rsid w:val="003F171C"/>
    <w:rsid w:val="00412FC5"/>
    <w:rsid w:val="00416266"/>
    <w:rsid w:val="00422276"/>
    <w:rsid w:val="00422934"/>
    <w:rsid w:val="004242F1"/>
    <w:rsid w:val="00426661"/>
    <w:rsid w:val="00445A00"/>
    <w:rsid w:val="00451B0F"/>
    <w:rsid w:val="00463D56"/>
    <w:rsid w:val="004749F9"/>
    <w:rsid w:val="004C1FD7"/>
    <w:rsid w:val="004C2EE3"/>
    <w:rsid w:val="004D1C19"/>
    <w:rsid w:val="004E4A22"/>
    <w:rsid w:val="00511968"/>
    <w:rsid w:val="00530E6F"/>
    <w:rsid w:val="00532FF5"/>
    <w:rsid w:val="0055614C"/>
    <w:rsid w:val="00557834"/>
    <w:rsid w:val="005A7BD2"/>
    <w:rsid w:val="005B02D3"/>
    <w:rsid w:val="005E14C2"/>
    <w:rsid w:val="005F2F6A"/>
    <w:rsid w:val="00607BA5"/>
    <w:rsid w:val="0061180A"/>
    <w:rsid w:val="00626EB6"/>
    <w:rsid w:val="00655364"/>
    <w:rsid w:val="00655D03"/>
    <w:rsid w:val="006819D2"/>
    <w:rsid w:val="00683388"/>
    <w:rsid w:val="00683F84"/>
    <w:rsid w:val="006903E1"/>
    <w:rsid w:val="006A50BD"/>
    <w:rsid w:val="006A6A81"/>
    <w:rsid w:val="006B00E0"/>
    <w:rsid w:val="006C4D24"/>
    <w:rsid w:val="006F7393"/>
    <w:rsid w:val="0070224F"/>
    <w:rsid w:val="007060CF"/>
    <w:rsid w:val="007115F7"/>
    <w:rsid w:val="0073071E"/>
    <w:rsid w:val="00785689"/>
    <w:rsid w:val="0079754B"/>
    <w:rsid w:val="007A1E6D"/>
    <w:rsid w:val="007B0EB2"/>
    <w:rsid w:val="007D3F00"/>
    <w:rsid w:val="007F4F69"/>
    <w:rsid w:val="00806D00"/>
    <w:rsid w:val="00810B6F"/>
    <w:rsid w:val="008204E4"/>
    <w:rsid w:val="00822CE0"/>
    <w:rsid w:val="00826965"/>
    <w:rsid w:val="0083016D"/>
    <w:rsid w:val="008376BF"/>
    <w:rsid w:val="00841AB1"/>
    <w:rsid w:val="0086490A"/>
    <w:rsid w:val="00875706"/>
    <w:rsid w:val="0088175E"/>
    <w:rsid w:val="008A38DC"/>
    <w:rsid w:val="008C68F1"/>
    <w:rsid w:val="008D0B86"/>
    <w:rsid w:val="00921803"/>
    <w:rsid w:val="00926503"/>
    <w:rsid w:val="00932541"/>
    <w:rsid w:val="00966489"/>
    <w:rsid w:val="009726D8"/>
    <w:rsid w:val="009B44F0"/>
    <w:rsid w:val="009C6527"/>
    <w:rsid w:val="009D6BF9"/>
    <w:rsid w:val="009F4EC4"/>
    <w:rsid w:val="009F76DB"/>
    <w:rsid w:val="00A02713"/>
    <w:rsid w:val="00A043A6"/>
    <w:rsid w:val="00A10B1B"/>
    <w:rsid w:val="00A32C3B"/>
    <w:rsid w:val="00A426ED"/>
    <w:rsid w:val="00A45F4F"/>
    <w:rsid w:val="00A517C8"/>
    <w:rsid w:val="00A600A9"/>
    <w:rsid w:val="00AA55B7"/>
    <w:rsid w:val="00AA5B9E"/>
    <w:rsid w:val="00AB2407"/>
    <w:rsid w:val="00AB53DF"/>
    <w:rsid w:val="00AE1C89"/>
    <w:rsid w:val="00B07E5C"/>
    <w:rsid w:val="00B1076F"/>
    <w:rsid w:val="00B13714"/>
    <w:rsid w:val="00B25BA9"/>
    <w:rsid w:val="00B60883"/>
    <w:rsid w:val="00B73683"/>
    <w:rsid w:val="00B811F7"/>
    <w:rsid w:val="00BA5DC6"/>
    <w:rsid w:val="00BA6196"/>
    <w:rsid w:val="00BC6D8C"/>
    <w:rsid w:val="00BD7559"/>
    <w:rsid w:val="00C34006"/>
    <w:rsid w:val="00C426B1"/>
    <w:rsid w:val="00C66160"/>
    <w:rsid w:val="00C721AC"/>
    <w:rsid w:val="00C90D6A"/>
    <w:rsid w:val="00CA247E"/>
    <w:rsid w:val="00CC72B6"/>
    <w:rsid w:val="00CF0978"/>
    <w:rsid w:val="00D0218D"/>
    <w:rsid w:val="00D25FB5"/>
    <w:rsid w:val="00D44223"/>
    <w:rsid w:val="00DA2529"/>
    <w:rsid w:val="00DB130A"/>
    <w:rsid w:val="00DB2EBB"/>
    <w:rsid w:val="00DC10A1"/>
    <w:rsid w:val="00DC655F"/>
    <w:rsid w:val="00DD0B59"/>
    <w:rsid w:val="00DD7EBD"/>
    <w:rsid w:val="00DF0553"/>
    <w:rsid w:val="00DF62B6"/>
    <w:rsid w:val="00E07225"/>
    <w:rsid w:val="00E34FA7"/>
    <w:rsid w:val="00E5409F"/>
    <w:rsid w:val="00ED16C5"/>
    <w:rsid w:val="00EE6488"/>
    <w:rsid w:val="00F021FA"/>
    <w:rsid w:val="00F62E97"/>
    <w:rsid w:val="00F64209"/>
    <w:rsid w:val="00F907B6"/>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3D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7F4F69"/>
    <w:pPr>
      <w:spacing w:after="200" w:line="276" w:lineRule="auto"/>
      <w:ind w:left="720"/>
      <w:contextualSpacing/>
    </w:pPr>
    <w:rPr>
      <w:rFonts w:ascii="Calibri" w:eastAsia="Calibri" w:hAnsi="Calibri"/>
      <w:snapToGrid/>
      <w:kern w:val="0"/>
      <w:szCs w:val="22"/>
    </w:rPr>
  </w:style>
  <w:style w:type="paragraph" w:styleId="BalloonText">
    <w:name w:val="Balloon Text"/>
    <w:basedOn w:val="Normal"/>
    <w:link w:val="BalloonTextChar"/>
    <w:rsid w:val="00932541"/>
    <w:rPr>
      <w:rFonts w:ascii="Tahoma" w:hAnsi="Tahoma" w:cs="Tahoma"/>
      <w:sz w:val="16"/>
      <w:szCs w:val="16"/>
    </w:rPr>
  </w:style>
  <w:style w:type="character" w:customStyle="1" w:styleId="BalloonTextChar">
    <w:name w:val="Balloon Text Char"/>
    <w:basedOn w:val="DefaultParagraphFont"/>
    <w:link w:val="BalloonText"/>
    <w:rsid w:val="00932541"/>
    <w:rPr>
      <w:rFonts w:ascii="Tahoma" w:hAnsi="Tahoma" w:cs="Tahoma"/>
      <w:snapToGrid w:val="0"/>
      <w:kern w:val="28"/>
      <w:sz w:val="16"/>
      <w:szCs w:val="16"/>
    </w:rPr>
  </w:style>
  <w:style w:type="character" w:customStyle="1" w:styleId="ParaNumChar">
    <w:name w:val="ParaNum Char"/>
    <w:link w:val="ParaNum"/>
    <w:locked/>
    <w:rsid w:val="00A02713"/>
    <w:rPr>
      <w:snapToGrid w:val="0"/>
      <w:kern w:val="28"/>
      <w:sz w:val="22"/>
    </w:rPr>
  </w:style>
  <w:style w:type="character" w:styleId="CommentReference">
    <w:name w:val="annotation reference"/>
    <w:basedOn w:val="DefaultParagraphFont"/>
    <w:semiHidden/>
    <w:unhideWhenUsed/>
    <w:rsid w:val="00826965"/>
    <w:rPr>
      <w:sz w:val="16"/>
      <w:szCs w:val="16"/>
    </w:rPr>
  </w:style>
  <w:style w:type="paragraph" w:styleId="CommentText">
    <w:name w:val="annotation text"/>
    <w:basedOn w:val="Normal"/>
    <w:link w:val="CommentTextChar"/>
    <w:semiHidden/>
    <w:unhideWhenUsed/>
    <w:rsid w:val="00826965"/>
    <w:rPr>
      <w:sz w:val="20"/>
    </w:rPr>
  </w:style>
  <w:style w:type="character" w:customStyle="1" w:styleId="CommentTextChar">
    <w:name w:val="Comment Text Char"/>
    <w:basedOn w:val="DefaultParagraphFont"/>
    <w:link w:val="CommentText"/>
    <w:semiHidden/>
    <w:rsid w:val="00826965"/>
    <w:rPr>
      <w:snapToGrid w:val="0"/>
      <w:kern w:val="28"/>
    </w:rPr>
  </w:style>
  <w:style w:type="paragraph" w:styleId="CommentSubject">
    <w:name w:val="annotation subject"/>
    <w:basedOn w:val="CommentText"/>
    <w:next w:val="CommentText"/>
    <w:link w:val="CommentSubjectChar"/>
    <w:semiHidden/>
    <w:unhideWhenUsed/>
    <w:rsid w:val="00826965"/>
    <w:rPr>
      <w:b/>
      <w:bCs/>
    </w:rPr>
  </w:style>
  <w:style w:type="character" w:customStyle="1" w:styleId="CommentSubjectChar">
    <w:name w:val="Comment Subject Char"/>
    <w:basedOn w:val="CommentTextChar"/>
    <w:link w:val="CommentSubject"/>
    <w:semiHidden/>
    <w:rsid w:val="00826965"/>
    <w:rPr>
      <w:b/>
      <w:bCs/>
      <w:snapToGrid w:val="0"/>
      <w:kern w:val="28"/>
    </w:rPr>
  </w:style>
  <w:style w:type="paragraph" w:styleId="Revision">
    <w:name w:val="Revision"/>
    <w:hidden/>
    <w:uiPriority w:val="99"/>
    <w:semiHidden/>
    <w:rsid w:val="00221EF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2"/>
      </w:numPr>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tabs>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7F4F69"/>
    <w:pPr>
      <w:spacing w:after="200" w:line="276" w:lineRule="auto"/>
      <w:ind w:left="720"/>
      <w:contextualSpacing/>
    </w:pPr>
    <w:rPr>
      <w:rFonts w:ascii="Calibri" w:eastAsia="Calibri" w:hAnsi="Calibri"/>
      <w:snapToGrid/>
      <w:kern w:val="0"/>
      <w:szCs w:val="22"/>
    </w:rPr>
  </w:style>
  <w:style w:type="paragraph" w:styleId="BalloonText">
    <w:name w:val="Balloon Text"/>
    <w:basedOn w:val="Normal"/>
    <w:link w:val="BalloonTextChar"/>
    <w:rsid w:val="00932541"/>
    <w:rPr>
      <w:rFonts w:ascii="Tahoma" w:hAnsi="Tahoma" w:cs="Tahoma"/>
      <w:sz w:val="16"/>
      <w:szCs w:val="16"/>
    </w:rPr>
  </w:style>
  <w:style w:type="character" w:customStyle="1" w:styleId="BalloonTextChar">
    <w:name w:val="Balloon Text Char"/>
    <w:basedOn w:val="DefaultParagraphFont"/>
    <w:link w:val="BalloonText"/>
    <w:rsid w:val="00932541"/>
    <w:rPr>
      <w:rFonts w:ascii="Tahoma" w:hAnsi="Tahoma" w:cs="Tahoma"/>
      <w:snapToGrid w:val="0"/>
      <w:kern w:val="28"/>
      <w:sz w:val="16"/>
      <w:szCs w:val="16"/>
    </w:rPr>
  </w:style>
  <w:style w:type="character" w:customStyle="1" w:styleId="ParaNumChar">
    <w:name w:val="ParaNum Char"/>
    <w:link w:val="ParaNum"/>
    <w:locked/>
    <w:rsid w:val="00A02713"/>
    <w:rPr>
      <w:snapToGrid w:val="0"/>
      <w:kern w:val="28"/>
      <w:sz w:val="22"/>
    </w:rPr>
  </w:style>
  <w:style w:type="character" w:styleId="CommentReference">
    <w:name w:val="annotation reference"/>
    <w:basedOn w:val="DefaultParagraphFont"/>
    <w:semiHidden/>
    <w:unhideWhenUsed/>
    <w:rsid w:val="00826965"/>
    <w:rPr>
      <w:sz w:val="16"/>
      <w:szCs w:val="16"/>
    </w:rPr>
  </w:style>
  <w:style w:type="paragraph" w:styleId="CommentText">
    <w:name w:val="annotation text"/>
    <w:basedOn w:val="Normal"/>
    <w:link w:val="CommentTextChar"/>
    <w:semiHidden/>
    <w:unhideWhenUsed/>
    <w:rsid w:val="00826965"/>
    <w:rPr>
      <w:sz w:val="20"/>
    </w:rPr>
  </w:style>
  <w:style w:type="character" w:customStyle="1" w:styleId="CommentTextChar">
    <w:name w:val="Comment Text Char"/>
    <w:basedOn w:val="DefaultParagraphFont"/>
    <w:link w:val="CommentText"/>
    <w:semiHidden/>
    <w:rsid w:val="00826965"/>
    <w:rPr>
      <w:snapToGrid w:val="0"/>
      <w:kern w:val="28"/>
    </w:rPr>
  </w:style>
  <w:style w:type="paragraph" w:styleId="CommentSubject">
    <w:name w:val="annotation subject"/>
    <w:basedOn w:val="CommentText"/>
    <w:next w:val="CommentText"/>
    <w:link w:val="CommentSubjectChar"/>
    <w:semiHidden/>
    <w:unhideWhenUsed/>
    <w:rsid w:val="00826965"/>
    <w:rPr>
      <w:b/>
      <w:bCs/>
    </w:rPr>
  </w:style>
  <w:style w:type="character" w:customStyle="1" w:styleId="CommentSubjectChar">
    <w:name w:val="Comment Subject Char"/>
    <w:basedOn w:val="CommentTextChar"/>
    <w:link w:val="CommentSubject"/>
    <w:semiHidden/>
    <w:rsid w:val="00826965"/>
    <w:rPr>
      <w:b/>
      <w:bCs/>
      <w:snapToGrid w:val="0"/>
      <w:kern w:val="28"/>
    </w:rPr>
  </w:style>
  <w:style w:type="paragraph" w:styleId="Revision">
    <w:name w:val="Revision"/>
    <w:hidden/>
    <w:uiPriority w:val="99"/>
    <w:semiHidden/>
    <w:rsid w:val="00221EF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5486">
      <w:bodyDiv w:val="1"/>
      <w:marLeft w:val="0"/>
      <w:marRight w:val="0"/>
      <w:marTop w:val="0"/>
      <w:marBottom w:val="0"/>
      <w:divBdr>
        <w:top w:val="none" w:sz="0" w:space="0" w:color="auto"/>
        <w:left w:val="none" w:sz="0" w:space="0" w:color="auto"/>
        <w:bottom w:val="none" w:sz="0" w:space="0" w:color="auto"/>
        <w:right w:val="none" w:sz="0" w:space="0" w:color="auto"/>
      </w:divBdr>
    </w:div>
    <w:div w:id="1694573798">
      <w:bodyDiv w:val="1"/>
      <w:marLeft w:val="0"/>
      <w:marRight w:val="0"/>
      <w:marTop w:val="0"/>
      <w:marBottom w:val="0"/>
      <w:divBdr>
        <w:top w:val="none" w:sz="0" w:space="0" w:color="auto"/>
        <w:left w:val="none" w:sz="0" w:space="0" w:color="auto"/>
        <w:bottom w:val="none" w:sz="0" w:space="0" w:color="auto"/>
        <w:right w:val="none" w:sz="0" w:space="0" w:color="auto"/>
      </w:divBdr>
      <w:divsChild>
        <w:div w:id="1877042787">
          <w:marLeft w:val="0"/>
          <w:marRight w:val="0"/>
          <w:marTop w:val="0"/>
          <w:marBottom w:val="0"/>
          <w:divBdr>
            <w:top w:val="none" w:sz="0" w:space="0" w:color="auto"/>
            <w:left w:val="none" w:sz="0" w:space="0" w:color="auto"/>
            <w:bottom w:val="none" w:sz="0" w:space="0" w:color="auto"/>
            <w:right w:val="none" w:sz="0" w:space="0" w:color="auto"/>
          </w:divBdr>
        </w:div>
        <w:div w:id="2024237903">
          <w:marLeft w:val="0"/>
          <w:marRight w:val="0"/>
          <w:marTop w:val="0"/>
          <w:marBottom w:val="0"/>
          <w:divBdr>
            <w:top w:val="none" w:sz="0" w:space="0" w:color="auto"/>
            <w:left w:val="none" w:sz="0" w:space="0" w:color="auto"/>
            <w:bottom w:val="none" w:sz="0" w:space="0" w:color="auto"/>
            <w:right w:val="none" w:sz="0" w:space="0" w:color="auto"/>
          </w:divBdr>
        </w:div>
      </w:divsChild>
    </w:div>
    <w:div w:id="2145151798">
      <w:bodyDiv w:val="1"/>
      <w:marLeft w:val="0"/>
      <w:marRight w:val="0"/>
      <w:marTop w:val="0"/>
      <w:marBottom w:val="0"/>
      <w:divBdr>
        <w:top w:val="none" w:sz="0" w:space="0" w:color="auto"/>
        <w:left w:val="none" w:sz="0" w:space="0" w:color="auto"/>
        <w:bottom w:val="none" w:sz="0" w:space="0" w:color="auto"/>
        <w:right w:val="none" w:sz="0" w:space="0" w:color="auto"/>
      </w:divBdr>
      <w:divsChild>
        <w:div w:id="2074892699">
          <w:marLeft w:val="0"/>
          <w:marRight w:val="0"/>
          <w:marTop w:val="0"/>
          <w:marBottom w:val="0"/>
          <w:divBdr>
            <w:top w:val="none" w:sz="0" w:space="0" w:color="auto"/>
            <w:left w:val="none" w:sz="0" w:space="0" w:color="auto"/>
            <w:bottom w:val="none" w:sz="0" w:space="0" w:color="auto"/>
            <w:right w:val="none" w:sz="0" w:space="0" w:color="auto"/>
          </w:divBdr>
        </w:div>
        <w:div w:id="87388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496</Words>
  <Characters>2746</Characters>
  <Application>Microsoft Office Word</Application>
  <DocSecurity>0</DocSecurity>
  <Lines>115</Lines>
  <Paragraphs>71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2015-09-25T19:58:00Z</dcterms:created>
  <dcterms:modified xsi:type="dcterms:W3CDTF">2015-09-25T19:58:00Z</dcterms:modified>
  <cp:category> </cp:category>
  <cp:contentStatus> </cp:contentStatus>
</cp:coreProperties>
</file>