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C82ED" w14:textId="77777777" w:rsidR="00CA00F8" w:rsidRDefault="00D114CA" w:rsidP="00F35886">
      <w:pPr>
        <w:jc w:val="center"/>
        <w:rPr>
          <w:b/>
        </w:rPr>
      </w:pPr>
      <w:bookmarkStart w:id="0" w:name="_GoBack"/>
      <w:bookmarkEnd w:id="0"/>
      <w:r>
        <w:rPr>
          <w:b/>
        </w:rPr>
        <w:t>FACT SHEET: Ensuring Just</w:t>
      </w:r>
      <w:r w:rsidR="00A95460">
        <w:rPr>
          <w:b/>
        </w:rPr>
        <w:t>,</w:t>
      </w:r>
      <w:r>
        <w:rPr>
          <w:b/>
        </w:rPr>
        <w:t xml:space="preserve"> Reasonable</w:t>
      </w:r>
      <w:r w:rsidR="00A95460">
        <w:rPr>
          <w:b/>
        </w:rPr>
        <w:t>, and Fair</w:t>
      </w:r>
      <w:r>
        <w:rPr>
          <w:b/>
        </w:rPr>
        <w:t xml:space="preserve"> Rates for </w:t>
      </w:r>
      <w:r w:rsidR="00466094">
        <w:rPr>
          <w:b/>
        </w:rPr>
        <w:t xml:space="preserve">Inmate Calling Services </w:t>
      </w:r>
    </w:p>
    <w:p w14:paraId="3A37AD24" w14:textId="77777777" w:rsidR="00A32629" w:rsidRDefault="00D114CA" w:rsidP="00A32629">
      <w:pPr>
        <w:spacing w:line="240" w:lineRule="auto"/>
        <w:ind w:left="360"/>
      </w:pPr>
      <w:r>
        <w:t xml:space="preserve">Today, Chairman Wheeler </w:t>
      </w:r>
      <w:r w:rsidR="00550640">
        <w:t xml:space="preserve">and Commissioner Clyburn </w:t>
      </w:r>
      <w:r w:rsidR="008C5DC5">
        <w:t xml:space="preserve">ask </w:t>
      </w:r>
      <w:r w:rsidR="00550640">
        <w:t xml:space="preserve">their </w:t>
      </w:r>
      <w:r w:rsidR="00CA00F8">
        <w:t xml:space="preserve">fellow commissioners </w:t>
      </w:r>
      <w:r w:rsidR="008C5DC5">
        <w:t xml:space="preserve">to consider </w:t>
      </w:r>
      <w:r w:rsidR="00CA00F8">
        <w:t xml:space="preserve">an item that </w:t>
      </w:r>
      <w:r w:rsidR="00501DAB">
        <w:t xml:space="preserve">will </w:t>
      </w:r>
      <w:r w:rsidR="00CA00F8">
        <w:t xml:space="preserve">ensure that the rates </w:t>
      </w:r>
      <w:r w:rsidR="005175CF">
        <w:t>for inmate calling services (ICS)</w:t>
      </w:r>
      <w:r w:rsidR="00937C1F">
        <w:t xml:space="preserve"> </w:t>
      </w:r>
      <w:r w:rsidR="00CA00F8">
        <w:t>are just</w:t>
      </w:r>
      <w:r w:rsidR="00A95460">
        <w:t>,</w:t>
      </w:r>
      <w:r w:rsidR="00CA00F8">
        <w:t xml:space="preserve"> reasonable</w:t>
      </w:r>
      <w:r w:rsidR="00A95460">
        <w:t>, and fair</w:t>
      </w:r>
      <w:r w:rsidR="00CA00F8">
        <w:t xml:space="preserve"> for all types of calls: </w:t>
      </w:r>
      <w:r w:rsidR="00501DAB">
        <w:t xml:space="preserve"> </w:t>
      </w:r>
      <w:r w:rsidR="00CA00F8">
        <w:t xml:space="preserve">local, long distance, </w:t>
      </w:r>
      <w:r w:rsidR="00501DAB">
        <w:t>and international</w:t>
      </w:r>
      <w:r w:rsidR="00CA00F8">
        <w:t xml:space="preserve">. </w:t>
      </w:r>
      <w:r>
        <w:t xml:space="preserve"> </w:t>
      </w:r>
      <w:r w:rsidR="00AF5BBF">
        <w:t>Under the leadership of Commissioner Clyburn as acting Chair</w:t>
      </w:r>
      <w:r w:rsidR="00501DAB">
        <w:t>,</w:t>
      </w:r>
      <w:r w:rsidR="00AF5BBF">
        <w:t xml:space="preserve"> </w:t>
      </w:r>
      <w:r w:rsidR="00501DAB">
        <w:t xml:space="preserve">in 2013 </w:t>
      </w:r>
      <w:r w:rsidR="00AF5BBF">
        <w:t>t</w:t>
      </w:r>
      <w:r w:rsidR="00131A92">
        <w:t>he FCC</w:t>
      </w:r>
      <w:r>
        <w:t xml:space="preserve"> capped interstate calling</w:t>
      </w:r>
      <w:r w:rsidR="00363446">
        <w:t xml:space="preserve"> rates,</w:t>
      </w:r>
      <w:r w:rsidR="00466094">
        <w:t xml:space="preserve"> </w:t>
      </w:r>
      <w:r w:rsidR="009F567D">
        <w:t xml:space="preserve">reining in </w:t>
      </w:r>
      <w:r w:rsidR="00501DAB">
        <w:t xml:space="preserve">high </w:t>
      </w:r>
      <w:r w:rsidR="009F567D">
        <w:t>rates</w:t>
      </w:r>
      <w:r w:rsidR="00B97DD4">
        <w:t xml:space="preserve"> for long-distance calls across state lines</w:t>
      </w:r>
      <w:r w:rsidR="009F567D">
        <w:t xml:space="preserve">. </w:t>
      </w:r>
      <w:r w:rsidR="00CA00F8">
        <w:t xml:space="preserve"> </w:t>
      </w:r>
    </w:p>
    <w:p w14:paraId="04FA1F44" w14:textId="77777777" w:rsidR="00F35886" w:rsidRDefault="00D114CA" w:rsidP="00A32629">
      <w:pPr>
        <w:spacing w:line="240" w:lineRule="auto"/>
        <w:ind w:left="360"/>
      </w:pPr>
      <w:r>
        <w:t>Now, in partnership with Commission</w:t>
      </w:r>
      <w:r w:rsidR="00501DAB">
        <w:t>er</w:t>
      </w:r>
      <w:r>
        <w:t xml:space="preserve"> Clyburn, </w:t>
      </w:r>
      <w:r w:rsidR="00AF5BBF">
        <w:t xml:space="preserve">Chairman Wheeler </w:t>
      </w:r>
      <w:r>
        <w:t xml:space="preserve">is </w:t>
      </w:r>
      <w:r w:rsidR="00035DD5">
        <w:t>proposing</w:t>
      </w:r>
      <w:r w:rsidR="00D06ADD">
        <w:t xml:space="preserve"> to </w:t>
      </w:r>
      <w:r>
        <w:t>cap rates for</w:t>
      </w:r>
      <w:r w:rsidR="00A20F6B">
        <w:t xml:space="preserve"> </w:t>
      </w:r>
      <w:r w:rsidR="00A20F6B" w:rsidRPr="00A20F6B">
        <w:rPr>
          <w:b/>
        </w:rPr>
        <w:t>ALL</w:t>
      </w:r>
      <w:r w:rsidR="00A20F6B">
        <w:t xml:space="preserve"> </w:t>
      </w:r>
      <w:r w:rsidR="006F1AF5">
        <w:t xml:space="preserve">ICS </w:t>
      </w:r>
      <w:r>
        <w:t>calls</w:t>
      </w:r>
      <w:r w:rsidR="007F197F">
        <w:t xml:space="preserve"> </w:t>
      </w:r>
      <w:r w:rsidR="00501DAB">
        <w:t>–</w:t>
      </w:r>
      <w:r w:rsidR="007F197F">
        <w:t xml:space="preserve"> </w:t>
      </w:r>
      <w:r w:rsidR="00501DAB">
        <w:t xml:space="preserve">local, </w:t>
      </w:r>
      <w:r w:rsidR="00A20F6B">
        <w:t>long-distance</w:t>
      </w:r>
      <w:r w:rsidR="00501DAB">
        <w:t xml:space="preserve">, and </w:t>
      </w:r>
      <w:r w:rsidR="00131A92">
        <w:t xml:space="preserve">international </w:t>
      </w:r>
      <w:r w:rsidR="00937C1F">
        <w:t>–</w:t>
      </w:r>
      <w:r w:rsidR="007F197F">
        <w:t xml:space="preserve"> </w:t>
      </w:r>
      <w:r w:rsidR="00A20F6B">
        <w:t xml:space="preserve">while </w:t>
      </w:r>
      <w:r>
        <w:t>limit</w:t>
      </w:r>
      <w:r w:rsidR="00A20F6B">
        <w:t>ing</w:t>
      </w:r>
      <w:r>
        <w:t xml:space="preserve"> or ba</w:t>
      </w:r>
      <w:r w:rsidR="000C0E37">
        <w:t>n</w:t>
      </w:r>
      <w:r>
        <w:t>n</w:t>
      </w:r>
      <w:r w:rsidR="000C0E37">
        <w:t>ing</w:t>
      </w:r>
      <w:r>
        <w:t xml:space="preserve"> </w:t>
      </w:r>
      <w:r w:rsidR="00550640">
        <w:t xml:space="preserve">excessive </w:t>
      </w:r>
      <w:r>
        <w:t>fees on call</w:t>
      </w:r>
      <w:r w:rsidR="00A20F6B">
        <w:t>s</w:t>
      </w:r>
      <w:r w:rsidR="00301D45">
        <w:t xml:space="preserve">. </w:t>
      </w:r>
      <w:r w:rsidR="00E011BE">
        <w:t xml:space="preserve"> In combination, these reforms ensure that rates will be just, reasonable and fair with robust security features and take in</w:t>
      </w:r>
      <w:r w:rsidR="007841D1">
        <w:t>to</w:t>
      </w:r>
      <w:r w:rsidR="00E011BE">
        <w:t xml:space="preserve"> account the unique nature of serving jails versus prisons.  </w:t>
      </w:r>
    </w:p>
    <w:p w14:paraId="0A8E175F" w14:textId="77777777" w:rsidR="00D114CA" w:rsidRDefault="00D114CA" w:rsidP="00A32629">
      <w:pPr>
        <w:spacing w:line="240" w:lineRule="auto"/>
        <w:ind w:left="360"/>
      </w:pPr>
      <w:r>
        <w:t xml:space="preserve">Studies have shown that contact between inmates and their families and loved ones during incarceration reduces recidivism. </w:t>
      </w:r>
      <w:r w:rsidR="00501DAB">
        <w:t xml:space="preserve"> </w:t>
      </w:r>
      <w:r>
        <w:t>These ref</w:t>
      </w:r>
      <w:r w:rsidR="00AF5BBF">
        <w:t xml:space="preserve">orms </w:t>
      </w:r>
      <w:r w:rsidR="001D35C7">
        <w:t xml:space="preserve">will help inmates and their families stay in touch by making calling more affordable, </w:t>
      </w:r>
      <w:r>
        <w:t xml:space="preserve">and </w:t>
      </w:r>
      <w:r w:rsidR="00AF5BBF">
        <w:t xml:space="preserve">benefit </w:t>
      </w:r>
      <w:r>
        <w:t xml:space="preserve">society as a whole by helping inmates </w:t>
      </w:r>
      <w:r w:rsidR="004069B1">
        <w:t>transition more smoothly back into society upon their release</w:t>
      </w:r>
      <w:r>
        <w:t>.</w:t>
      </w:r>
      <w:r w:rsidR="00501DAB">
        <w:t xml:space="preserve"> </w:t>
      </w:r>
      <w:r w:rsidR="007F197F">
        <w:t xml:space="preserve"> </w:t>
      </w:r>
      <w:r w:rsidR="00E011BE">
        <w:t>The Commission will</w:t>
      </w:r>
      <w:r w:rsidR="007F197F">
        <w:t xml:space="preserve"> vote on the item </w:t>
      </w:r>
      <w:r w:rsidR="00D365EA">
        <w:t xml:space="preserve">at </w:t>
      </w:r>
      <w:r w:rsidR="007F197F">
        <w:t>the Commission’s October 22 Open Meeting.</w:t>
      </w:r>
    </w:p>
    <w:p w14:paraId="08235CAD" w14:textId="77777777" w:rsidR="00D114CA" w:rsidRPr="00D114CA" w:rsidRDefault="00D114CA" w:rsidP="00F35886">
      <w:pPr>
        <w:spacing w:line="240" w:lineRule="auto"/>
        <w:ind w:left="360"/>
        <w:rPr>
          <w:b/>
          <w:u w:val="single"/>
        </w:rPr>
      </w:pPr>
      <w:r>
        <w:rPr>
          <w:b/>
          <w:u w:val="single"/>
        </w:rPr>
        <w:t>Key Reforms</w:t>
      </w:r>
    </w:p>
    <w:p w14:paraId="4FA6FF0F" w14:textId="77777777" w:rsidR="008A1EA4" w:rsidRDefault="00AF5BBF" w:rsidP="004069B1">
      <w:pPr>
        <w:pStyle w:val="ListParagraph"/>
        <w:numPr>
          <w:ilvl w:val="0"/>
          <w:numId w:val="7"/>
        </w:numPr>
        <w:ind w:left="360"/>
        <w:rPr>
          <w:b/>
        </w:rPr>
      </w:pPr>
      <w:r>
        <w:rPr>
          <w:b/>
        </w:rPr>
        <w:t>Establishes cap</w:t>
      </w:r>
      <w:r w:rsidR="00D365EA">
        <w:rPr>
          <w:b/>
        </w:rPr>
        <w:t>s</w:t>
      </w:r>
      <w:r>
        <w:rPr>
          <w:b/>
        </w:rPr>
        <w:t xml:space="preserve"> on all inmate calling rates</w:t>
      </w:r>
    </w:p>
    <w:p w14:paraId="5493D4B7" w14:textId="77777777" w:rsidR="00706D27" w:rsidRPr="002E63CA" w:rsidRDefault="00706D27" w:rsidP="00706D27">
      <w:pPr>
        <w:pStyle w:val="ListParagraph"/>
        <w:numPr>
          <w:ilvl w:val="1"/>
          <w:numId w:val="1"/>
        </w:numPr>
        <w:tabs>
          <w:tab w:val="left" w:pos="720"/>
          <w:tab w:val="left" w:pos="990"/>
        </w:tabs>
        <w:spacing w:line="240" w:lineRule="auto"/>
        <w:ind w:left="990" w:hanging="270"/>
        <w:rPr>
          <w:u w:val="single"/>
        </w:rPr>
      </w:pPr>
      <w:r w:rsidRPr="002E63CA">
        <w:rPr>
          <w:i/>
          <w:u w:val="single"/>
        </w:rPr>
        <w:t>These new caps reduce the average rates for the vast majority of inmate calls substantially, from $2.96 to</w:t>
      </w:r>
      <w:r w:rsidR="006F1AF5">
        <w:rPr>
          <w:i/>
          <w:u w:val="single"/>
        </w:rPr>
        <w:t xml:space="preserve"> no more than</w:t>
      </w:r>
      <w:r w:rsidRPr="002E63CA">
        <w:rPr>
          <w:i/>
          <w:u w:val="single"/>
        </w:rPr>
        <w:t xml:space="preserve"> $1.</w:t>
      </w:r>
      <w:r w:rsidR="007F197F">
        <w:rPr>
          <w:i/>
          <w:u w:val="single"/>
        </w:rPr>
        <w:t>6</w:t>
      </w:r>
      <w:r w:rsidRPr="002E63CA">
        <w:rPr>
          <w:i/>
          <w:u w:val="single"/>
        </w:rPr>
        <w:t>5 for a 15-minute intrastate call, and from $</w:t>
      </w:r>
      <w:r w:rsidR="001A4630" w:rsidRPr="002E63CA">
        <w:rPr>
          <w:i/>
          <w:u w:val="single"/>
        </w:rPr>
        <w:t>3.15 to</w:t>
      </w:r>
      <w:r w:rsidRPr="002E63CA">
        <w:rPr>
          <w:i/>
          <w:u w:val="single"/>
        </w:rPr>
        <w:t xml:space="preserve"> </w:t>
      </w:r>
      <w:r w:rsidR="006F1AF5">
        <w:rPr>
          <w:i/>
          <w:u w:val="single"/>
        </w:rPr>
        <w:t xml:space="preserve">no more than </w:t>
      </w:r>
      <w:r w:rsidRPr="002E63CA">
        <w:rPr>
          <w:i/>
          <w:u w:val="single"/>
        </w:rPr>
        <w:t>$1.</w:t>
      </w:r>
      <w:r w:rsidR="007F197F">
        <w:rPr>
          <w:i/>
          <w:u w:val="single"/>
        </w:rPr>
        <w:t>6</w:t>
      </w:r>
      <w:r w:rsidRPr="002E63CA">
        <w:rPr>
          <w:i/>
          <w:u w:val="single"/>
        </w:rPr>
        <w:t>5 for a 15-minute interstate call</w:t>
      </w:r>
      <w:r w:rsidR="004069B1">
        <w:rPr>
          <w:i/>
          <w:u w:val="single"/>
        </w:rPr>
        <w:t>.</w:t>
      </w:r>
    </w:p>
    <w:p w14:paraId="46544A65" w14:textId="77777777" w:rsidR="00A438AD" w:rsidRPr="003A6C82" w:rsidRDefault="00A438AD" w:rsidP="00A438AD">
      <w:pPr>
        <w:pStyle w:val="ListParagraph"/>
        <w:numPr>
          <w:ilvl w:val="1"/>
          <w:numId w:val="1"/>
        </w:numPr>
        <w:tabs>
          <w:tab w:val="left" w:pos="720"/>
          <w:tab w:val="left" w:pos="990"/>
        </w:tabs>
        <w:spacing w:line="240" w:lineRule="auto"/>
        <w:ind w:left="990" w:hanging="270"/>
        <w:rPr>
          <w:b/>
        </w:rPr>
      </w:pPr>
      <w:r>
        <w:t xml:space="preserve">Tiered rate structure accommodates </w:t>
      </w:r>
      <w:r w:rsidR="004069B1">
        <w:t xml:space="preserve">the </w:t>
      </w:r>
      <w:r>
        <w:t>higher relative costs faced by</w:t>
      </w:r>
      <w:r w:rsidR="00996619">
        <w:t xml:space="preserve"> jails </w:t>
      </w:r>
      <w:r w:rsidR="004069B1">
        <w:t xml:space="preserve">(especially small jails) </w:t>
      </w:r>
      <w:r w:rsidR="00996619">
        <w:t xml:space="preserve">as opposed to </w:t>
      </w:r>
      <w:r w:rsidR="001A4630">
        <w:t>state</w:t>
      </w:r>
      <w:r w:rsidR="00996619">
        <w:t xml:space="preserve"> and federal prisons.</w:t>
      </w:r>
      <w:r w:rsidR="008C5DC5">
        <w:t xml:space="preserve"> The </w:t>
      </w:r>
      <w:r w:rsidR="009D50D1">
        <w:t xml:space="preserve">rate </w:t>
      </w:r>
      <w:r w:rsidR="008C5DC5">
        <w:t xml:space="preserve">caps are as follows: </w:t>
      </w:r>
      <w:r w:rsidR="00201179">
        <w:br/>
      </w:r>
    </w:p>
    <w:p w14:paraId="2AB6DD55" w14:textId="77777777" w:rsidR="003B3F03" w:rsidRPr="003B3F03" w:rsidRDefault="007E68CA" w:rsidP="003B3F03">
      <w:pPr>
        <w:pStyle w:val="ListParagraph"/>
        <w:numPr>
          <w:ilvl w:val="0"/>
          <w:numId w:val="12"/>
        </w:numPr>
        <w:tabs>
          <w:tab w:val="left" w:pos="720"/>
          <w:tab w:val="left" w:pos="990"/>
        </w:tabs>
        <w:spacing w:line="240" w:lineRule="auto"/>
        <w:rPr>
          <w:b/>
        </w:rPr>
      </w:pPr>
      <w:r>
        <w:t>1</w:t>
      </w:r>
      <w:r w:rsidR="007F197F">
        <w:t>1</w:t>
      </w:r>
      <w:r>
        <w:t xml:space="preserve"> </w:t>
      </w:r>
      <w:r w:rsidR="00AF5BBF">
        <w:t xml:space="preserve">cents/minute for </w:t>
      </w:r>
      <w:r>
        <w:t>debit/prepaid calls</w:t>
      </w:r>
      <w:r w:rsidR="00166196">
        <w:t>,</w:t>
      </w:r>
      <w:r>
        <w:t xml:space="preserve"> </w:t>
      </w:r>
      <w:r w:rsidR="008C5DC5">
        <w:t xml:space="preserve">in </w:t>
      </w:r>
      <w:r w:rsidR="00996619">
        <w:t>state or federal prisons</w:t>
      </w:r>
      <w:r w:rsidR="008C5DC5">
        <w:t>.</w:t>
      </w:r>
    </w:p>
    <w:p w14:paraId="4455DB26" w14:textId="77777777" w:rsidR="003B3F03" w:rsidRPr="003B3F03" w:rsidRDefault="007E68CA" w:rsidP="003B3F03">
      <w:pPr>
        <w:pStyle w:val="ListParagraph"/>
        <w:numPr>
          <w:ilvl w:val="0"/>
          <w:numId w:val="12"/>
        </w:numPr>
        <w:tabs>
          <w:tab w:val="left" w:pos="720"/>
          <w:tab w:val="left" w:pos="990"/>
        </w:tabs>
        <w:spacing w:line="240" w:lineRule="auto"/>
        <w:rPr>
          <w:b/>
        </w:rPr>
      </w:pPr>
      <w:r>
        <w:t>1</w:t>
      </w:r>
      <w:r w:rsidR="008C5DC5">
        <w:t>4</w:t>
      </w:r>
      <w:r w:rsidR="00AF5BBF">
        <w:t xml:space="preserve"> cents/minute for </w:t>
      </w:r>
      <w:r>
        <w:t xml:space="preserve">debit/prepaid calls </w:t>
      </w:r>
      <w:r w:rsidR="008C5DC5">
        <w:t>in jai</w:t>
      </w:r>
      <w:r w:rsidR="00996619">
        <w:t>ls with 1,000 or more inmates</w:t>
      </w:r>
      <w:r w:rsidR="004069B1">
        <w:t>.</w:t>
      </w:r>
    </w:p>
    <w:p w14:paraId="2CC50F68" w14:textId="77777777" w:rsidR="003B3F03" w:rsidRPr="003B3F03" w:rsidRDefault="00996619" w:rsidP="003B3F03">
      <w:pPr>
        <w:pStyle w:val="ListParagraph"/>
        <w:numPr>
          <w:ilvl w:val="0"/>
          <w:numId w:val="12"/>
        </w:numPr>
        <w:tabs>
          <w:tab w:val="left" w:pos="720"/>
          <w:tab w:val="left" w:pos="990"/>
        </w:tabs>
        <w:spacing w:line="240" w:lineRule="auto"/>
        <w:rPr>
          <w:b/>
        </w:rPr>
      </w:pPr>
      <w:r>
        <w:t xml:space="preserve">16 cents </w:t>
      </w:r>
      <w:r w:rsidR="007E68CA">
        <w:t>/minute for debit/prepaid calls</w:t>
      </w:r>
      <w:r>
        <w:t xml:space="preserve"> in jails</w:t>
      </w:r>
      <w:r w:rsidR="007E68CA">
        <w:t xml:space="preserve"> </w:t>
      </w:r>
      <w:r>
        <w:t>with 3</w:t>
      </w:r>
      <w:r w:rsidR="003B3F03">
        <w:t>50-999 inmates.</w:t>
      </w:r>
    </w:p>
    <w:p w14:paraId="1EECD104" w14:textId="77777777" w:rsidR="003B3F03" w:rsidRPr="003B3F03" w:rsidRDefault="00AA60EA" w:rsidP="003B3F03">
      <w:pPr>
        <w:pStyle w:val="ListParagraph"/>
        <w:numPr>
          <w:ilvl w:val="0"/>
          <w:numId w:val="12"/>
        </w:numPr>
        <w:tabs>
          <w:tab w:val="left" w:pos="720"/>
          <w:tab w:val="left" w:pos="990"/>
        </w:tabs>
        <w:spacing w:line="240" w:lineRule="auto"/>
        <w:rPr>
          <w:b/>
        </w:rPr>
      </w:pPr>
      <w:r>
        <w:t xml:space="preserve">22 cents </w:t>
      </w:r>
      <w:r w:rsidR="007E68CA">
        <w:t xml:space="preserve">/minute for </w:t>
      </w:r>
      <w:r w:rsidR="004069B1">
        <w:t xml:space="preserve">debit/prepaid </w:t>
      </w:r>
      <w:r w:rsidR="007E68CA">
        <w:t xml:space="preserve">calls </w:t>
      </w:r>
      <w:r>
        <w:t>in jails of up to 349 inmates</w:t>
      </w:r>
      <w:r w:rsidR="004069B1">
        <w:t>.</w:t>
      </w:r>
    </w:p>
    <w:p w14:paraId="7E1B3DD2" w14:textId="77777777" w:rsidR="00FD43A2" w:rsidRPr="003B3F03" w:rsidRDefault="00FD43A2" w:rsidP="003B3F03">
      <w:pPr>
        <w:pStyle w:val="ListParagraph"/>
        <w:numPr>
          <w:ilvl w:val="0"/>
          <w:numId w:val="12"/>
        </w:numPr>
        <w:tabs>
          <w:tab w:val="left" w:pos="720"/>
          <w:tab w:val="left" w:pos="990"/>
        </w:tabs>
        <w:spacing w:line="240" w:lineRule="auto"/>
        <w:rPr>
          <w:b/>
        </w:rPr>
      </w:pPr>
      <w:r>
        <w:t xml:space="preserve">Rates for collect calls are slightly higher </w:t>
      </w:r>
      <w:r w:rsidR="001309C8">
        <w:t xml:space="preserve">in the first year </w:t>
      </w:r>
      <w:r>
        <w:t>and will be phased down to these caps after a two-year transition period.</w:t>
      </w:r>
    </w:p>
    <w:p w14:paraId="761FAA68" w14:textId="77777777" w:rsidR="00AA60EA" w:rsidRPr="001309C8" w:rsidRDefault="00AA60EA" w:rsidP="00A438AD">
      <w:pPr>
        <w:pStyle w:val="ListParagraph"/>
        <w:numPr>
          <w:ilvl w:val="1"/>
          <w:numId w:val="1"/>
        </w:numPr>
        <w:tabs>
          <w:tab w:val="left" w:pos="720"/>
          <w:tab w:val="left" w:pos="990"/>
        </w:tabs>
        <w:spacing w:after="0" w:line="240" w:lineRule="auto"/>
        <w:ind w:left="990" w:hanging="270"/>
      </w:pPr>
      <w:r w:rsidRPr="001309C8">
        <w:t>Approximately 71% of inmates reside in state or federal prisons</w:t>
      </w:r>
      <w:r w:rsidR="004069B1" w:rsidRPr="001309C8">
        <w:t>.</w:t>
      </w:r>
    </w:p>
    <w:p w14:paraId="37D94135" w14:textId="77777777" w:rsidR="00A438AD" w:rsidRPr="00F8672C" w:rsidRDefault="00A438AD" w:rsidP="00A438AD">
      <w:pPr>
        <w:pStyle w:val="ListParagraph"/>
        <w:numPr>
          <w:ilvl w:val="1"/>
          <w:numId w:val="1"/>
        </w:numPr>
        <w:tabs>
          <w:tab w:val="left" w:pos="720"/>
          <w:tab w:val="left" w:pos="990"/>
        </w:tabs>
        <w:spacing w:after="0" w:line="240" w:lineRule="auto"/>
        <w:ind w:left="990" w:hanging="270"/>
        <w:rPr>
          <w:b/>
        </w:rPr>
      </w:pPr>
      <w:r>
        <w:t>Approximately 85% of inmates reside in institutions with populations exceeding 1,000</w:t>
      </w:r>
      <w:r w:rsidR="004069B1">
        <w:t>.</w:t>
      </w:r>
    </w:p>
    <w:p w14:paraId="24A7579C" w14:textId="77777777" w:rsidR="00A20F6B" w:rsidRPr="00A438AD" w:rsidRDefault="00AA60EA" w:rsidP="00F35886">
      <w:pPr>
        <w:pStyle w:val="ListParagraph"/>
        <w:numPr>
          <w:ilvl w:val="1"/>
          <w:numId w:val="1"/>
        </w:numPr>
        <w:tabs>
          <w:tab w:val="left" w:pos="720"/>
          <w:tab w:val="left" w:pos="990"/>
        </w:tabs>
        <w:spacing w:after="0" w:line="240" w:lineRule="auto"/>
        <w:ind w:left="990" w:hanging="270"/>
        <w:rPr>
          <w:b/>
        </w:rPr>
      </w:pPr>
      <w:r>
        <w:t>With the exception of the rate for small jails, the</w:t>
      </w:r>
      <w:r w:rsidR="004069B1">
        <w:t>se</w:t>
      </w:r>
      <w:r>
        <w:t xml:space="preserve"> rates </w:t>
      </w:r>
      <w:r w:rsidR="007E68CA">
        <w:t>are</w:t>
      </w:r>
      <w:r w:rsidR="00A20F6B">
        <w:t xml:space="preserve"> substantial</w:t>
      </w:r>
      <w:r w:rsidR="001304F8">
        <w:t>ly</w:t>
      </w:r>
      <w:r w:rsidR="00A20F6B">
        <w:t xml:space="preserve"> lower than the</w:t>
      </w:r>
      <w:r w:rsidR="00FA4A92">
        <w:t xml:space="preserve"> current</w:t>
      </w:r>
      <w:r w:rsidR="00A20F6B">
        <w:t xml:space="preserve"> 21 cent</w:t>
      </w:r>
      <w:r w:rsidR="004069B1">
        <w:t>s/minute</w:t>
      </w:r>
      <w:r w:rsidR="00A20F6B">
        <w:t xml:space="preserve"> </w:t>
      </w:r>
      <w:r w:rsidR="00FA4A92">
        <w:t>interim cap on interstate rates</w:t>
      </w:r>
      <w:r w:rsidR="004069B1">
        <w:t>.</w:t>
      </w:r>
      <w:r w:rsidR="00A20F6B">
        <w:t xml:space="preserve"> </w:t>
      </w:r>
    </w:p>
    <w:p w14:paraId="42D8CED8" w14:textId="77777777" w:rsidR="00A20F6B" w:rsidRPr="00201179" w:rsidRDefault="00A438AD" w:rsidP="00201179">
      <w:pPr>
        <w:pStyle w:val="ListParagraph"/>
        <w:numPr>
          <w:ilvl w:val="1"/>
          <w:numId w:val="1"/>
        </w:numPr>
        <w:tabs>
          <w:tab w:val="left" w:pos="720"/>
          <w:tab w:val="left" w:pos="990"/>
        </w:tabs>
        <w:spacing w:line="240" w:lineRule="auto"/>
        <w:ind w:left="990" w:hanging="270"/>
        <w:rPr>
          <w:b/>
        </w:rPr>
      </w:pPr>
      <w:r>
        <w:t xml:space="preserve">The </w:t>
      </w:r>
      <w:r w:rsidR="00FD43A2">
        <w:t xml:space="preserve">rate caps </w:t>
      </w:r>
      <w:r w:rsidR="0037535F">
        <w:t>permit</w:t>
      </w:r>
      <w:r w:rsidR="00FD43A2">
        <w:t xml:space="preserve"> recovery for robust security measures, as reflected in costs that ICS providers filed with the Commission</w:t>
      </w:r>
      <w:r w:rsidR="004069B1">
        <w:t>.</w:t>
      </w:r>
      <w:r w:rsidR="00201179">
        <w:br/>
      </w:r>
    </w:p>
    <w:p w14:paraId="1283FFC6" w14:textId="77777777" w:rsidR="00A20F6B" w:rsidRDefault="00A20F6B" w:rsidP="004069B1">
      <w:pPr>
        <w:pStyle w:val="ListParagraph"/>
        <w:numPr>
          <w:ilvl w:val="0"/>
          <w:numId w:val="7"/>
        </w:numPr>
        <w:spacing w:after="0"/>
        <w:ind w:left="360"/>
        <w:rPr>
          <w:b/>
        </w:rPr>
      </w:pPr>
      <w:r>
        <w:rPr>
          <w:b/>
        </w:rPr>
        <w:t xml:space="preserve">Caps or bans </w:t>
      </w:r>
      <w:r w:rsidR="009C4B87">
        <w:rPr>
          <w:b/>
        </w:rPr>
        <w:t xml:space="preserve">burdensome and needless </w:t>
      </w:r>
      <w:r>
        <w:rPr>
          <w:b/>
        </w:rPr>
        <w:t xml:space="preserve">ancillary </w:t>
      </w:r>
      <w:r w:rsidR="001309C8">
        <w:rPr>
          <w:b/>
        </w:rPr>
        <w:t>service charges</w:t>
      </w:r>
      <w:r w:rsidR="009C4B87">
        <w:rPr>
          <w:b/>
        </w:rPr>
        <w:t xml:space="preserve">, which </w:t>
      </w:r>
      <w:r w:rsidR="006846DA">
        <w:rPr>
          <w:b/>
        </w:rPr>
        <w:t xml:space="preserve">can add nearly 40% to the cost of a single call </w:t>
      </w:r>
    </w:p>
    <w:p w14:paraId="6CF81775" w14:textId="77777777" w:rsidR="006161D3" w:rsidRPr="00D93AAB" w:rsidRDefault="006161D3" w:rsidP="00D93AAB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6161D3">
        <w:t>Limit</w:t>
      </w:r>
      <w:r>
        <w:t xml:space="preserve"> and cap ancillary </w:t>
      </w:r>
      <w:r w:rsidR="001309C8">
        <w:t xml:space="preserve">service </w:t>
      </w:r>
      <w:r>
        <w:t xml:space="preserve">charges to </w:t>
      </w:r>
      <w:r w:rsidR="006846DA">
        <w:t xml:space="preserve">the following </w:t>
      </w:r>
      <w:r w:rsidRPr="006161D3">
        <w:t>list of permitted charges</w:t>
      </w:r>
      <w:r>
        <w:t>:</w:t>
      </w:r>
    </w:p>
    <w:p w14:paraId="04A8DD1E" w14:textId="77777777" w:rsidR="00201179" w:rsidRPr="00201179" w:rsidRDefault="00201179" w:rsidP="00201179">
      <w:pPr>
        <w:spacing w:after="0" w:line="240" w:lineRule="auto"/>
        <w:ind w:left="720"/>
        <w:rPr>
          <w:b/>
          <w:sz w:val="18"/>
          <w:szCs w:val="18"/>
        </w:rPr>
      </w:pPr>
    </w:p>
    <w:p w14:paraId="5D3773E1" w14:textId="77777777" w:rsidR="00D365EA" w:rsidRPr="00201179" w:rsidRDefault="006161D3" w:rsidP="00201179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Automated payment by phone or website: $3</w:t>
      </w:r>
      <w:r w:rsidR="00247905">
        <w:t>.</w:t>
      </w:r>
    </w:p>
    <w:p w14:paraId="3365707B" w14:textId="77777777" w:rsidR="00F35886" w:rsidRPr="00F35886" w:rsidRDefault="001D35C7" w:rsidP="00201179">
      <w:pPr>
        <w:pStyle w:val="ListParagraph"/>
        <w:numPr>
          <w:ilvl w:val="3"/>
          <w:numId w:val="1"/>
        </w:numPr>
        <w:spacing w:after="0" w:line="240" w:lineRule="auto"/>
        <w:rPr>
          <w:b/>
        </w:rPr>
      </w:pPr>
      <w:r>
        <w:t>Payment through a live agent: $5.95</w:t>
      </w:r>
      <w:r w:rsidR="00247905">
        <w:t>.</w:t>
      </w:r>
    </w:p>
    <w:p w14:paraId="5598EE2E" w14:textId="77777777" w:rsidR="00881700" w:rsidRDefault="001D35C7" w:rsidP="00201179">
      <w:pPr>
        <w:pStyle w:val="ListParagraph"/>
        <w:numPr>
          <w:ilvl w:val="3"/>
          <w:numId w:val="1"/>
        </w:numPr>
        <w:spacing w:after="0" w:line="240" w:lineRule="auto"/>
      </w:pPr>
      <w:r>
        <w:t>Paper bill fee: $2</w:t>
      </w:r>
      <w:r w:rsidR="00247905">
        <w:t>.</w:t>
      </w:r>
    </w:p>
    <w:p w14:paraId="66F65032" w14:textId="77777777" w:rsidR="00A526C0" w:rsidRDefault="00A526C0" w:rsidP="00201179">
      <w:pPr>
        <w:pStyle w:val="ListParagraph"/>
        <w:numPr>
          <w:ilvl w:val="3"/>
          <w:numId w:val="1"/>
        </w:numPr>
        <w:spacing w:after="0" w:line="240" w:lineRule="auto"/>
      </w:pPr>
      <w:r>
        <w:t>Third-party financial transaction fees, such as fees charg</w:t>
      </w:r>
      <w:r w:rsidR="00035DD5">
        <w:t>ed by MoneyGram</w:t>
      </w:r>
      <w:r>
        <w:t xml:space="preserve"> or Western Union, may be passed through with no mark-up</w:t>
      </w:r>
      <w:r w:rsidR="00CA1F21">
        <w:t>.</w:t>
      </w:r>
    </w:p>
    <w:p w14:paraId="126F872D" w14:textId="77777777" w:rsidR="00D365EA" w:rsidRDefault="00D365EA" w:rsidP="00D365EA">
      <w:pPr>
        <w:pStyle w:val="ListParagraph"/>
        <w:numPr>
          <w:ilvl w:val="0"/>
          <w:numId w:val="1"/>
        </w:numPr>
        <w:spacing w:after="0" w:line="240" w:lineRule="auto"/>
      </w:pPr>
      <w:r>
        <w:t>All other ancillary service charges are prohibited.</w:t>
      </w:r>
    </w:p>
    <w:p w14:paraId="5BA18A3C" w14:textId="77777777" w:rsidR="0059177C" w:rsidRDefault="006846DA" w:rsidP="00201179">
      <w:pPr>
        <w:pStyle w:val="ListParagraph"/>
        <w:numPr>
          <w:ilvl w:val="0"/>
          <w:numId w:val="1"/>
        </w:numPr>
        <w:spacing w:after="0" w:line="240" w:lineRule="auto"/>
      </w:pPr>
      <w:r>
        <w:t>Mandatory t</w:t>
      </w:r>
      <w:r w:rsidR="00A526C0">
        <w:t>axes and regulatory fees may be passed through with no mark-up</w:t>
      </w:r>
      <w:r w:rsidR="00CA1F21">
        <w:t>.</w:t>
      </w:r>
    </w:p>
    <w:p w14:paraId="5F41052C" w14:textId="77777777" w:rsidR="001D35C7" w:rsidRDefault="001D35C7" w:rsidP="00F35886">
      <w:pPr>
        <w:pStyle w:val="ListParagraph"/>
        <w:spacing w:after="0" w:line="240" w:lineRule="auto"/>
        <w:rPr>
          <w:b/>
        </w:rPr>
      </w:pPr>
    </w:p>
    <w:p w14:paraId="5C705FF8" w14:textId="77777777" w:rsidR="00B83756" w:rsidRDefault="00B83756" w:rsidP="00B83756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rPr>
          <w:b/>
          <w:bCs/>
        </w:rPr>
        <w:t xml:space="preserve">Discourages  “site commission” payments by providers to institutions </w:t>
      </w:r>
    </w:p>
    <w:p w14:paraId="5E1E9804" w14:textId="77777777" w:rsidR="00B83756" w:rsidRDefault="00B83756" w:rsidP="00B83756">
      <w:pPr>
        <w:pStyle w:val="ListParagraph"/>
        <w:numPr>
          <w:ilvl w:val="1"/>
          <w:numId w:val="11"/>
        </w:numPr>
        <w:spacing w:after="0" w:line="240" w:lineRule="auto"/>
        <w:ind w:left="990" w:hanging="270"/>
        <w:rPr>
          <w:b/>
          <w:bCs/>
        </w:rPr>
      </w:pPr>
      <w:r>
        <w:t>Defines the term “site commission” broadly as payments in money or services from inmate calling service providers to correctional institutions or government agencies.</w:t>
      </w:r>
    </w:p>
    <w:p w14:paraId="56BAB302" w14:textId="77777777" w:rsidR="00B83756" w:rsidRPr="00050E36" w:rsidRDefault="00B83756" w:rsidP="00B83756">
      <w:pPr>
        <w:pStyle w:val="ListParagraph"/>
        <w:numPr>
          <w:ilvl w:val="1"/>
          <w:numId w:val="11"/>
        </w:numPr>
        <w:spacing w:after="0" w:line="240" w:lineRule="auto"/>
        <w:ind w:left="990" w:hanging="270"/>
        <w:rPr>
          <w:b/>
          <w:bCs/>
        </w:rPr>
      </w:pPr>
      <w:r w:rsidRPr="00050E36">
        <w:t>Excludes the cost of site commissions in establishing the rate caps and strongly discourages the use of site commissions.   </w:t>
      </w:r>
    </w:p>
    <w:p w14:paraId="53724099" w14:textId="77777777" w:rsidR="003B3F03" w:rsidRPr="003B3F03" w:rsidRDefault="00B83756" w:rsidP="003B3F03">
      <w:pPr>
        <w:pStyle w:val="ListParagraph"/>
        <w:numPr>
          <w:ilvl w:val="1"/>
          <w:numId w:val="11"/>
        </w:numPr>
        <w:spacing w:after="0" w:line="240" w:lineRule="auto"/>
        <w:ind w:left="990" w:hanging="270"/>
        <w:rPr>
          <w:b/>
        </w:rPr>
      </w:pPr>
      <w:r>
        <w:t>Continues to monitor the effect of site commissions on rates but does not restrict ICS providers’ sharing or profits if such payments fit within the rate caps.</w:t>
      </w:r>
    </w:p>
    <w:p w14:paraId="6125047F" w14:textId="77777777" w:rsidR="003B3F03" w:rsidRDefault="003B3F03" w:rsidP="003B3F03">
      <w:pPr>
        <w:spacing w:after="0" w:line="240" w:lineRule="auto"/>
        <w:rPr>
          <w:b/>
        </w:rPr>
      </w:pPr>
    </w:p>
    <w:p w14:paraId="642A70F3" w14:textId="77777777" w:rsidR="000C0E37" w:rsidRPr="003B3F03" w:rsidRDefault="000C0E37" w:rsidP="003B3F03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3B3F03">
        <w:rPr>
          <w:b/>
        </w:rPr>
        <w:t xml:space="preserve">Bans flat-rate calling </w:t>
      </w:r>
    </w:p>
    <w:p w14:paraId="4B3BFAEF" w14:textId="77777777" w:rsidR="00E410EF" w:rsidRPr="0077153F" w:rsidRDefault="006161D3" w:rsidP="0077153F">
      <w:pPr>
        <w:pStyle w:val="ListParagraph"/>
        <w:numPr>
          <w:ilvl w:val="1"/>
          <w:numId w:val="1"/>
        </w:numPr>
        <w:spacing w:after="0" w:line="240" w:lineRule="auto"/>
        <w:ind w:left="990" w:hanging="270"/>
        <w:rPr>
          <w:b/>
        </w:rPr>
      </w:pPr>
      <w:r>
        <w:t>Disallow</w:t>
      </w:r>
      <w:r w:rsidR="00F834C9">
        <w:t>s</w:t>
      </w:r>
      <w:r>
        <w:t xml:space="preserve"> providers </w:t>
      </w:r>
      <w:r w:rsidR="00E410EF">
        <w:t xml:space="preserve">from imposing so-called “flat-rate calling,” that is, </w:t>
      </w:r>
      <w:r w:rsidR="00E410EF" w:rsidRPr="00E410EF">
        <w:t xml:space="preserve">a flat rate for a call </w:t>
      </w:r>
      <w:r w:rsidR="001309C8">
        <w:t xml:space="preserve">up to 15 minutes </w:t>
      </w:r>
      <w:r w:rsidR="00E410EF" w:rsidRPr="00E410EF">
        <w:t xml:space="preserve">regardless of actual call duration.   </w:t>
      </w:r>
    </w:p>
    <w:p w14:paraId="571688CD" w14:textId="77777777" w:rsidR="000C0E37" w:rsidRPr="0077153F" w:rsidRDefault="00E410EF" w:rsidP="0077153F">
      <w:pPr>
        <w:pStyle w:val="ListParagraph"/>
        <w:numPr>
          <w:ilvl w:val="1"/>
          <w:numId w:val="1"/>
        </w:numPr>
        <w:spacing w:after="0" w:line="240" w:lineRule="auto"/>
        <w:ind w:left="990" w:hanging="270"/>
        <w:rPr>
          <w:b/>
        </w:rPr>
      </w:pPr>
      <w:r>
        <w:t xml:space="preserve">Clarifies that this practice violates </w:t>
      </w:r>
      <w:r w:rsidR="00247905">
        <w:t xml:space="preserve">statutory mandates </w:t>
      </w:r>
      <w:r>
        <w:t>requir</w:t>
      </w:r>
      <w:r w:rsidR="00247905">
        <w:t>ing</w:t>
      </w:r>
      <w:r>
        <w:t xml:space="preserve"> that rates be just, reasonable, and fair, and </w:t>
      </w:r>
      <w:r w:rsidR="00247905">
        <w:t xml:space="preserve"> </w:t>
      </w:r>
      <w:r>
        <w:t xml:space="preserve">penalizes </w:t>
      </w:r>
      <w:r w:rsidR="000C0E37">
        <w:t>callers who stay on the phone less than 15 minutes</w:t>
      </w:r>
      <w:r w:rsidR="00CA1F21">
        <w:t>.</w:t>
      </w:r>
    </w:p>
    <w:p w14:paraId="168B027B" w14:textId="77777777" w:rsidR="006161D3" w:rsidRPr="00FA4A92" w:rsidRDefault="006161D3" w:rsidP="0077153F">
      <w:pPr>
        <w:pStyle w:val="ListParagraph"/>
        <w:spacing w:after="0" w:line="240" w:lineRule="auto"/>
        <w:ind w:left="990"/>
        <w:rPr>
          <w:b/>
        </w:rPr>
      </w:pPr>
    </w:p>
    <w:p w14:paraId="6DEAF2A3" w14:textId="77777777" w:rsidR="00FA4A92" w:rsidRDefault="006846DA" w:rsidP="00FA4A92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 xml:space="preserve">Ensures </w:t>
      </w:r>
      <w:r w:rsidR="007841D1">
        <w:rPr>
          <w:b/>
        </w:rPr>
        <w:t>a</w:t>
      </w:r>
      <w:r w:rsidR="00FA4A92">
        <w:rPr>
          <w:b/>
        </w:rPr>
        <w:t>ccess for people with disabilities</w:t>
      </w:r>
    </w:p>
    <w:p w14:paraId="696B3BC4" w14:textId="77777777" w:rsidR="00FA4A92" w:rsidRPr="00FA4A92" w:rsidRDefault="00FA4A92" w:rsidP="00FA4A92">
      <w:pPr>
        <w:pStyle w:val="ListParagraph"/>
        <w:numPr>
          <w:ilvl w:val="1"/>
          <w:numId w:val="8"/>
        </w:numPr>
        <w:tabs>
          <w:tab w:val="left" w:pos="0"/>
        </w:tabs>
        <w:spacing w:after="0" w:line="240" w:lineRule="auto"/>
        <w:rPr>
          <w:b/>
        </w:rPr>
      </w:pPr>
      <w:r>
        <w:t>Requires providers to offer discounted rates for telephone relay service</w:t>
      </w:r>
      <w:r w:rsidR="00247905">
        <w:t xml:space="preserve"> (TRS)</w:t>
      </w:r>
      <w:r>
        <w:t xml:space="preserve"> calls for inmates with </w:t>
      </w:r>
      <w:r w:rsidR="00247905">
        <w:t>communication</w:t>
      </w:r>
      <w:r w:rsidR="0077153F">
        <w:t>s</w:t>
      </w:r>
      <w:r w:rsidR="00247905">
        <w:t xml:space="preserve"> </w:t>
      </w:r>
      <w:r>
        <w:t>disabilities.</w:t>
      </w:r>
    </w:p>
    <w:p w14:paraId="51E0C56A" w14:textId="77777777" w:rsidR="00FA4A92" w:rsidRPr="00FA4A92" w:rsidRDefault="00FA4A92" w:rsidP="00FA4A92">
      <w:pPr>
        <w:pStyle w:val="ListParagraph"/>
        <w:numPr>
          <w:ilvl w:val="1"/>
          <w:numId w:val="8"/>
        </w:numPr>
        <w:tabs>
          <w:tab w:val="left" w:pos="0"/>
        </w:tabs>
        <w:spacing w:after="0" w:line="240" w:lineRule="auto"/>
        <w:rPr>
          <w:b/>
        </w:rPr>
      </w:pPr>
      <w:r>
        <w:t xml:space="preserve">Reminds correctional institutions of their obligation to make </w:t>
      </w:r>
      <w:r w:rsidR="00247905">
        <w:t xml:space="preserve">TRS available to </w:t>
      </w:r>
      <w:r>
        <w:t xml:space="preserve">people with </w:t>
      </w:r>
      <w:r w:rsidR="00247905">
        <w:t>communication</w:t>
      </w:r>
      <w:r w:rsidR="0077153F">
        <w:t>s</w:t>
      </w:r>
      <w:r w:rsidR="00247905">
        <w:t xml:space="preserve"> </w:t>
      </w:r>
      <w:r>
        <w:t>disabilities.</w:t>
      </w:r>
    </w:p>
    <w:p w14:paraId="37024CF9" w14:textId="77777777" w:rsidR="00FA4A92" w:rsidRPr="00FA4A92" w:rsidRDefault="004914F2" w:rsidP="00FA4A92">
      <w:pPr>
        <w:pStyle w:val="ListParagraph"/>
        <w:numPr>
          <w:ilvl w:val="1"/>
          <w:numId w:val="8"/>
        </w:numPr>
        <w:tabs>
          <w:tab w:val="left" w:pos="0"/>
        </w:tabs>
        <w:spacing w:after="0" w:line="240" w:lineRule="auto"/>
        <w:rPr>
          <w:b/>
        </w:rPr>
      </w:pPr>
      <w:r>
        <w:t>Encourage</w:t>
      </w:r>
      <w:r w:rsidR="00D42718">
        <w:t>s</w:t>
      </w:r>
      <w:r>
        <w:t xml:space="preserve"> jails and prisons to allow commonly used forms of </w:t>
      </w:r>
      <w:r w:rsidR="00247905">
        <w:t xml:space="preserve">TRS </w:t>
      </w:r>
      <w:r>
        <w:t>and require</w:t>
      </w:r>
      <w:r w:rsidR="00D42718">
        <w:t xml:space="preserve">s </w:t>
      </w:r>
      <w:r>
        <w:t>them to report service quality issues.</w:t>
      </w:r>
    </w:p>
    <w:p w14:paraId="6E4FC1A6" w14:textId="77777777" w:rsidR="00FA4A92" w:rsidRPr="00820A98" w:rsidRDefault="00FA4A92" w:rsidP="00FA4A92">
      <w:pPr>
        <w:pStyle w:val="ListParagraph"/>
        <w:spacing w:after="0" w:line="240" w:lineRule="auto"/>
        <w:ind w:left="1080"/>
        <w:rPr>
          <w:b/>
        </w:rPr>
      </w:pPr>
    </w:p>
    <w:p w14:paraId="04C4EB4E" w14:textId="77777777" w:rsidR="00054548" w:rsidRPr="00820A98" w:rsidRDefault="00E410EF" w:rsidP="0077153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>Transition Period</w:t>
      </w:r>
    </w:p>
    <w:p w14:paraId="1183B554" w14:textId="77777777" w:rsidR="00F834C9" w:rsidRPr="00A32629" w:rsidRDefault="006161D3" w:rsidP="00A32629">
      <w:pPr>
        <w:pStyle w:val="ListParagraph"/>
        <w:numPr>
          <w:ilvl w:val="1"/>
          <w:numId w:val="8"/>
        </w:numPr>
        <w:tabs>
          <w:tab w:val="left" w:pos="0"/>
        </w:tabs>
        <w:spacing w:after="0" w:line="240" w:lineRule="auto"/>
      </w:pPr>
      <w:r w:rsidRPr="00150596">
        <w:t>Requires r</w:t>
      </w:r>
      <w:r w:rsidR="00054548" w:rsidRPr="00150596">
        <w:t xml:space="preserve">ate caps, site commission and ancillary service charge reforms </w:t>
      </w:r>
      <w:r w:rsidR="00F834C9" w:rsidRPr="00150596">
        <w:t xml:space="preserve">to </w:t>
      </w:r>
      <w:r w:rsidR="00054548" w:rsidRPr="00150596">
        <w:t>go into effect 90 days from the effective date of the Order.</w:t>
      </w:r>
    </w:p>
    <w:p w14:paraId="04D00E84" w14:textId="77777777" w:rsidR="00A32629" w:rsidRDefault="00A32629" w:rsidP="00A32629">
      <w:pPr>
        <w:tabs>
          <w:tab w:val="left" w:pos="0"/>
        </w:tabs>
        <w:spacing w:after="0" w:line="240" w:lineRule="auto"/>
      </w:pPr>
    </w:p>
    <w:p w14:paraId="3CC99DDE" w14:textId="77777777" w:rsidR="006846DA" w:rsidRPr="00A32629" w:rsidRDefault="0014108B" w:rsidP="00A32629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rPr>
          <w:b/>
        </w:rPr>
      </w:pPr>
      <w:r w:rsidRPr="00A32629">
        <w:rPr>
          <w:b/>
        </w:rPr>
        <w:t xml:space="preserve">Ongoing Review and Oversight </w:t>
      </w:r>
    </w:p>
    <w:p w14:paraId="1DBA252B" w14:textId="77777777" w:rsidR="00A32629" w:rsidRDefault="0014108B" w:rsidP="00A32629">
      <w:pPr>
        <w:pStyle w:val="ListParagraph"/>
        <w:numPr>
          <w:ilvl w:val="1"/>
          <w:numId w:val="8"/>
        </w:numPr>
        <w:tabs>
          <w:tab w:val="left" w:pos="0"/>
        </w:tabs>
        <w:spacing w:after="0" w:line="240" w:lineRule="auto"/>
      </w:pPr>
      <w:r w:rsidRPr="00A32629">
        <w:t>Commits to reevaluate impact of reforms and rates in two years to determine if adjustments need to be made</w:t>
      </w:r>
      <w:r w:rsidR="00A32629">
        <w:t>.</w:t>
      </w:r>
    </w:p>
    <w:p w14:paraId="09309C18" w14:textId="77777777" w:rsidR="00FA4A92" w:rsidRDefault="006161D3" w:rsidP="00A32629">
      <w:pPr>
        <w:pStyle w:val="ListParagraph"/>
        <w:numPr>
          <w:ilvl w:val="1"/>
          <w:numId w:val="8"/>
        </w:numPr>
        <w:tabs>
          <w:tab w:val="left" w:pos="0"/>
        </w:tabs>
        <w:spacing w:after="0" w:line="240" w:lineRule="auto"/>
      </w:pPr>
      <w:r>
        <w:t>Require</w:t>
      </w:r>
      <w:r w:rsidR="00F834C9">
        <w:t>s</w:t>
      </w:r>
      <w:r>
        <w:t xml:space="preserve"> annual reporting and certification by ICS providers, to ensure compliance and enable monitoring of developments</w:t>
      </w:r>
    </w:p>
    <w:p w14:paraId="28E10469" w14:textId="77777777" w:rsidR="00054548" w:rsidRDefault="00054548" w:rsidP="00A32629">
      <w:pPr>
        <w:spacing w:after="0" w:line="240" w:lineRule="auto"/>
      </w:pPr>
    </w:p>
    <w:p w14:paraId="5B72F2C1" w14:textId="77777777" w:rsidR="00054548" w:rsidRPr="00820A98" w:rsidRDefault="00054548" w:rsidP="00820A98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>Third Further Notice of Proposed Rulemaking:</w:t>
      </w:r>
    </w:p>
    <w:p w14:paraId="63D7C24F" w14:textId="77777777" w:rsidR="00054548" w:rsidRDefault="007841D1" w:rsidP="00820A98">
      <w:pPr>
        <w:pStyle w:val="ListParagraph"/>
        <w:numPr>
          <w:ilvl w:val="1"/>
          <w:numId w:val="5"/>
        </w:numPr>
        <w:spacing w:after="0" w:line="240" w:lineRule="auto"/>
      </w:pPr>
      <w:r>
        <w:t>Seeks f</w:t>
      </w:r>
      <w:r w:rsidR="0014108B">
        <w:t xml:space="preserve">urther comment on promoting </w:t>
      </w:r>
      <w:r w:rsidR="00054548">
        <w:t>competition in inmate calling services</w:t>
      </w:r>
      <w:r w:rsidR="0014108B">
        <w:t xml:space="preserve"> without the need for additional regulation </w:t>
      </w:r>
    </w:p>
    <w:p w14:paraId="674635A0" w14:textId="77777777" w:rsidR="00054548" w:rsidRDefault="00054548" w:rsidP="00820A98">
      <w:pPr>
        <w:pStyle w:val="ListParagraph"/>
        <w:numPr>
          <w:ilvl w:val="1"/>
          <w:numId w:val="5"/>
        </w:numPr>
        <w:spacing w:after="0" w:line="240" w:lineRule="auto"/>
      </w:pPr>
      <w:r>
        <w:t>Video visitation and other advanced inmate communications services</w:t>
      </w:r>
    </w:p>
    <w:p w14:paraId="0B842EAB" w14:textId="77777777" w:rsidR="00054548" w:rsidRDefault="00054548" w:rsidP="00820A98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Recurring </w:t>
      </w:r>
      <w:r w:rsidR="000E167A">
        <w:t>M</w:t>
      </w:r>
      <w:r>
        <w:t xml:space="preserve">andatory </w:t>
      </w:r>
      <w:r w:rsidR="000E167A">
        <w:t>D</w:t>
      </w:r>
      <w:r>
        <w:t xml:space="preserve">ata </w:t>
      </w:r>
      <w:r w:rsidR="000E167A">
        <w:t>C</w:t>
      </w:r>
      <w:r>
        <w:t>ollection</w:t>
      </w:r>
    </w:p>
    <w:p w14:paraId="68FF0D0B" w14:textId="77777777" w:rsidR="00054548" w:rsidRDefault="00054548" w:rsidP="00820A98">
      <w:pPr>
        <w:pStyle w:val="ListParagraph"/>
        <w:spacing w:after="0" w:line="240" w:lineRule="auto"/>
        <w:ind w:left="1080"/>
      </w:pPr>
    </w:p>
    <w:p w14:paraId="1BA43E4F" w14:textId="77777777" w:rsidR="00054548" w:rsidRPr="00820A98" w:rsidRDefault="00054548" w:rsidP="00820A98">
      <w:pPr>
        <w:spacing w:after="0" w:line="240" w:lineRule="auto"/>
        <w:rPr>
          <w:b/>
        </w:rPr>
      </w:pPr>
    </w:p>
    <w:sectPr w:rsidR="00054548" w:rsidRPr="00820A98" w:rsidSect="00F35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ECF4B" w14:textId="77777777" w:rsidR="00795301" w:rsidRDefault="00795301" w:rsidP="0053220C">
      <w:pPr>
        <w:spacing w:after="0" w:line="240" w:lineRule="auto"/>
      </w:pPr>
      <w:r>
        <w:separator/>
      </w:r>
    </w:p>
  </w:endnote>
  <w:endnote w:type="continuationSeparator" w:id="0">
    <w:p w14:paraId="646B3058" w14:textId="77777777" w:rsidR="00795301" w:rsidRDefault="00795301" w:rsidP="005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4212" w14:textId="77777777" w:rsidR="00E73434" w:rsidRDefault="00E73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07CF4" w14:textId="77777777" w:rsidR="00E73434" w:rsidRDefault="00E73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56683" w14:textId="77777777" w:rsidR="00E73434" w:rsidRDefault="00E73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711FA" w14:textId="77777777" w:rsidR="00795301" w:rsidRDefault="00795301" w:rsidP="0053220C">
      <w:pPr>
        <w:spacing w:after="0" w:line="240" w:lineRule="auto"/>
      </w:pPr>
      <w:r>
        <w:separator/>
      </w:r>
    </w:p>
  </w:footnote>
  <w:footnote w:type="continuationSeparator" w:id="0">
    <w:p w14:paraId="7DEE6694" w14:textId="77777777" w:rsidR="00795301" w:rsidRDefault="00795301" w:rsidP="0053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5D5F0" w14:textId="77777777" w:rsidR="00E73434" w:rsidRDefault="00E73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DBCA2" w14:textId="77777777" w:rsidR="00E73434" w:rsidRDefault="00E734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AF3F1" w14:textId="77777777" w:rsidR="00E73434" w:rsidRDefault="00E73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0EEF"/>
    <w:multiLevelType w:val="hybridMultilevel"/>
    <w:tmpl w:val="26CE3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91DFD"/>
    <w:multiLevelType w:val="hybridMultilevel"/>
    <w:tmpl w:val="33A800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660E4"/>
    <w:multiLevelType w:val="hybridMultilevel"/>
    <w:tmpl w:val="CE7297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0923A2"/>
    <w:multiLevelType w:val="hybridMultilevel"/>
    <w:tmpl w:val="8C483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F7C70"/>
    <w:multiLevelType w:val="hybridMultilevel"/>
    <w:tmpl w:val="53404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36838"/>
    <w:multiLevelType w:val="hybridMultilevel"/>
    <w:tmpl w:val="64220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140BE6"/>
    <w:multiLevelType w:val="hybridMultilevel"/>
    <w:tmpl w:val="5DE2FA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EE6405"/>
    <w:multiLevelType w:val="hybridMultilevel"/>
    <w:tmpl w:val="DA56A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010834"/>
    <w:multiLevelType w:val="hybridMultilevel"/>
    <w:tmpl w:val="CE786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D749F6"/>
    <w:multiLevelType w:val="hybridMultilevel"/>
    <w:tmpl w:val="30E04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B074AC"/>
    <w:multiLevelType w:val="hybridMultilevel"/>
    <w:tmpl w:val="6EB0C25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382D62"/>
    <w:multiLevelType w:val="hybridMultilevel"/>
    <w:tmpl w:val="B0F2B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94"/>
    <w:rsid w:val="00025698"/>
    <w:rsid w:val="00035DD5"/>
    <w:rsid w:val="00050E36"/>
    <w:rsid w:val="00054548"/>
    <w:rsid w:val="000A4B78"/>
    <w:rsid w:val="000C0E37"/>
    <w:rsid w:val="000C3C6F"/>
    <w:rsid w:val="000D3E8C"/>
    <w:rsid w:val="000E167A"/>
    <w:rsid w:val="001304F8"/>
    <w:rsid w:val="001309C8"/>
    <w:rsid w:val="00131A92"/>
    <w:rsid w:val="00137F23"/>
    <w:rsid w:val="0014108B"/>
    <w:rsid w:val="00150596"/>
    <w:rsid w:val="00166196"/>
    <w:rsid w:val="00191991"/>
    <w:rsid w:val="001A4630"/>
    <w:rsid w:val="001B31C4"/>
    <w:rsid w:val="001B4C32"/>
    <w:rsid w:val="001D35C7"/>
    <w:rsid w:val="00201179"/>
    <w:rsid w:val="00225189"/>
    <w:rsid w:val="00242D17"/>
    <w:rsid w:val="00247905"/>
    <w:rsid w:val="00252C71"/>
    <w:rsid w:val="002602AA"/>
    <w:rsid w:val="00261093"/>
    <w:rsid w:val="00277CB0"/>
    <w:rsid w:val="002A0530"/>
    <w:rsid w:val="002B1C31"/>
    <w:rsid w:val="002B4732"/>
    <w:rsid w:val="002C1C74"/>
    <w:rsid w:val="002D3133"/>
    <w:rsid w:val="002D48D5"/>
    <w:rsid w:val="002E63CA"/>
    <w:rsid w:val="00301D45"/>
    <w:rsid w:val="00303AD8"/>
    <w:rsid w:val="00306A41"/>
    <w:rsid w:val="00314C02"/>
    <w:rsid w:val="003239E6"/>
    <w:rsid w:val="00344F0F"/>
    <w:rsid w:val="00363446"/>
    <w:rsid w:val="0037535F"/>
    <w:rsid w:val="00390A74"/>
    <w:rsid w:val="003A6C82"/>
    <w:rsid w:val="003B3F03"/>
    <w:rsid w:val="004069B1"/>
    <w:rsid w:val="0043024F"/>
    <w:rsid w:val="00466094"/>
    <w:rsid w:val="004900CD"/>
    <w:rsid w:val="004914F2"/>
    <w:rsid w:val="004A1557"/>
    <w:rsid w:val="004B2CAE"/>
    <w:rsid w:val="004F1852"/>
    <w:rsid w:val="00501DAB"/>
    <w:rsid w:val="00510E2D"/>
    <w:rsid w:val="00514056"/>
    <w:rsid w:val="005175CF"/>
    <w:rsid w:val="0053220C"/>
    <w:rsid w:val="00550640"/>
    <w:rsid w:val="0059177C"/>
    <w:rsid w:val="005B06A7"/>
    <w:rsid w:val="005C11E3"/>
    <w:rsid w:val="006161D3"/>
    <w:rsid w:val="006221CB"/>
    <w:rsid w:val="006600E4"/>
    <w:rsid w:val="006846DA"/>
    <w:rsid w:val="0068766C"/>
    <w:rsid w:val="006A1740"/>
    <w:rsid w:val="006A2EDA"/>
    <w:rsid w:val="006B6629"/>
    <w:rsid w:val="006D5147"/>
    <w:rsid w:val="006E336F"/>
    <w:rsid w:val="006F1AF5"/>
    <w:rsid w:val="00706D27"/>
    <w:rsid w:val="007433BE"/>
    <w:rsid w:val="0077153F"/>
    <w:rsid w:val="007841D1"/>
    <w:rsid w:val="007939CB"/>
    <w:rsid w:val="00795301"/>
    <w:rsid w:val="007E68CA"/>
    <w:rsid w:val="007F197F"/>
    <w:rsid w:val="00807F1E"/>
    <w:rsid w:val="00820A98"/>
    <w:rsid w:val="008761FA"/>
    <w:rsid w:val="00877D42"/>
    <w:rsid w:val="00881700"/>
    <w:rsid w:val="008A1EA4"/>
    <w:rsid w:val="008C5DC5"/>
    <w:rsid w:val="008D4EE8"/>
    <w:rsid w:val="00913595"/>
    <w:rsid w:val="00937C1F"/>
    <w:rsid w:val="009441D1"/>
    <w:rsid w:val="009455BA"/>
    <w:rsid w:val="00970D45"/>
    <w:rsid w:val="00996619"/>
    <w:rsid w:val="009C4B87"/>
    <w:rsid w:val="009D50D1"/>
    <w:rsid w:val="009F567D"/>
    <w:rsid w:val="00A20F6B"/>
    <w:rsid w:val="00A32629"/>
    <w:rsid w:val="00A42764"/>
    <w:rsid w:val="00A438AD"/>
    <w:rsid w:val="00A526C0"/>
    <w:rsid w:val="00A95460"/>
    <w:rsid w:val="00AA60EA"/>
    <w:rsid w:val="00AF2DA9"/>
    <w:rsid w:val="00AF5BBF"/>
    <w:rsid w:val="00B83467"/>
    <w:rsid w:val="00B83756"/>
    <w:rsid w:val="00B8683A"/>
    <w:rsid w:val="00B97DD4"/>
    <w:rsid w:val="00BC6794"/>
    <w:rsid w:val="00BD6ADD"/>
    <w:rsid w:val="00C67694"/>
    <w:rsid w:val="00CA00F8"/>
    <w:rsid w:val="00CA1F21"/>
    <w:rsid w:val="00CC4958"/>
    <w:rsid w:val="00D06ADD"/>
    <w:rsid w:val="00D114CA"/>
    <w:rsid w:val="00D20D2C"/>
    <w:rsid w:val="00D26D43"/>
    <w:rsid w:val="00D365EA"/>
    <w:rsid w:val="00D3690B"/>
    <w:rsid w:val="00D42718"/>
    <w:rsid w:val="00D93AAB"/>
    <w:rsid w:val="00DA0ADB"/>
    <w:rsid w:val="00DB195C"/>
    <w:rsid w:val="00DC6901"/>
    <w:rsid w:val="00E011BE"/>
    <w:rsid w:val="00E16F64"/>
    <w:rsid w:val="00E410EF"/>
    <w:rsid w:val="00E73434"/>
    <w:rsid w:val="00E81389"/>
    <w:rsid w:val="00EA16DC"/>
    <w:rsid w:val="00ED217A"/>
    <w:rsid w:val="00EE4464"/>
    <w:rsid w:val="00EF0EDB"/>
    <w:rsid w:val="00EF19A2"/>
    <w:rsid w:val="00F31F25"/>
    <w:rsid w:val="00F35886"/>
    <w:rsid w:val="00F504F7"/>
    <w:rsid w:val="00F64581"/>
    <w:rsid w:val="00F834C9"/>
    <w:rsid w:val="00F8672C"/>
    <w:rsid w:val="00F95235"/>
    <w:rsid w:val="00F977E5"/>
    <w:rsid w:val="00FA4A92"/>
    <w:rsid w:val="00FA66ED"/>
    <w:rsid w:val="00FD43A2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8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2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2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2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C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34"/>
  </w:style>
  <w:style w:type="paragraph" w:styleId="Footer">
    <w:name w:val="footer"/>
    <w:basedOn w:val="Normal"/>
    <w:link w:val="FooterChar"/>
    <w:uiPriority w:val="99"/>
    <w:unhideWhenUsed/>
    <w:rsid w:val="00E7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2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2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2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C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34"/>
  </w:style>
  <w:style w:type="paragraph" w:styleId="Footer">
    <w:name w:val="footer"/>
    <w:basedOn w:val="Normal"/>
    <w:link w:val="FooterChar"/>
    <w:uiPriority w:val="99"/>
    <w:unhideWhenUsed/>
    <w:rsid w:val="00E7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4405</Characters>
  <Application>Microsoft Office Word</Application>
  <DocSecurity>0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2015-09-30T13:13:00Z</cp:lastPrinted>
  <dcterms:created xsi:type="dcterms:W3CDTF">2015-09-30T17:02:00Z</dcterms:created>
  <dcterms:modified xsi:type="dcterms:W3CDTF">2015-09-30T17:02:00Z</dcterms:modified>
  <cp:category> </cp:category>
  <cp:contentStatus> </cp:contentStatus>
</cp:coreProperties>
</file>