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B4FE1" w14:textId="552EA8D5" w:rsidR="00CF33F6" w:rsidRDefault="00CF33F6" w:rsidP="00B50C4B">
      <w:pPr>
        <w:spacing w:after="0" w:line="240" w:lineRule="auto"/>
        <w:jc w:val="center"/>
        <w:rPr>
          <w:b/>
        </w:rPr>
      </w:pPr>
      <w:bookmarkStart w:id="0" w:name="_GoBack"/>
      <w:bookmarkEnd w:id="0"/>
      <w:r>
        <w:rPr>
          <w:b/>
        </w:rPr>
        <w:t>Remarks of Michael O’Rielly, Federal Communications Commission</w:t>
      </w:r>
    </w:p>
    <w:p w14:paraId="2504494D" w14:textId="77777777" w:rsidR="00CF33F6" w:rsidRDefault="00CF33F6" w:rsidP="00CF33F6">
      <w:pPr>
        <w:spacing w:after="0" w:line="240" w:lineRule="auto"/>
        <w:jc w:val="center"/>
        <w:rPr>
          <w:rFonts w:cstheme="minorHAnsi"/>
          <w:b/>
        </w:rPr>
      </w:pPr>
      <w:r>
        <w:rPr>
          <w:rFonts w:cstheme="minorHAnsi"/>
          <w:b/>
        </w:rPr>
        <w:t xml:space="preserve">Before </w:t>
      </w:r>
      <w:r w:rsidR="00261A44">
        <w:rPr>
          <w:rFonts w:cstheme="minorHAnsi"/>
          <w:b/>
        </w:rPr>
        <w:t>the Competitive Carrier Association</w:t>
      </w:r>
    </w:p>
    <w:p w14:paraId="307CCB4B" w14:textId="77777777" w:rsidR="00CF33F6" w:rsidRDefault="00CF33F6" w:rsidP="00CF33F6">
      <w:pPr>
        <w:spacing w:after="0" w:line="240" w:lineRule="auto"/>
        <w:jc w:val="center"/>
        <w:rPr>
          <w:rFonts w:cstheme="minorHAnsi"/>
          <w:b/>
        </w:rPr>
      </w:pPr>
      <w:r>
        <w:rPr>
          <w:rFonts w:cstheme="minorHAnsi"/>
          <w:b/>
        </w:rPr>
        <w:t xml:space="preserve">2015 </w:t>
      </w:r>
      <w:r w:rsidR="00261A44">
        <w:rPr>
          <w:rFonts w:cstheme="minorHAnsi"/>
          <w:b/>
        </w:rPr>
        <w:t>Annual Convention</w:t>
      </w:r>
    </w:p>
    <w:p w14:paraId="3E8FB830" w14:textId="77777777" w:rsidR="00CF33F6" w:rsidRDefault="00261A44" w:rsidP="00CF33F6">
      <w:pPr>
        <w:spacing w:after="0" w:line="240" w:lineRule="auto"/>
        <w:jc w:val="center"/>
        <w:rPr>
          <w:b/>
        </w:rPr>
      </w:pPr>
      <w:r>
        <w:rPr>
          <w:b/>
        </w:rPr>
        <w:t>October 7</w:t>
      </w:r>
      <w:r w:rsidR="00CF33F6">
        <w:rPr>
          <w:b/>
        </w:rPr>
        <w:t>, 2015</w:t>
      </w:r>
    </w:p>
    <w:p w14:paraId="2A99EF44" w14:textId="7599A5F0" w:rsidR="00183E56" w:rsidRDefault="001D09C6" w:rsidP="001D09C6">
      <w:pPr>
        <w:tabs>
          <w:tab w:val="center" w:pos="4680"/>
          <w:tab w:val="left" w:pos="6149"/>
        </w:tabs>
        <w:rPr>
          <w:b/>
        </w:rPr>
      </w:pPr>
      <w:r>
        <w:rPr>
          <w:b/>
        </w:rPr>
        <w:tab/>
      </w:r>
      <w:r w:rsidR="00CF33F6">
        <w:rPr>
          <w:b/>
        </w:rPr>
        <w:t>(as delivered)</w:t>
      </w:r>
      <w:r>
        <w:rPr>
          <w:b/>
        </w:rPr>
        <w:tab/>
      </w:r>
    </w:p>
    <w:p w14:paraId="6E7CD7C5" w14:textId="1F0BC949" w:rsidR="003D44FE" w:rsidRDefault="00261A44" w:rsidP="00B475E7">
      <w:pPr>
        <w:spacing w:line="240" w:lineRule="auto"/>
        <w:ind w:firstLine="720"/>
      </w:pPr>
      <w:r>
        <w:t xml:space="preserve">It is an honor </w:t>
      </w:r>
      <w:r w:rsidR="00CF33F6" w:rsidRPr="004F1600">
        <w:t xml:space="preserve">to be here with you this </w:t>
      </w:r>
      <w:r>
        <w:t>afternoon</w:t>
      </w:r>
      <w:r w:rsidR="00CF33F6" w:rsidRPr="004F1600">
        <w:t xml:space="preserve"> at </w:t>
      </w:r>
      <w:r>
        <w:t>CCA’s 2015 Annual Convention, and I thank Steve Berry for his kind invitation</w:t>
      </w:r>
      <w:r w:rsidR="00CF33F6" w:rsidRPr="004F1600">
        <w:t xml:space="preserve">.  </w:t>
      </w:r>
      <w:r w:rsidR="00B51AFF">
        <w:t>T</w:t>
      </w:r>
      <w:r w:rsidR="00D819EE">
        <w:t>he written invite</w:t>
      </w:r>
      <w:r>
        <w:t xml:space="preserve"> requested </w:t>
      </w:r>
      <w:r w:rsidR="00D819EE">
        <w:t xml:space="preserve">I address </w:t>
      </w:r>
      <w:r w:rsidR="00B50C4B">
        <w:t>a</w:t>
      </w:r>
      <w:r w:rsidR="001D09C6">
        <w:t>n ambitious</w:t>
      </w:r>
      <w:r w:rsidR="00B50C4B">
        <w:t xml:space="preserve"> range of </w:t>
      </w:r>
      <w:r>
        <w:t>topics</w:t>
      </w:r>
      <w:r w:rsidR="00A3596D">
        <w:t>,</w:t>
      </w:r>
      <w:r w:rsidR="00D819EE">
        <w:t xml:space="preserve"> </w:t>
      </w:r>
      <w:r w:rsidR="001D09C6">
        <w:t xml:space="preserve">including </w:t>
      </w:r>
      <w:r>
        <w:t>the challenges and opportunities facing the wireless industry</w:t>
      </w:r>
      <w:r w:rsidR="00D819EE">
        <w:t xml:space="preserve"> </w:t>
      </w:r>
      <w:r w:rsidR="001D09C6">
        <w:t xml:space="preserve">and </w:t>
      </w:r>
      <w:r>
        <w:t>the Commission</w:t>
      </w:r>
      <w:r w:rsidR="00DB6C81">
        <w:t xml:space="preserve">’s efforts to </w:t>
      </w:r>
      <w:r>
        <w:t xml:space="preserve">increase access to spectrum and promote </w:t>
      </w:r>
      <w:r w:rsidR="00A5751B">
        <w:t xml:space="preserve">facilities siting.  </w:t>
      </w:r>
      <w:r w:rsidR="005E357C">
        <w:t>In</w:t>
      </w:r>
      <w:r w:rsidR="001D09C6">
        <w:t xml:space="preserve"> the cu</w:t>
      </w:r>
      <w:r w:rsidR="00A3596D">
        <w:t xml:space="preserve">rrent world of wireless that’s </w:t>
      </w:r>
      <w:r w:rsidR="001D09C6">
        <w:t>just about everything but the kitchen sink</w:t>
      </w:r>
      <w:r w:rsidR="003D44FE">
        <w:t>.</w:t>
      </w:r>
      <w:r w:rsidR="005E357C">
        <w:t xml:space="preserve">  Let’s see how much I</w:t>
      </w:r>
      <w:r w:rsidR="00B200BC">
        <w:t xml:space="preserve"> can cover</w:t>
      </w:r>
      <w:r w:rsidR="001D09C6">
        <w:t xml:space="preserve"> in fifteen minutes.  </w:t>
      </w:r>
      <w:r>
        <w:t xml:space="preserve"> </w:t>
      </w:r>
    </w:p>
    <w:p w14:paraId="1BF54482" w14:textId="781FEAE0" w:rsidR="00533084" w:rsidRPr="00533084" w:rsidRDefault="00533084" w:rsidP="00CF33F6">
      <w:pPr>
        <w:rPr>
          <w:i/>
        </w:rPr>
      </w:pPr>
      <w:r w:rsidRPr="00533084">
        <w:rPr>
          <w:i/>
        </w:rPr>
        <w:t xml:space="preserve">Wireless </w:t>
      </w:r>
      <w:r w:rsidR="00D819EE">
        <w:rPr>
          <w:i/>
        </w:rPr>
        <w:t xml:space="preserve">Spectrum &amp; </w:t>
      </w:r>
      <w:r w:rsidRPr="00533084">
        <w:rPr>
          <w:i/>
        </w:rPr>
        <w:t>Infrastructure</w:t>
      </w:r>
    </w:p>
    <w:p w14:paraId="6C6A448F" w14:textId="21108885" w:rsidR="00E276EB" w:rsidRDefault="00D819EE" w:rsidP="00BC2F35">
      <w:pPr>
        <w:spacing w:line="240" w:lineRule="auto"/>
        <w:ind w:firstLine="720"/>
      </w:pPr>
      <w:r>
        <w:t>Fr</w:t>
      </w:r>
      <w:r w:rsidR="00A5751B">
        <w:t xml:space="preserve">om the Commission’s </w:t>
      </w:r>
      <w:r>
        <w:t>AWS-3 auction</w:t>
      </w:r>
      <w:r w:rsidR="00982C0E">
        <w:rPr>
          <w:rStyle w:val="FootnoteReference"/>
        </w:rPr>
        <w:footnoteReference w:id="1"/>
      </w:r>
      <w:r>
        <w:t xml:space="preserve"> and our work on the 3.5 and 5 GHz Bands,</w:t>
      </w:r>
      <w:r w:rsidR="00982C0E">
        <w:rPr>
          <w:rStyle w:val="FootnoteReference"/>
        </w:rPr>
        <w:footnoteReference w:id="2"/>
      </w:r>
      <w:r>
        <w:t xml:space="preserve"> to the upcoming incentive auction,</w:t>
      </w:r>
      <w:r w:rsidR="00982C0E">
        <w:rPr>
          <w:rStyle w:val="FootnoteReference"/>
        </w:rPr>
        <w:footnoteReference w:id="3"/>
      </w:r>
      <w:r>
        <w:t xml:space="preserve"> the Commission </w:t>
      </w:r>
      <w:r w:rsidR="009121A5">
        <w:t xml:space="preserve">is </w:t>
      </w:r>
      <w:r>
        <w:t>get</w:t>
      </w:r>
      <w:r w:rsidR="009121A5">
        <w:t>ting</w:t>
      </w:r>
      <w:r>
        <w:t xml:space="preserve"> spectrum ou</w:t>
      </w:r>
      <w:r w:rsidR="001D09C6">
        <w:t xml:space="preserve">t into the </w:t>
      </w:r>
      <w:r w:rsidR="009121A5">
        <w:t xml:space="preserve">commercial marketplace.  </w:t>
      </w:r>
      <w:r w:rsidR="001D4F44">
        <w:t xml:space="preserve">We have also started a proceeding to consider the </w:t>
      </w:r>
      <w:r w:rsidR="00D20BB5">
        <w:t xml:space="preserve">future </w:t>
      </w:r>
      <w:r w:rsidR="001D4F44">
        <w:t xml:space="preserve">use of millimeter waves </w:t>
      </w:r>
      <w:r w:rsidR="001D4F44" w:rsidRPr="004F1600">
        <w:t>above 24 GHz</w:t>
      </w:r>
      <w:r w:rsidR="001D4F44">
        <w:t>.</w:t>
      </w:r>
      <w:r w:rsidR="00982C0E">
        <w:rPr>
          <w:rStyle w:val="FootnoteReference"/>
        </w:rPr>
        <w:footnoteReference w:id="4"/>
      </w:r>
      <w:r w:rsidR="001D4F44">
        <w:t xml:space="preserve">  </w:t>
      </w:r>
      <w:r w:rsidR="002801C2">
        <w:t>T</w:t>
      </w:r>
      <w:r w:rsidR="009121A5">
        <w:t xml:space="preserve">his </w:t>
      </w:r>
      <w:r w:rsidR="001D09C6">
        <w:t>past work</w:t>
      </w:r>
      <w:r>
        <w:t xml:space="preserve"> </w:t>
      </w:r>
      <w:r w:rsidR="001D09C6">
        <w:t xml:space="preserve">is </w:t>
      </w:r>
      <w:r>
        <w:t xml:space="preserve">all well and good, but </w:t>
      </w:r>
      <w:r w:rsidR="00FB34DF">
        <w:t xml:space="preserve">we must develop more </w:t>
      </w:r>
      <w:r w:rsidR="009F0470">
        <w:t xml:space="preserve">spectrum bands </w:t>
      </w:r>
      <w:r w:rsidR="00854A7B">
        <w:t>for future use</w:t>
      </w:r>
      <w:r w:rsidR="00DF4BA3">
        <w:t xml:space="preserve">.  </w:t>
      </w:r>
      <w:r w:rsidR="00FE483F">
        <w:t xml:space="preserve">We can't rest on our laurels or </w:t>
      </w:r>
      <w:r w:rsidR="00F51461">
        <w:t xml:space="preserve">wish </w:t>
      </w:r>
      <w:r w:rsidR="006439D5">
        <w:t xml:space="preserve">it on </w:t>
      </w:r>
      <w:r w:rsidR="00BC2F35">
        <w:t xml:space="preserve">another day. </w:t>
      </w:r>
      <w:r w:rsidR="006439D5">
        <w:t xml:space="preserve"> </w:t>
      </w:r>
      <w:r w:rsidR="00F86A42">
        <w:t>T</w:t>
      </w:r>
      <w:r w:rsidR="00A74D6D">
        <w:t xml:space="preserve">his </w:t>
      </w:r>
      <w:r w:rsidR="00DF4BA3">
        <w:t xml:space="preserve">means that Federal government users are going to need to reduce their </w:t>
      </w:r>
      <w:r w:rsidR="009D11A8">
        <w:t>footprint by becoming more efficient and decreasing their spectrum holdings</w:t>
      </w:r>
      <w:r w:rsidR="003C254E">
        <w:t xml:space="preserve"> by </w:t>
      </w:r>
      <w:r w:rsidR="00684465">
        <w:t>upwards of 400 MHz by the end of this decade to meet the expected demand for licensed spectrum</w:t>
      </w:r>
      <w:r w:rsidR="009D11A8">
        <w:t>.</w:t>
      </w:r>
      <w:r w:rsidR="00684465">
        <w:rPr>
          <w:rStyle w:val="FootnoteReference"/>
        </w:rPr>
        <w:footnoteReference w:id="5"/>
      </w:r>
      <w:r w:rsidR="00BC2F35">
        <w:t xml:space="preserve">  While I appreciate </w:t>
      </w:r>
      <w:r>
        <w:t>CCA</w:t>
      </w:r>
      <w:r w:rsidR="00BC2F35">
        <w:t xml:space="preserve">’s support </w:t>
      </w:r>
      <w:r w:rsidR="003D521F">
        <w:t xml:space="preserve">for Federal government user incentives to relinquish spectrum, </w:t>
      </w:r>
      <w:r w:rsidR="006C449C">
        <w:t xml:space="preserve">I suggest that we are going to need </w:t>
      </w:r>
      <w:r w:rsidR="00A57244">
        <w:t>“</w:t>
      </w:r>
      <w:r w:rsidR="00F51461">
        <w:t>sticks</w:t>
      </w:r>
      <w:r w:rsidR="009249F9">
        <w:t>”</w:t>
      </w:r>
      <w:r w:rsidR="00F51461">
        <w:t xml:space="preserve"> as well. </w:t>
      </w:r>
      <w:r w:rsidR="00A57244">
        <w:t xml:space="preserve"> </w:t>
      </w:r>
      <w:r w:rsidR="00B9240B">
        <w:t>That’</w:t>
      </w:r>
      <w:r w:rsidR="00F51461">
        <w:t xml:space="preserve">s why I’ve </w:t>
      </w:r>
      <w:r w:rsidR="00AF000E">
        <w:t>suggested</w:t>
      </w:r>
      <w:r w:rsidR="00F51461">
        <w:t xml:space="preserve"> </w:t>
      </w:r>
      <w:r>
        <w:t>federal government spectr</w:t>
      </w:r>
      <w:r w:rsidR="00F51461">
        <w:t xml:space="preserve">um fees to generate </w:t>
      </w:r>
      <w:r w:rsidR="00A74D6D">
        <w:t xml:space="preserve">greater </w:t>
      </w:r>
      <w:r w:rsidR="00F51461">
        <w:t>spectrum efficiency</w:t>
      </w:r>
      <w:r>
        <w:t>.</w:t>
      </w:r>
      <w:r w:rsidR="00982C0E">
        <w:rPr>
          <w:rStyle w:val="FootnoteReference"/>
        </w:rPr>
        <w:footnoteReference w:id="6"/>
      </w:r>
      <w:r>
        <w:t xml:space="preserve">  </w:t>
      </w:r>
      <w:r w:rsidR="009F0470">
        <w:t>I'd appreciate you</w:t>
      </w:r>
      <w:r w:rsidR="009C499E">
        <w:t xml:space="preserve">r </w:t>
      </w:r>
      <w:r w:rsidR="009F0470">
        <w:t xml:space="preserve">taking a look at this proposal and </w:t>
      </w:r>
      <w:r w:rsidR="00854A7B">
        <w:t xml:space="preserve">giving me your feedback. </w:t>
      </w:r>
    </w:p>
    <w:p w14:paraId="793A866E" w14:textId="554432DB" w:rsidR="007C51FE" w:rsidRDefault="00854A7B" w:rsidP="007C51FE">
      <w:pPr>
        <w:spacing w:line="240" w:lineRule="auto"/>
        <w:ind w:firstLine="720"/>
      </w:pPr>
      <w:r>
        <w:t>At the same time,</w:t>
      </w:r>
      <w:r w:rsidR="00A72C9A">
        <w:t xml:space="preserve"> </w:t>
      </w:r>
      <w:r w:rsidR="00D819EE">
        <w:t>spectrum alone will not relieve America’s insatiable demand for wireless ser</w:t>
      </w:r>
      <w:r w:rsidR="00633822">
        <w:t>vices.  So, let’s spend a few moments discussing infrastructure</w:t>
      </w:r>
      <w:r w:rsidR="00D070B6">
        <w:t xml:space="preserve"> deployment</w:t>
      </w:r>
      <w:r w:rsidR="00633822">
        <w:t xml:space="preserve">. </w:t>
      </w:r>
    </w:p>
    <w:p w14:paraId="2B51E793" w14:textId="4992D1A2" w:rsidR="00B91068" w:rsidRPr="004F1600" w:rsidRDefault="00A25E8B" w:rsidP="00A16528">
      <w:pPr>
        <w:spacing w:line="240" w:lineRule="auto"/>
        <w:ind w:firstLine="720"/>
      </w:pPr>
      <w:r>
        <w:lastRenderedPageBreak/>
        <w:t xml:space="preserve">Everyone must </w:t>
      </w:r>
      <w:r w:rsidR="00A16528">
        <w:t xml:space="preserve">accept the </w:t>
      </w:r>
      <w:r w:rsidR="00F73E6E">
        <w:t xml:space="preserve">simple </w:t>
      </w:r>
      <w:r w:rsidR="00B9240B">
        <w:t>fact that you can’</w:t>
      </w:r>
      <w:r w:rsidR="00A16528">
        <w:t>t have wireless</w:t>
      </w:r>
      <w:r w:rsidR="00D36E7F">
        <w:t xml:space="preserve"> networks</w:t>
      </w:r>
      <w:r w:rsidR="00BB1A97">
        <w:t xml:space="preserve"> and the services that result</w:t>
      </w:r>
      <w:r w:rsidR="00D36E7F">
        <w:t>, including</w:t>
      </w:r>
      <w:r>
        <w:t xml:space="preserve"> wireless broadband</w:t>
      </w:r>
      <w:r w:rsidR="00D36E7F">
        <w:t xml:space="preserve">, </w:t>
      </w:r>
      <w:r w:rsidR="00A16528">
        <w:t>with</w:t>
      </w:r>
      <w:r w:rsidR="005A6825">
        <w:t>out</w:t>
      </w:r>
      <w:r>
        <w:t xml:space="preserve"> </w:t>
      </w:r>
      <w:r w:rsidR="00A16528">
        <w:t>infrastructure.</w:t>
      </w:r>
      <w:r w:rsidR="00B91068" w:rsidRPr="004F1600">
        <w:t xml:space="preserve">  </w:t>
      </w:r>
      <w:r w:rsidR="00D03810">
        <w:t xml:space="preserve">Not only is </w:t>
      </w:r>
      <w:r w:rsidR="00B91068" w:rsidRPr="004F1600">
        <w:t>infrastructure</w:t>
      </w:r>
      <w:r w:rsidR="00D03810">
        <w:t xml:space="preserve"> needed to deliver </w:t>
      </w:r>
      <w:r w:rsidR="00B91068" w:rsidRPr="004F1600">
        <w:t>the l</w:t>
      </w:r>
      <w:r w:rsidR="00B04198">
        <w:t>atest innovations and offerings</w:t>
      </w:r>
      <w:r w:rsidR="00D03810">
        <w:t xml:space="preserve">, but is </w:t>
      </w:r>
      <w:r w:rsidR="00D01DEC">
        <w:t xml:space="preserve">also </w:t>
      </w:r>
      <w:r w:rsidR="00D03810">
        <w:t>needed to</w:t>
      </w:r>
      <w:r w:rsidR="0010287E" w:rsidRPr="004F1600">
        <w:t xml:space="preserve"> </w:t>
      </w:r>
      <w:r w:rsidR="00D03810">
        <w:t xml:space="preserve">maintain </w:t>
      </w:r>
      <w:r w:rsidR="00D03810" w:rsidRPr="004F1600">
        <w:t>the economic growth of the wireless sector</w:t>
      </w:r>
      <w:r w:rsidR="00D03810">
        <w:t xml:space="preserve">, along with its </w:t>
      </w:r>
      <w:r w:rsidR="00D03810" w:rsidRPr="004F1600">
        <w:t>corresponding benefits to the U.S. economy</w:t>
      </w:r>
      <w:r w:rsidR="00D03810">
        <w:t>, and</w:t>
      </w:r>
      <w:r w:rsidR="00D03810" w:rsidRPr="004F1600">
        <w:t xml:space="preserve"> </w:t>
      </w:r>
      <w:r w:rsidR="00D03810">
        <w:t xml:space="preserve">the U.S. </w:t>
      </w:r>
      <w:r w:rsidR="0010287E" w:rsidRPr="004F1600">
        <w:t>position as the leader in wireless and Internet technologies.</w:t>
      </w:r>
      <w:r w:rsidR="006E5D62" w:rsidRPr="004F1600">
        <w:t xml:space="preserve">  </w:t>
      </w:r>
      <w:r w:rsidR="002B34E3">
        <w:t>So, what can the Comm</w:t>
      </w:r>
      <w:r w:rsidR="00FB4262">
        <w:t xml:space="preserve">ission do to facilitate </w:t>
      </w:r>
      <w:r w:rsidR="002B34E3">
        <w:t>deployment?</w:t>
      </w:r>
    </w:p>
    <w:p w14:paraId="002DBCA9" w14:textId="7C1317F6" w:rsidR="00AC47AE" w:rsidRDefault="002B34E3" w:rsidP="00D03810">
      <w:pPr>
        <w:spacing w:line="240" w:lineRule="auto"/>
        <w:ind w:firstLine="720"/>
      </w:pPr>
      <w:r>
        <w:t>First</w:t>
      </w:r>
      <w:r w:rsidR="00D03810">
        <w:t>, t</w:t>
      </w:r>
      <w:r w:rsidR="00E43BB7" w:rsidRPr="004F1600">
        <w:t>he Commission</w:t>
      </w:r>
      <w:r w:rsidR="0010287E" w:rsidRPr="004F1600">
        <w:t xml:space="preserve"> </w:t>
      </w:r>
      <w:r w:rsidR="00D03810">
        <w:t>must</w:t>
      </w:r>
      <w:r w:rsidR="00B200BC">
        <w:t xml:space="preserve"> provide</w:t>
      </w:r>
      <w:r w:rsidR="0010287E" w:rsidRPr="004F1600">
        <w:t xml:space="preserve"> </w:t>
      </w:r>
      <w:r w:rsidR="004400B8">
        <w:t>a</w:t>
      </w:r>
      <w:r w:rsidR="0010287E" w:rsidRPr="004F1600">
        <w:t xml:space="preserve"> </w:t>
      </w:r>
      <w:r w:rsidR="00FF569A">
        <w:t>regulatory</w:t>
      </w:r>
      <w:r w:rsidR="001856E4" w:rsidRPr="004F1600">
        <w:t xml:space="preserve"> </w:t>
      </w:r>
      <w:r w:rsidR="0010287E" w:rsidRPr="004F1600">
        <w:t xml:space="preserve">environment </w:t>
      </w:r>
      <w:r w:rsidR="004400B8">
        <w:t xml:space="preserve">that </w:t>
      </w:r>
      <w:r w:rsidR="00E43BB7" w:rsidRPr="004F1600">
        <w:t>promote</w:t>
      </w:r>
      <w:r w:rsidR="00FF569A">
        <w:t>s</w:t>
      </w:r>
      <w:r w:rsidR="00E43BB7" w:rsidRPr="004F1600">
        <w:t xml:space="preserve"> infrastructure</w:t>
      </w:r>
      <w:r w:rsidR="00093582" w:rsidRPr="004F1600">
        <w:t xml:space="preserve"> investment </w:t>
      </w:r>
      <w:r w:rsidR="001856E4" w:rsidRPr="004F1600">
        <w:t xml:space="preserve">and </w:t>
      </w:r>
      <w:r w:rsidR="00093582" w:rsidRPr="004F1600">
        <w:t>deployment</w:t>
      </w:r>
      <w:r w:rsidR="001076E3" w:rsidRPr="004F1600">
        <w:t xml:space="preserve"> by reducing regulatory </w:t>
      </w:r>
      <w:r w:rsidR="00951905">
        <w:t>cost</w:t>
      </w:r>
      <w:r w:rsidR="001076E3" w:rsidRPr="004F1600">
        <w:t xml:space="preserve">s and increasing market certainty.  </w:t>
      </w:r>
      <w:r w:rsidR="00B04198">
        <w:t>On this, the</w:t>
      </w:r>
      <w:r w:rsidR="00FF569A">
        <w:t xml:space="preserve"> Commission has a mixed scorecard.  On one hand, the </w:t>
      </w:r>
      <w:r w:rsidR="00951905">
        <w:t>vague and burdens</w:t>
      </w:r>
      <w:r w:rsidR="006F18A4">
        <w:t>ome</w:t>
      </w:r>
      <w:r w:rsidR="00951905">
        <w:t xml:space="preserve"> </w:t>
      </w:r>
      <w:r w:rsidR="00FF569A">
        <w:t>Net Neutrality decision will likely a</w:t>
      </w:r>
      <w:r w:rsidR="00876F58">
        <w:t>ffect investment negatively</w:t>
      </w:r>
      <w:r w:rsidR="00BB04C5">
        <w:t>.</w:t>
      </w:r>
      <w:r w:rsidR="00982C0E">
        <w:rPr>
          <w:rStyle w:val="FootnoteReference"/>
        </w:rPr>
        <w:footnoteReference w:id="7"/>
      </w:r>
      <w:r w:rsidR="00BB04C5">
        <w:t xml:space="preserve"> </w:t>
      </w:r>
      <w:r w:rsidR="00BE316F">
        <w:t xml:space="preserve"> The Commission’s </w:t>
      </w:r>
      <w:r w:rsidR="00147AAC">
        <w:t>desire to create imaginary au</w:t>
      </w:r>
      <w:r w:rsidR="00BE316F">
        <w:t xml:space="preserve">thority under section 706 </w:t>
      </w:r>
      <w:r w:rsidR="00DC4212">
        <w:t>is misguided</w:t>
      </w:r>
      <w:r w:rsidR="003510EA">
        <w:t>,</w:t>
      </w:r>
      <w:r w:rsidR="00DC4212">
        <w:t xml:space="preserve"> and</w:t>
      </w:r>
      <w:r w:rsidR="003510EA">
        <w:t xml:space="preserve"> once headed down this path, </w:t>
      </w:r>
      <w:r w:rsidR="00DC4212">
        <w:t xml:space="preserve"> its </w:t>
      </w:r>
      <w:r w:rsidR="00BE316F">
        <w:t xml:space="preserve">unwillingness to </w:t>
      </w:r>
      <w:r w:rsidR="00407F8A">
        <w:t xml:space="preserve">correspondingly </w:t>
      </w:r>
      <w:r w:rsidR="00DC4212">
        <w:t xml:space="preserve">reduce </w:t>
      </w:r>
      <w:r w:rsidR="003D33AE">
        <w:t>burdens as stated in</w:t>
      </w:r>
      <w:r w:rsidR="00BE316F">
        <w:t xml:space="preserve"> </w:t>
      </w:r>
      <w:r w:rsidR="00147AAC">
        <w:t>the law</w:t>
      </w:r>
      <w:r w:rsidR="00937B08">
        <w:t xml:space="preserve"> </w:t>
      </w:r>
      <w:r w:rsidR="003510EA">
        <w:t>is flawed</w:t>
      </w:r>
      <w:r w:rsidR="00876F58">
        <w:t xml:space="preserve">. </w:t>
      </w:r>
      <w:r w:rsidR="008C1564">
        <w:t xml:space="preserve"> </w:t>
      </w:r>
      <w:r w:rsidR="00876F58">
        <w:t xml:space="preserve">On </w:t>
      </w:r>
      <w:r w:rsidR="00FF569A">
        <w:t>the other han</w:t>
      </w:r>
      <w:r w:rsidR="00875730">
        <w:t>d, the Commission has tried</w:t>
      </w:r>
      <w:r w:rsidR="00FF569A">
        <w:t xml:space="preserve"> to </w:t>
      </w:r>
      <w:r w:rsidR="00951905">
        <w:t xml:space="preserve">ease </w:t>
      </w:r>
      <w:r w:rsidR="00FB790D">
        <w:t xml:space="preserve">certain </w:t>
      </w:r>
      <w:r w:rsidR="00951905">
        <w:t>regulation</w:t>
      </w:r>
      <w:r w:rsidR="00B51AFF">
        <w:t>s</w:t>
      </w:r>
      <w:r w:rsidR="00951905">
        <w:t xml:space="preserve"> affecting infrastructure deployment</w:t>
      </w:r>
      <w:r w:rsidR="00604912">
        <w:t>, such as updating r</w:t>
      </w:r>
      <w:r w:rsidR="00B51AFF">
        <w:t>ule</w:t>
      </w:r>
      <w:r w:rsidR="00604912">
        <w:t>s regarding the marking and lighting of towers</w:t>
      </w:r>
      <w:r w:rsidR="00CD0E13" w:rsidRPr="004F1600">
        <w:t>.</w:t>
      </w:r>
      <w:r w:rsidR="00982C0E">
        <w:rPr>
          <w:rStyle w:val="FootnoteReference"/>
        </w:rPr>
        <w:footnoteReference w:id="8"/>
      </w:r>
      <w:r w:rsidR="00FB4262">
        <w:t xml:space="preserve"> </w:t>
      </w:r>
    </w:p>
    <w:p w14:paraId="75AB5318" w14:textId="3A551D3E" w:rsidR="00661D44" w:rsidRDefault="002D66CE" w:rsidP="00D03810">
      <w:pPr>
        <w:spacing w:line="240" w:lineRule="auto"/>
        <w:ind w:firstLine="720"/>
      </w:pPr>
      <w:r>
        <w:t>Additionally</w:t>
      </w:r>
      <w:r w:rsidR="008A2864">
        <w:t xml:space="preserve">, </w:t>
      </w:r>
      <w:r w:rsidR="004400B8">
        <w:t>i</w:t>
      </w:r>
      <w:r w:rsidR="00604912">
        <w:t>n les</w:t>
      </w:r>
      <w:r w:rsidR="00145CE0">
        <w:t xml:space="preserve">s than two weeks, </w:t>
      </w:r>
      <w:r w:rsidR="008A2864">
        <w:t>we’ll</w:t>
      </w:r>
      <w:r w:rsidR="00145CE0">
        <w:t xml:space="preserve"> reach the</w:t>
      </w:r>
      <w:r w:rsidR="00604912">
        <w:t xml:space="preserve"> one year anniversary of the Commission’s</w:t>
      </w:r>
      <w:r w:rsidR="009902B4">
        <w:t xml:space="preserve"> </w:t>
      </w:r>
      <w:r w:rsidR="00604912" w:rsidRPr="00604912">
        <w:rPr>
          <w:i/>
        </w:rPr>
        <w:t>Infrastructure Order</w:t>
      </w:r>
      <w:r w:rsidR="00604912">
        <w:t>.</w:t>
      </w:r>
      <w:r w:rsidR="00982C0E">
        <w:rPr>
          <w:rStyle w:val="FootnoteReference"/>
        </w:rPr>
        <w:footnoteReference w:id="9"/>
      </w:r>
      <w:r w:rsidR="00604912">
        <w:t xml:space="preserve"> </w:t>
      </w:r>
      <w:r w:rsidR="009902B4">
        <w:t xml:space="preserve"> In adopting this order, as clearly directed by </w:t>
      </w:r>
      <w:r w:rsidR="00951905" w:rsidRPr="004F1600">
        <w:t xml:space="preserve">the </w:t>
      </w:r>
      <w:r w:rsidR="00951905">
        <w:t xml:space="preserve">2012 </w:t>
      </w:r>
      <w:r w:rsidR="00951905" w:rsidRPr="004F1600">
        <w:t>Spectrum Act,</w:t>
      </w:r>
      <w:r w:rsidR="00982C0E">
        <w:rPr>
          <w:rStyle w:val="FootnoteReference"/>
        </w:rPr>
        <w:footnoteReference w:id="10"/>
      </w:r>
      <w:r w:rsidR="00D03810">
        <w:t xml:space="preserve"> </w:t>
      </w:r>
      <w:r w:rsidR="00951905">
        <w:t xml:space="preserve">the Commission </w:t>
      </w:r>
      <w:r w:rsidR="002C031A" w:rsidRPr="004F1600">
        <w:t>finally end</w:t>
      </w:r>
      <w:r w:rsidR="009902B4">
        <w:t>ed</w:t>
      </w:r>
      <w:r w:rsidR="00951905">
        <w:t xml:space="preserve"> – or so we thought –</w:t>
      </w:r>
      <w:r w:rsidR="002C031A" w:rsidRPr="004F1600">
        <w:t xml:space="preserve"> </w:t>
      </w:r>
      <w:r w:rsidR="00D57605">
        <w:t>some</w:t>
      </w:r>
      <w:r w:rsidR="00D57605" w:rsidRPr="004F1600">
        <w:t xml:space="preserve"> </w:t>
      </w:r>
      <w:r w:rsidR="00951905">
        <w:t xml:space="preserve">of the </w:t>
      </w:r>
      <w:r w:rsidR="002C031A" w:rsidRPr="004F1600">
        <w:t xml:space="preserve">disruptive practices </w:t>
      </w:r>
      <w:r w:rsidR="001856E4" w:rsidRPr="004F1600">
        <w:t xml:space="preserve">of </w:t>
      </w:r>
      <w:r w:rsidR="002C031A" w:rsidRPr="004F1600">
        <w:t xml:space="preserve">states and localities </w:t>
      </w:r>
      <w:r w:rsidR="00951905">
        <w:t>to impede</w:t>
      </w:r>
      <w:r w:rsidR="002C031A" w:rsidRPr="004F1600">
        <w:t xml:space="preserve"> the placement of wireless towers. </w:t>
      </w:r>
    </w:p>
    <w:p w14:paraId="489FA64C" w14:textId="14C056E7" w:rsidR="0066019B" w:rsidRDefault="0066019B" w:rsidP="00D03810">
      <w:pPr>
        <w:spacing w:line="240" w:lineRule="auto"/>
        <w:ind w:firstLine="720"/>
      </w:pPr>
      <w:r w:rsidRPr="004F1600">
        <w:t xml:space="preserve">Unfortunately, </w:t>
      </w:r>
      <w:r w:rsidR="00C7771E">
        <w:t>resistan</w:t>
      </w:r>
      <w:r w:rsidR="00B51AFF">
        <w:t>ce</w:t>
      </w:r>
      <w:r w:rsidR="00C7771E">
        <w:t xml:space="preserve"> to tower siting</w:t>
      </w:r>
      <w:r w:rsidR="006F18A4">
        <w:t xml:space="preserve"> continue</w:t>
      </w:r>
      <w:r w:rsidR="00C7771E">
        <w:t>s</w:t>
      </w:r>
      <w:r w:rsidR="00951905">
        <w:t>.</w:t>
      </w:r>
      <w:r w:rsidR="00543826">
        <w:t xml:space="preserve">  </w:t>
      </w:r>
      <w:r w:rsidR="00951905">
        <w:t>S</w:t>
      </w:r>
      <w:r w:rsidR="00543826">
        <w:t xml:space="preserve">ome localities continue to </w:t>
      </w:r>
      <w:r w:rsidR="00951905">
        <w:t>place</w:t>
      </w:r>
      <w:r w:rsidR="00543826">
        <w:t xml:space="preserve"> roadblocks </w:t>
      </w:r>
      <w:r w:rsidR="00951905">
        <w:t>in front of</w:t>
      </w:r>
      <w:r w:rsidR="006F18A4">
        <w:t xml:space="preserve"> </w:t>
      </w:r>
      <w:r w:rsidR="00C7771E">
        <w:t>infrastructure deployment</w:t>
      </w:r>
      <w:r w:rsidRPr="004F1600">
        <w:t xml:space="preserve">.  </w:t>
      </w:r>
      <w:r w:rsidR="00951905">
        <w:t>For example, on the other side of th</w:t>
      </w:r>
      <w:r w:rsidR="001701B0">
        <w:t>is</w:t>
      </w:r>
      <w:r w:rsidR="00951905">
        <w:t xml:space="preserve"> state, </w:t>
      </w:r>
      <w:r w:rsidR="00D01DEC">
        <w:t>a</w:t>
      </w:r>
      <w:r w:rsidR="00B34CA6">
        <w:t xml:space="preserve"> company </w:t>
      </w:r>
      <w:r w:rsidR="00D01DEC">
        <w:t xml:space="preserve">relied on a permit it received from </w:t>
      </w:r>
      <w:r w:rsidR="00D01DEC" w:rsidRPr="006F18A4">
        <w:t xml:space="preserve">Destin, Florida </w:t>
      </w:r>
      <w:r w:rsidR="00D01DEC">
        <w:t>to</w:t>
      </w:r>
      <w:r w:rsidR="00B34CA6">
        <w:t xml:space="preserve"> buil</w:t>
      </w:r>
      <w:r w:rsidR="00D01DEC">
        <w:t>d</w:t>
      </w:r>
      <w:r w:rsidR="00B34CA6">
        <w:t xml:space="preserve"> two small cell towers on a right-of-way</w:t>
      </w:r>
      <w:r w:rsidR="00DF267D">
        <w:t>,</w:t>
      </w:r>
      <w:r w:rsidR="00B34CA6">
        <w:t xml:space="preserve"> only to have </w:t>
      </w:r>
      <w:r w:rsidR="00D01DEC">
        <w:t xml:space="preserve">the locality </w:t>
      </w:r>
      <w:r w:rsidR="00B371F0">
        <w:t>b</w:t>
      </w:r>
      <w:r w:rsidR="00CE25F5">
        <w:t>ackslide</w:t>
      </w:r>
      <w:r w:rsidR="00B371F0">
        <w:t xml:space="preserve"> and create</w:t>
      </w:r>
      <w:r w:rsidR="00CE25F5">
        <w:t xml:space="preserve"> new hurdles</w:t>
      </w:r>
      <w:r w:rsidR="002A5BA5">
        <w:t>.</w:t>
      </w:r>
      <w:r w:rsidR="00982C0E">
        <w:rPr>
          <w:rStyle w:val="FootnoteReference"/>
        </w:rPr>
        <w:footnoteReference w:id="11"/>
      </w:r>
      <w:r w:rsidR="002A5BA5">
        <w:t xml:space="preserve"> </w:t>
      </w:r>
      <w:r w:rsidR="00240C8A">
        <w:t xml:space="preserve"> After some unnecessary delay and handwringing, </w:t>
      </w:r>
      <w:r w:rsidR="00B51AFF">
        <w:t>t</w:t>
      </w:r>
      <w:r w:rsidR="001701B0">
        <w:t xml:space="preserve">he city council met to consider the </w:t>
      </w:r>
      <w:r w:rsidR="002212D4">
        <w:t>fate of the tower</w:t>
      </w:r>
      <w:r w:rsidR="001701B0">
        <w:t>s</w:t>
      </w:r>
      <w:r w:rsidR="002842EB">
        <w:t xml:space="preserve"> and ultimately</w:t>
      </w:r>
      <w:r w:rsidR="00F768D1">
        <w:t xml:space="preserve"> </w:t>
      </w:r>
      <w:r w:rsidR="002842EB">
        <w:t>ruled</w:t>
      </w:r>
      <w:r w:rsidR="00E31C9B">
        <w:t xml:space="preserve"> that the</w:t>
      </w:r>
      <w:r w:rsidR="00543826">
        <w:t xml:space="preserve"> </w:t>
      </w:r>
      <w:r w:rsidR="00961B85">
        <w:t xml:space="preserve">towers </w:t>
      </w:r>
      <w:r w:rsidR="00E31C9B">
        <w:t>must be</w:t>
      </w:r>
      <w:r w:rsidR="00F768D1">
        <w:t xml:space="preserve"> taken down. </w:t>
      </w:r>
      <w:r w:rsidR="004478C4">
        <w:t xml:space="preserve"> </w:t>
      </w:r>
      <w:r w:rsidR="00961B85">
        <w:t>Even worse,</w:t>
      </w:r>
      <w:r w:rsidR="00E31C9B">
        <w:t xml:space="preserve"> </w:t>
      </w:r>
      <w:r w:rsidR="002212D4">
        <w:t xml:space="preserve">it was decided that </w:t>
      </w:r>
      <w:r w:rsidR="00E31C9B">
        <w:t>no s</w:t>
      </w:r>
      <w:r w:rsidR="006F18A4">
        <w:t>mall cell towers can be placed o</w:t>
      </w:r>
      <w:r w:rsidR="00E31C9B">
        <w:t>n the</w:t>
      </w:r>
      <w:r w:rsidR="00FB778C">
        <w:t xml:space="preserve"> city</w:t>
      </w:r>
      <w:r w:rsidR="00E31C9B">
        <w:t xml:space="preserve"> right</w:t>
      </w:r>
      <w:r w:rsidR="002B34E3">
        <w:t>s-of-</w:t>
      </w:r>
      <w:r w:rsidR="00E31C9B">
        <w:t>way</w:t>
      </w:r>
      <w:r w:rsidR="00543826">
        <w:t>.</w:t>
      </w:r>
      <w:r w:rsidR="00FB778C">
        <w:t xml:space="preserve">  </w:t>
      </w:r>
      <w:r w:rsidR="00F96112">
        <w:t xml:space="preserve">In doing so, it also rejected </w:t>
      </w:r>
      <w:r w:rsidR="00F768D1">
        <w:t>the options of alternative sites or disguising the towers as palm trees.  One</w:t>
      </w:r>
      <w:r w:rsidR="009C7CC1">
        <w:t xml:space="preserve"> council woman </w:t>
      </w:r>
      <w:r w:rsidR="00F768D1">
        <w:t>is reported to have said,</w:t>
      </w:r>
      <w:r w:rsidR="00594927">
        <w:t xml:space="preserve"> </w:t>
      </w:r>
      <w:r w:rsidR="00D83D75">
        <w:t>“</w:t>
      </w:r>
      <w:r w:rsidR="009C7CC1">
        <w:t>Personally, I’m opposed to any cell towers at that location.”</w:t>
      </w:r>
      <w:r w:rsidR="00982C0E">
        <w:rPr>
          <w:rStyle w:val="FootnoteReference"/>
        </w:rPr>
        <w:footnoteReference w:id="12"/>
      </w:r>
      <w:r w:rsidR="00D83D75">
        <w:t xml:space="preserve">  That's</w:t>
      </w:r>
      <w:r w:rsidR="006A248E">
        <w:t xml:space="preserve"> simply outrageous.</w:t>
      </w:r>
      <w:r w:rsidR="00F60BBC">
        <w:t xml:space="preserve">  </w:t>
      </w:r>
      <w:r w:rsidR="00430B4C">
        <w:t xml:space="preserve">Other localities and the relevant associations should get active in </w:t>
      </w:r>
      <w:r w:rsidR="00F60BBC">
        <w:t>this</w:t>
      </w:r>
      <w:r w:rsidR="00430B4C">
        <w:t xml:space="preserve"> ca</w:t>
      </w:r>
      <w:r w:rsidR="00F60BBC">
        <w:t xml:space="preserve">se because it provides you all </w:t>
      </w:r>
      <w:r w:rsidR="00430B4C">
        <w:t xml:space="preserve">with a black eye. </w:t>
      </w:r>
    </w:p>
    <w:p w14:paraId="2FBB8D19" w14:textId="6401899A" w:rsidR="00FB778C" w:rsidRPr="004F1600" w:rsidRDefault="001E3616" w:rsidP="00D03810">
      <w:pPr>
        <w:spacing w:line="240" w:lineRule="auto"/>
        <w:ind w:firstLine="720"/>
      </w:pPr>
      <w:r>
        <w:lastRenderedPageBreak/>
        <w:t>In the near term, wireless</w:t>
      </w:r>
      <w:r w:rsidR="006762CD">
        <w:t xml:space="preserve"> providers </w:t>
      </w:r>
      <w:r w:rsidR="00AF3A97" w:rsidRPr="00DF267D">
        <w:t>need to install thousands of new facilities to provide service</w:t>
      </w:r>
      <w:r w:rsidR="00AF3A97">
        <w:t xml:space="preserve"> to</w:t>
      </w:r>
      <w:r w:rsidR="00FB778C" w:rsidRPr="00DF267D">
        <w:t xml:space="preserve"> meet capacity needs</w:t>
      </w:r>
      <w:r w:rsidR="009902B4">
        <w:t>,</w:t>
      </w:r>
      <w:r w:rsidR="00FB778C" w:rsidRPr="00DF267D">
        <w:t xml:space="preserve"> </w:t>
      </w:r>
      <w:r w:rsidR="00961B85">
        <w:t>relieve</w:t>
      </w:r>
      <w:r w:rsidR="00FB778C" w:rsidRPr="00DF267D">
        <w:t xml:space="preserve"> congestion</w:t>
      </w:r>
      <w:r w:rsidR="009902B4">
        <w:t xml:space="preserve"> and expand coverage areas</w:t>
      </w:r>
      <w:r w:rsidR="00AF3A97">
        <w:t>.</w:t>
      </w:r>
      <w:r w:rsidR="00982C0E">
        <w:rPr>
          <w:rStyle w:val="FootnoteReference"/>
        </w:rPr>
        <w:footnoteReference w:id="13"/>
      </w:r>
      <w:r w:rsidR="00FB778C" w:rsidRPr="00DF267D">
        <w:t xml:space="preserve">  </w:t>
      </w:r>
      <w:r w:rsidR="00D0175C">
        <w:t>A</w:t>
      </w:r>
      <w:r w:rsidR="002212D4">
        <w:t>ccomplish</w:t>
      </w:r>
      <w:r w:rsidR="00D0175C">
        <w:t xml:space="preserve">ing </w:t>
      </w:r>
      <w:r w:rsidR="002212D4">
        <w:t>this task</w:t>
      </w:r>
      <w:r w:rsidR="004400B8">
        <w:t>,</w:t>
      </w:r>
      <w:r w:rsidR="002212D4">
        <w:t xml:space="preserve"> </w:t>
      </w:r>
      <w:r w:rsidR="006A248E">
        <w:t xml:space="preserve">requires </w:t>
      </w:r>
      <w:r w:rsidR="002212D4">
        <w:t>c</w:t>
      </w:r>
      <w:r w:rsidR="00FB778C" w:rsidRPr="00DF267D">
        <w:t xml:space="preserve">ooperation, not </w:t>
      </w:r>
      <w:r w:rsidR="00961B85">
        <w:t>unnecessary hindrances and mounds of paperwork</w:t>
      </w:r>
      <w:r w:rsidR="006A248E">
        <w:t xml:space="preserve">, </w:t>
      </w:r>
      <w:r w:rsidR="00FB778C" w:rsidRPr="00DF267D">
        <w:t xml:space="preserve">from local governments.  </w:t>
      </w:r>
      <w:r w:rsidR="001701B0" w:rsidRPr="00DF267D">
        <w:t xml:space="preserve">I </w:t>
      </w:r>
      <w:r w:rsidR="009C7CC1">
        <w:t>am fully aware</w:t>
      </w:r>
      <w:r w:rsidR="001701B0" w:rsidRPr="00DF267D">
        <w:t xml:space="preserve"> that not everyone likes the </w:t>
      </w:r>
      <w:r w:rsidR="004C0352">
        <w:t>aesthetics</w:t>
      </w:r>
      <w:r w:rsidR="004C0352" w:rsidRPr="00DF267D">
        <w:t xml:space="preserve"> </w:t>
      </w:r>
      <w:r w:rsidR="001701B0" w:rsidRPr="00DF267D">
        <w:t xml:space="preserve">of towers, but they are a necessity for wireless broadband.  </w:t>
      </w:r>
      <w:r w:rsidR="009161E4">
        <w:t xml:space="preserve">Do these localities </w:t>
      </w:r>
      <w:r w:rsidR="009C7CC1">
        <w:t>really want their communities to not have broadband?  Do they understand</w:t>
      </w:r>
      <w:r w:rsidR="001701B0">
        <w:t xml:space="preserve"> the economic impact on their </w:t>
      </w:r>
      <w:r w:rsidR="009C7CC1">
        <w:t>local businesses?</w:t>
      </w:r>
      <w:r w:rsidR="001701B0">
        <w:t xml:space="preserve">  </w:t>
      </w:r>
      <w:r w:rsidR="00FB778C" w:rsidRPr="00DF267D">
        <w:t xml:space="preserve">For those </w:t>
      </w:r>
      <w:r w:rsidR="009C7CC1">
        <w:t>localities</w:t>
      </w:r>
      <w:r w:rsidR="00FB778C" w:rsidRPr="00DF267D">
        <w:t xml:space="preserve"> that </w:t>
      </w:r>
      <w:r w:rsidR="004400B8">
        <w:t xml:space="preserve">continue to </w:t>
      </w:r>
      <w:r w:rsidR="00FB778C" w:rsidRPr="00DF267D">
        <w:t>stall or try to block tower siting, know that you will see the Commission step in with appropriate authority to push things forward.</w:t>
      </w:r>
      <w:r w:rsidR="00E3698D" w:rsidRPr="004F1600">
        <w:t xml:space="preserve">  </w:t>
      </w:r>
    </w:p>
    <w:p w14:paraId="4920C99B" w14:textId="294BABC4" w:rsidR="00C67D4A" w:rsidRPr="004F1600" w:rsidRDefault="008A6DC1" w:rsidP="00B475E7">
      <w:pPr>
        <w:spacing w:line="240" w:lineRule="auto"/>
        <w:ind w:firstLine="720"/>
      </w:pPr>
      <w:r>
        <w:t>On that note, the Commi</w:t>
      </w:r>
      <w:r w:rsidR="00B9240B">
        <w:t>ssion has already shown that it’</w:t>
      </w:r>
      <w:r>
        <w:t>s prepared to do just that.  In</w:t>
      </w:r>
      <w:r w:rsidRPr="004F1600">
        <w:t xml:space="preserve"> the</w:t>
      </w:r>
      <w:r w:rsidR="00FB536C" w:rsidRPr="004F1600">
        <w:t xml:space="preserve"> </w:t>
      </w:r>
      <w:r w:rsidR="0063356B" w:rsidRPr="00FD68ED">
        <w:rPr>
          <w:i/>
        </w:rPr>
        <w:t>Infrastructure O</w:t>
      </w:r>
      <w:r w:rsidR="00FB536C" w:rsidRPr="00FD68ED">
        <w:rPr>
          <w:i/>
        </w:rPr>
        <w:t>rder</w:t>
      </w:r>
      <w:r w:rsidR="00FB536C" w:rsidRPr="004F1600">
        <w:t xml:space="preserve">, </w:t>
      </w:r>
      <w:r w:rsidR="00DF267D">
        <w:t xml:space="preserve">the Commission </w:t>
      </w:r>
      <w:r w:rsidR="00920775">
        <w:t>excluded certain</w:t>
      </w:r>
      <w:r w:rsidR="00920775" w:rsidRPr="004F1600">
        <w:t xml:space="preserve"> </w:t>
      </w:r>
      <w:r w:rsidR="00920775">
        <w:t>collocations on</w:t>
      </w:r>
      <w:r w:rsidR="00920775" w:rsidRPr="004F1600">
        <w:t xml:space="preserve"> </w:t>
      </w:r>
      <w:r w:rsidR="00920775">
        <w:t>buildings and non-tower structures that already host antenna</w:t>
      </w:r>
      <w:r w:rsidR="000C319B">
        <w:t>s</w:t>
      </w:r>
      <w:r w:rsidR="00920775">
        <w:t xml:space="preserve"> and</w:t>
      </w:r>
      <w:r w:rsidR="00920775" w:rsidRPr="00494CE8">
        <w:t xml:space="preserve"> </w:t>
      </w:r>
      <w:r w:rsidR="00920775" w:rsidRPr="004F1600">
        <w:t xml:space="preserve">utility </w:t>
      </w:r>
      <w:r w:rsidR="00920775">
        <w:t>structure</w:t>
      </w:r>
      <w:r w:rsidR="00920775" w:rsidRPr="004F1600">
        <w:t>s</w:t>
      </w:r>
      <w:r w:rsidR="00920775">
        <w:t xml:space="preserve"> (</w:t>
      </w:r>
      <w:r w:rsidR="00920775" w:rsidRPr="00A810BD">
        <w:rPr>
          <w:i/>
        </w:rPr>
        <w:t>e.g.,</w:t>
      </w:r>
      <w:r w:rsidR="00920775">
        <w:t xml:space="preserve"> utility poles and electric towers) from environmental and historic preservation</w:t>
      </w:r>
      <w:r w:rsidR="00AF000E">
        <w:t xml:space="preserve"> regulations</w:t>
      </w:r>
      <w:r w:rsidR="00920775">
        <w:t xml:space="preserve">. </w:t>
      </w:r>
      <w:r w:rsidR="007574D7">
        <w:t xml:space="preserve"> </w:t>
      </w:r>
      <w:r w:rsidR="00D10168">
        <w:t xml:space="preserve">Now, as we </w:t>
      </w:r>
      <w:r w:rsidR="00A84BE5">
        <w:t xml:space="preserve">previously committed, </w:t>
      </w:r>
      <w:r w:rsidR="007574D7">
        <w:t>we are preparing to</w:t>
      </w:r>
      <w:r w:rsidR="00DF267D">
        <w:t xml:space="preserve"> expand this exclusion to include </w:t>
      </w:r>
      <w:r w:rsidR="00DF267D" w:rsidRPr="004F1600">
        <w:t xml:space="preserve">small cell </w:t>
      </w:r>
      <w:r w:rsidR="00DF267D">
        <w:t>and DAS equipment that is being installed on any structure, including those with no pre-existing antennas</w:t>
      </w:r>
      <w:r w:rsidR="00DF267D" w:rsidRPr="004F1600">
        <w:t>.</w:t>
      </w:r>
      <w:r w:rsidR="00982C0E">
        <w:rPr>
          <w:rStyle w:val="FootnoteReference"/>
        </w:rPr>
        <w:footnoteReference w:id="14"/>
      </w:r>
      <w:r w:rsidR="00DF267D">
        <w:t xml:space="preserve">  </w:t>
      </w:r>
      <w:r w:rsidR="00F06F89">
        <w:t>M</w:t>
      </w:r>
      <w:r w:rsidR="00F03365">
        <w:t xml:space="preserve">y focus will be to ensure </w:t>
      </w:r>
      <w:r w:rsidR="00AF000E">
        <w:t xml:space="preserve">the </w:t>
      </w:r>
      <w:r w:rsidR="001257D8">
        <w:t>process</w:t>
      </w:r>
      <w:r w:rsidR="006F18A4">
        <w:t xml:space="preserve"> is completed</w:t>
      </w:r>
      <w:r w:rsidR="001257D8">
        <w:t xml:space="preserve"> in the </w:t>
      </w:r>
      <w:r w:rsidR="00D947C4">
        <w:t>agreed upon</w:t>
      </w:r>
      <w:r w:rsidR="002D66CE">
        <w:t xml:space="preserve"> </w:t>
      </w:r>
      <w:r w:rsidR="001257D8">
        <w:t xml:space="preserve">timeframe </w:t>
      </w:r>
      <w:r w:rsidR="00D947C4">
        <w:t xml:space="preserve">of </w:t>
      </w:r>
      <w:r w:rsidR="00BF7E7D">
        <w:t xml:space="preserve">18 to 24 months. </w:t>
      </w:r>
      <w:r w:rsidR="00425AC4">
        <w:t xml:space="preserve">I hope CCA and its members will engage on these issues, as you have a unique prespective as to how </w:t>
      </w:r>
      <w:r w:rsidR="002801C2">
        <w:t xml:space="preserve">siting </w:t>
      </w:r>
      <w:r w:rsidR="00425AC4">
        <w:t>hindrances affect small</w:t>
      </w:r>
      <w:r w:rsidR="002801C2">
        <w:t>er</w:t>
      </w:r>
      <w:r w:rsidR="00425AC4">
        <w:t xml:space="preserve"> businesses.</w:t>
      </w:r>
    </w:p>
    <w:p w14:paraId="5D058286" w14:textId="23F2A887" w:rsidR="00D601E8" w:rsidRDefault="0066019B" w:rsidP="004B51E7">
      <w:pPr>
        <w:spacing w:line="240" w:lineRule="auto"/>
        <w:ind w:firstLine="720"/>
      </w:pPr>
      <w:r w:rsidRPr="004F1600">
        <w:t xml:space="preserve">Second, </w:t>
      </w:r>
      <w:r w:rsidR="00920775">
        <w:t xml:space="preserve">the Commission must promote the collocation of facilities.  </w:t>
      </w:r>
      <w:r w:rsidR="004400B8">
        <w:t>Generally, macro sites on average have 2.5 tenants per tower, but can accommodate between five and six tenants on average.</w:t>
      </w:r>
      <w:r w:rsidR="00D11739">
        <w:rPr>
          <w:rStyle w:val="FootnoteReference"/>
        </w:rPr>
        <w:footnoteReference w:id="15"/>
      </w:r>
      <w:r w:rsidR="004400B8">
        <w:t xml:space="preserve">  </w:t>
      </w:r>
      <w:r w:rsidR="00920775">
        <w:t>It has</w:t>
      </w:r>
      <w:r w:rsidR="009C7CC1">
        <w:t xml:space="preserve"> also</w:t>
      </w:r>
      <w:r w:rsidR="00920775">
        <w:t xml:space="preserve"> been estimated that 2000 new physical tower structures will be built over the next three years, and this number does not include small cells and building locations, which could reach the tens of thousands.</w:t>
      </w:r>
      <w:r w:rsidR="00D11739">
        <w:rPr>
          <w:rStyle w:val="FootnoteReference"/>
        </w:rPr>
        <w:footnoteReference w:id="16"/>
      </w:r>
      <w:r w:rsidR="00920775">
        <w:t xml:space="preserve">  Not only does collocation reduce the need for additional towers, which localities</w:t>
      </w:r>
      <w:r w:rsidR="004400B8">
        <w:t>, such as Destin, Florida,</w:t>
      </w:r>
      <w:r w:rsidR="00920775">
        <w:t xml:space="preserve"> find aesthetically unappealing, but is especially important for smaller wireless providers that benefit the most from</w:t>
      </w:r>
      <w:r w:rsidR="00C7771E">
        <w:t xml:space="preserve"> the cost savings of </w:t>
      </w:r>
      <w:r w:rsidR="00920775">
        <w:t>facilities</w:t>
      </w:r>
      <w:r w:rsidR="000C319B" w:rsidRPr="000C319B">
        <w:t xml:space="preserve"> </w:t>
      </w:r>
      <w:r w:rsidR="000C319B">
        <w:t>sharing</w:t>
      </w:r>
      <w:r w:rsidR="00920775">
        <w:t xml:space="preserve">.  </w:t>
      </w:r>
    </w:p>
    <w:p w14:paraId="09E30AC4" w14:textId="243A6128" w:rsidR="00671427" w:rsidRDefault="00920775" w:rsidP="004B51E7">
      <w:pPr>
        <w:spacing w:line="240" w:lineRule="auto"/>
        <w:ind w:firstLine="720"/>
      </w:pPr>
      <w:r>
        <w:t>T</w:t>
      </w:r>
      <w:r w:rsidR="00610678">
        <w:t xml:space="preserve">his is why the Commission must </w:t>
      </w:r>
      <w:r>
        <w:t>address</w:t>
      </w:r>
      <w:r w:rsidR="00533084">
        <w:t xml:space="preserve"> the problem</w:t>
      </w:r>
      <w:r w:rsidR="004727BE" w:rsidRPr="004F1600">
        <w:t xml:space="preserve"> of </w:t>
      </w:r>
      <w:r w:rsidR="00533084">
        <w:t>“</w:t>
      </w:r>
      <w:r w:rsidR="0066019B" w:rsidRPr="004F1600">
        <w:t>twilight towers</w:t>
      </w:r>
      <w:r w:rsidR="00533084">
        <w:t>.”</w:t>
      </w:r>
      <w:r w:rsidR="00D11739">
        <w:rPr>
          <w:rStyle w:val="FootnoteReference"/>
        </w:rPr>
        <w:footnoteReference w:id="17"/>
      </w:r>
      <w:r w:rsidR="0066019B" w:rsidRPr="004F1600">
        <w:t xml:space="preserve">  </w:t>
      </w:r>
      <w:r w:rsidR="00C67D4A" w:rsidRPr="004F1600">
        <w:t>I know that Commission staff</w:t>
      </w:r>
      <w:r w:rsidR="001365CE">
        <w:t>,</w:t>
      </w:r>
      <w:r w:rsidR="00C67D4A" w:rsidRPr="004F1600">
        <w:t xml:space="preserve"> industry </w:t>
      </w:r>
      <w:r w:rsidR="001365CE">
        <w:t xml:space="preserve">and other stakeholders </w:t>
      </w:r>
      <w:r w:rsidR="00C67D4A" w:rsidRPr="004F1600">
        <w:t xml:space="preserve">have been working together to resolve this issue that affects </w:t>
      </w:r>
      <w:r w:rsidR="00FF0A0C">
        <w:t>more than</w:t>
      </w:r>
      <w:r w:rsidR="00C67D4A" w:rsidRPr="004F1600">
        <w:t xml:space="preserve"> 4000 tower structures. </w:t>
      </w:r>
      <w:r w:rsidR="00A810BD">
        <w:t xml:space="preserve"> </w:t>
      </w:r>
      <w:r w:rsidR="004727BE" w:rsidRPr="004F1600">
        <w:t xml:space="preserve">Until this </w:t>
      </w:r>
      <w:r w:rsidR="00C67D4A" w:rsidRPr="004F1600">
        <w:t>review</w:t>
      </w:r>
      <w:r w:rsidR="004727BE" w:rsidRPr="004F1600">
        <w:t xml:space="preserve"> is concluded, </w:t>
      </w:r>
      <w:r w:rsidR="001257D8" w:rsidRPr="004F1600">
        <w:t xml:space="preserve">no </w:t>
      </w:r>
      <w:r w:rsidR="001257D8">
        <w:t>antennas</w:t>
      </w:r>
      <w:r w:rsidR="001257D8" w:rsidRPr="004F1600">
        <w:t xml:space="preserve"> can legally collocate on these structures.  </w:t>
      </w:r>
      <w:r w:rsidR="001257D8">
        <w:t>T</w:t>
      </w:r>
      <w:r w:rsidR="00C67D4A" w:rsidRPr="004F1600">
        <w:t>h</w:t>
      </w:r>
      <w:r w:rsidR="001257D8">
        <w:t>is</w:t>
      </w:r>
      <w:r w:rsidR="00C67D4A" w:rsidRPr="004F1600">
        <w:t xml:space="preserve"> regulatory </w:t>
      </w:r>
      <w:r w:rsidR="00886726">
        <w:t>purgatory</w:t>
      </w:r>
      <w:r w:rsidR="001257D8">
        <w:t xml:space="preserve"> must come to an end.</w:t>
      </w:r>
      <w:r w:rsidR="00C67D4A" w:rsidRPr="004F1600">
        <w:t xml:space="preserve"> </w:t>
      </w:r>
      <w:r w:rsidR="004C0224">
        <w:t xml:space="preserve"> </w:t>
      </w:r>
      <w:r w:rsidR="00C67D4A" w:rsidRPr="004F1600">
        <w:t xml:space="preserve">We need </w:t>
      </w:r>
      <w:r w:rsidR="001257D8">
        <w:t>facilitie</w:t>
      </w:r>
      <w:r w:rsidR="00C67D4A" w:rsidRPr="004F1600">
        <w:t>s to be deployed</w:t>
      </w:r>
      <w:r w:rsidR="004F1600" w:rsidRPr="004F1600">
        <w:t>;</w:t>
      </w:r>
      <w:r w:rsidR="00C67D4A" w:rsidRPr="004F1600">
        <w:t xml:space="preserve"> we cannot afford to have towers that are not filled to capacity. </w:t>
      </w:r>
    </w:p>
    <w:p w14:paraId="6620B14E" w14:textId="0DE86F01" w:rsidR="0044766C" w:rsidRDefault="00FF0A0C" w:rsidP="00E3698D">
      <w:pPr>
        <w:spacing w:line="240" w:lineRule="auto"/>
        <w:ind w:firstLine="720"/>
      </w:pPr>
      <w:r>
        <w:t>Third</w:t>
      </w:r>
      <w:r w:rsidR="0044766C" w:rsidRPr="0044766C">
        <w:t xml:space="preserve">, it is time for the Commission to review its technical rules for rural America.  Specifically, we should look at such requirements as antenna height and power limits to see if they can be liberalized to reduce </w:t>
      </w:r>
      <w:r w:rsidR="00920775">
        <w:t xml:space="preserve">deployment </w:t>
      </w:r>
      <w:r w:rsidR="0044766C" w:rsidRPr="0044766C">
        <w:t>cost</w:t>
      </w:r>
      <w:r w:rsidR="00920775">
        <w:t>s</w:t>
      </w:r>
      <w:r w:rsidR="0044766C" w:rsidRPr="0044766C">
        <w:t xml:space="preserve"> and expand coverage area, benefitting Americans in rural areas unserved by broadband providers.  The current arbitrary height and power limitations may not make sense in every circumstance</w:t>
      </w:r>
      <w:r w:rsidR="002801C2">
        <w:t>, particularly for WISPs,</w:t>
      </w:r>
      <w:r w:rsidR="0044766C" w:rsidRPr="0044766C">
        <w:t xml:space="preserve"> and may harm broadb</w:t>
      </w:r>
      <w:r w:rsidR="00167121">
        <w:t xml:space="preserve">and deployment.  </w:t>
      </w:r>
      <w:r w:rsidR="008E1D15">
        <w:t xml:space="preserve">The Commission </w:t>
      </w:r>
      <w:r w:rsidR="00DE507A">
        <w:t>s</w:t>
      </w:r>
      <w:r w:rsidR="000F0BA8">
        <w:t xml:space="preserve">hould </w:t>
      </w:r>
      <w:r w:rsidR="004A30B1">
        <w:t xml:space="preserve">modify the applicable </w:t>
      </w:r>
      <w:r w:rsidR="0044766C" w:rsidRPr="0044766C">
        <w:t>rules</w:t>
      </w:r>
      <w:r w:rsidR="004A30B1">
        <w:t xml:space="preserve">, as necessary, </w:t>
      </w:r>
      <w:r w:rsidR="0044766C" w:rsidRPr="0044766C">
        <w:t>to the benefit of both licensed and unlicensed providers.</w:t>
      </w:r>
    </w:p>
    <w:p w14:paraId="0F3EEEB5" w14:textId="6772BB02" w:rsidR="004B51E7" w:rsidRDefault="004B51E7" w:rsidP="00E3698D">
      <w:pPr>
        <w:spacing w:line="240" w:lineRule="auto"/>
        <w:ind w:firstLine="720"/>
      </w:pPr>
      <w:r>
        <w:t>Fourth</w:t>
      </w:r>
      <w:r w:rsidRPr="004F1600">
        <w:t>, the Commission should</w:t>
      </w:r>
      <w:r>
        <w:t xml:space="preserve"> also work with other federal agencies to promote infrastructure siting on federal lands.  </w:t>
      </w:r>
      <w:r w:rsidR="00333473">
        <w:t>This is an issue I sp</w:t>
      </w:r>
      <w:r w:rsidR="00156612">
        <w:t xml:space="preserve">ent a great deal of time in </w:t>
      </w:r>
      <w:r w:rsidR="005F2DB3">
        <w:t xml:space="preserve">my </w:t>
      </w:r>
      <w:r w:rsidR="00302B2C">
        <w:t>past</w:t>
      </w:r>
      <w:r w:rsidR="003E066F">
        <w:t>,</w:t>
      </w:r>
      <w:r w:rsidR="00302B2C">
        <w:t xml:space="preserve"> so</w:t>
      </w:r>
      <w:r w:rsidR="00333473">
        <w:t xml:space="preserve"> </w:t>
      </w:r>
      <w:r>
        <w:t>I und</w:t>
      </w:r>
      <w:r w:rsidR="00333473">
        <w:t xml:space="preserve">erstand </w:t>
      </w:r>
      <w:r w:rsidR="00302B2C">
        <w:t xml:space="preserve">its </w:t>
      </w:r>
      <w:r>
        <w:t xml:space="preserve">importance to CCA.  </w:t>
      </w:r>
      <w:r w:rsidR="003E066F">
        <w:t>Regrettably</w:t>
      </w:r>
      <w:r>
        <w:t xml:space="preserve">, </w:t>
      </w:r>
      <w:r w:rsidR="00302B2C">
        <w:t>the Commission doesn't have a great role</w:t>
      </w:r>
      <w:r>
        <w:t xml:space="preserve"> when it comes to federal lands</w:t>
      </w:r>
      <w:r w:rsidR="003E066F">
        <w:t xml:space="preserve">, but we </w:t>
      </w:r>
      <w:r>
        <w:t>should step forward and p</w:t>
      </w:r>
      <w:r w:rsidR="009719CE">
        <w:t xml:space="preserve">rovide any assistance </w:t>
      </w:r>
      <w:r w:rsidR="00AF000E">
        <w:t xml:space="preserve">and encouragement </w:t>
      </w:r>
      <w:r w:rsidR="009719CE">
        <w:t>possible.</w:t>
      </w:r>
    </w:p>
    <w:p w14:paraId="7C584268" w14:textId="102B88C2" w:rsidR="00A810BD" w:rsidRPr="00671427" w:rsidRDefault="003F3929" w:rsidP="00671427">
      <w:pPr>
        <w:rPr>
          <w:i/>
        </w:rPr>
      </w:pPr>
      <w:r>
        <w:rPr>
          <w:i/>
        </w:rPr>
        <w:t xml:space="preserve">Mobility Fund </w:t>
      </w:r>
      <w:r w:rsidR="00F87C22">
        <w:rPr>
          <w:i/>
        </w:rPr>
        <w:t xml:space="preserve">Phase II </w:t>
      </w:r>
      <w:r>
        <w:rPr>
          <w:i/>
        </w:rPr>
        <w:t xml:space="preserve">&amp; </w:t>
      </w:r>
      <w:r w:rsidR="00744357">
        <w:rPr>
          <w:i/>
        </w:rPr>
        <w:t xml:space="preserve">USF </w:t>
      </w:r>
      <w:r w:rsidR="007C51FE">
        <w:rPr>
          <w:i/>
        </w:rPr>
        <w:t>High-</w:t>
      </w:r>
      <w:r>
        <w:rPr>
          <w:i/>
        </w:rPr>
        <w:t>Cost Reform</w:t>
      </w:r>
    </w:p>
    <w:p w14:paraId="60F899DF" w14:textId="59C19305" w:rsidR="00D87BE3" w:rsidRPr="004B51E7" w:rsidRDefault="009719CE" w:rsidP="004B51E7">
      <w:pPr>
        <w:spacing w:line="240" w:lineRule="auto"/>
        <w:ind w:firstLine="720"/>
      </w:pPr>
      <w:r>
        <w:t>Switching topics, let me</w:t>
      </w:r>
      <w:r w:rsidR="00D87BE3" w:rsidRPr="004B51E7">
        <w:t xml:space="preserve"> spend some time discussing Mobility Fund Phase II, which I know is of interest to your association and member companies, and the Connect America </w:t>
      </w:r>
      <w:r w:rsidR="00B9327A">
        <w:t xml:space="preserve">Fund </w:t>
      </w:r>
      <w:r w:rsidR="00D87BE3" w:rsidRPr="004B51E7">
        <w:t>Phase II auction</w:t>
      </w:r>
      <w:r w:rsidR="004B51E7">
        <w:t xml:space="preserve"> as means to finance </w:t>
      </w:r>
      <w:r w:rsidR="00C7771E">
        <w:t xml:space="preserve">capital-intensive </w:t>
      </w:r>
      <w:r w:rsidR="004B51E7">
        <w:t>infrastructure deployment</w:t>
      </w:r>
      <w:r w:rsidR="00D87BE3" w:rsidRPr="004B51E7">
        <w:t xml:space="preserve">.  </w:t>
      </w:r>
    </w:p>
    <w:p w14:paraId="59BCA109" w14:textId="0106064D" w:rsidR="00765661" w:rsidRDefault="00D87BE3" w:rsidP="00765661">
      <w:pPr>
        <w:spacing w:line="240" w:lineRule="auto"/>
        <w:ind w:firstLine="720"/>
      </w:pPr>
      <w:r w:rsidRPr="004B51E7">
        <w:t xml:space="preserve">When the Commission adopted the Mobility Fund in 2011, which predated my arrival, it was seen as a way to transition from </w:t>
      </w:r>
      <w:r w:rsidR="00765661">
        <w:t xml:space="preserve">the old </w:t>
      </w:r>
      <w:r w:rsidRPr="004B51E7">
        <w:t xml:space="preserve">identical support </w:t>
      </w:r>
      <w:r w:rsidR="00765661">
        <w:t xml:space="preserve">rule </w:t>
      </w:r>
      <w:r w:rsidRPr="004B51E7">
        <w:t xml:space="preserve">to </w:t>
      </w:r>
      <w:r w:rsidR="00AF000E">
        <w:t xml:space="preserve">a </w:t>
      </w:r>
      <w:r w:rsidRPr="004B51E7">
        <w:t xml:space="preserve">new structure that would support a single wireless provider in areas that needed it the most. </w:t>
      </w:r>
      <w:r w:rsidR="00765661">
        <w:t xml:space="preserve"> </w:t>
      </w:r>
      <w:r w:rsidRPr="004B51E7">
        <w:t>In the four years since the order, however, circumstances and policies have changed</w:t>
      </w:r>
      <w:r w:rsidR="002B39C8">
        <w:t xml:space="preserve"> substantially.  </w:t>
      </w:r>
      <w:r w:rsidR="00A63D69">
        <w:t>Particularly</w:t>
      </w:r>
      <w:r w:rsidRPr="004B51E7">
        <w:t xml:space="preserve">, we’ve seen mobile coverage expand to </w:t>
      </w:r>
      <w:r w:rsidR="0069332F">
        <w:t xml:space="preserve">approximately </w:t>
      </w:r>
      <w:r w:rsidRPr="004B51E7">
        <w:t xml:space="preserve">98 percent of </w:t>
      </w:r>
      <w:r w:rsidR="00974780">
        <w:t>Americans</w:t>
      </w:r>
      <w:r w:rsidRPr="004B51E7">
        <w:t xml:space="preserve">.  </w:t>
      </w:r>
    </w:p>
    <w:p w14:paraId="30A01F2C" w14:textId="254F11D0" w:rsidR="00D87BE3" w:rsidRPr="004B51E7" w:rsidRDefault="00765661" w:rsidP="00765661">
      <w:pPr>
        <w:spacing w:line="240" w:lineRule="auto"/>
        <w:ind w:firstLine="720"/>
      </w:pPr>
      <w:r>
        <w:t>Accordingly, i</w:t>
      </w:r>
      <w:r w:rsidR="00D87BE3" w:rsidRPr="004B51E7">
        <w:t xml:space="preserve">t </w:t>
      </w:r>
      <w:r>
        <w:t xml:space="preserve">should not be a surprise </w:t>
      </w:r>
      <w:r w:rsidR="00D87BE3" w:rsidRPr="004B51E7">
        <w:t xml:space="preserve">that, last year, the FCC sought comment on narrowing the scope of </w:t>
      </w:r>
      <w:r w:rsidR="002B39C8">
        <w:t>any future Mobility Fund efforts</w:t>
      </w:r>
      <w:r w:rsidR="00D87BE3" w:rsidRPr="004B51E7">
        <w:t xml:space="preserve"> and reallocating some of the funding to other programs.  Since then, there has been very little discussion about completing Mobility Fund Phase II</w:t>
      </w:r>
      <w:r w:rsidR="00D74B4C">
        <w:t xml:space="preserve">, which </w:t>
      </w:r>
      <w:r w:rsidR="00D87BE3" w:rsidRPr="004B51E7">
        <w:t>leads me to believe th</w:t>
      </w:r>
      <w:r w:rsidR="007715FA">
        <w:t xml:space="preserve">at it is unlikely to </w:t>
      </w:r>
      <w:r w:rsidR="00D74B4C">
        <w:t xml:space="preserve">happen. </w:t>
      </w:r>
    </w:p>
    <w:p w14:paraId="09D8B02E" w14:textId="066C3AE2" w:rsidR="00D87BE3" w:rsidRPr="004B51E7" w:rsidRDefault="00EE6881" w:rsidP="004B51E7">
      <w:pPr>
        <w:spacing w:line="240" w:lineRule="auto"/>
        <w:ind w:firstLine="720"/>
      </w:pPr>
      <w:r>
        <w:t>For those of you seeking</w:t>
      </w:r>
      <w:r w:rsidR="00D74B4C">
        <w:t xml:space="preserve"> such a fund</w:t>
      </w:r>
      <w:r w:rsidR="00D87BE3" w:rsidRPr="004B51E7">
        <w:t xml:space="preserve">, however, you should be </w:t>
      </w:r>
      <w:r>
        <w:t xml:space="preserve">fully </w:t>
      </w:r>
      <w:r w:rsidR="00D87BE3" w:rsidRPr="004B51E7">
        <w:t xml:space="preserve">aware that </w:t>
      </w:r>
      <w:r w:rsidRPr="002B39C8">
        <w:rPr>
          <w:i/>
        </w:rPr>
        <w:t>even if</w:t>
      </w:r>
      <w:r>
        <w:t xml:space="preserve"> it were created, </w:t>
      </w:r>
      <w:r w:rsidR="00D87BE3" w:rsidRPr="004B51E7">
        <w:t xml:space="preserve">it is unlikely to look like anything previously envisioned.  During the last few years, the Commission has continued to make </w:t>
      </w:r>
      <w:r>
        <w:t xml:space="preserve">policy </w:t>
      </w:r>
      <w:r w:rsidR="00D87BE3" w:rsidRPr="004B51E7">
        <w:t>changes to its high-cost programs generally, and those would likely apply here as well.</w:t>
      </w:r>
      <w:r w:rsidR="002B39C8">
        <w:t xml:space="preserve">  </w:t>
      </w:r>
      <w:r w:rsidR="00D87BE3" w:rsidRPr="004B51E7">
        <w:t> </w:t>
      </w:r>
    </w:p>
    <w:p w14:paraId="58EB9C57" w14:textId="011BAC93" w:rsidR="00D87BE3" w:rsidRPr="004B51E7" w:rsidRDefault="00D87BE3" w:rsidP="004B51E7">
      <w:pPr>
        <w:spacing w:line="240" w:lineRule="auto"/>
        <w:ind w:firstLine="720"/>
      </w:pPr>
      <w:r w:rsidRPr="004B51E7">
        <w:t xml:space="preserve">In particular, areas that are overlapped by an unsubsidized competitor </w:t>
      </w:r>
      <w:r w:rsidR="00EE6881">
        <w:t xml:space="preserve">are </w:t>
      </w:r>
      <w:r w:rsidRPr="004B51E7">
        <w:t>ineligible for support. Numerous census blocks in otherwise high-cost areas of price cap carriers</w:t>
      </w:r>
      <w:r w:rsidR="00580EA6">
        <w:t>’</w:t>
      </w:r>
      <w:r w:rsidRPr="004B51E7">
        <w:t xml:space="preserve"> territories were excluded when the Commission offered support earlier this year. </w:t>
      </w:r>
      <w:r w:rsidR="00EE6881">
        <w:t xml:space="preserve"> </w:t>
      </w:r>
      <w:r w:rsidRPr="004B51E7">
        <w:t xml:space="preserve">Even rate of return areas, which had been seen as a harder case‎, are subject to the overlap rule. </w:t>
      </w:r>
      <w:r w:rsidR="00EE6881">
        <w:t xml:space="preserve"> </w:t>
      </w:r>
      <w:r w:rsidRPr="004B51E7">
        <w:t xml:space="preserve">The Commission recently issued a list of areas that are completely or almost entirely overlapped and, therefore, could lose support. </w:t>
      </w:r>
      <w:r w:rsidR="00EE6881">
        <w:t xml:space="preserve"> </w:t>
      </w:r>
      <w:r w:rsidRPr="004B51E7">
        <w:t>There will be a challenge process to ensure that the data is accurate</w:t>
      </w:r>
      <w:r w:rsidR="00EE6881">
        <w:t xml:space="preserve">, but </w:t>
      </w:r>
      <w:r w:rsidRPr="004B51E7">
        <w:t>support will be phased out in overlapped areas.</w:t>
      </w:r>
      <w:r w:rsidR="002B39C8">
        <w:t xml:space="preserve">  </w:t>
      </w:r>
      <w:r w:rsidRPr="004B51E7">
        <w:t xml:space="preserve">  </w:t>
      </w:r>
    </w:p>
    <w:p w14:paraId="61D9A852" w14:textId="26992117" w:rsidR="00D87BE3" w:rsidRPr="004B51E7" w:rsidRDefault="00D87BE3" w:rsidP="004B51E7">
      <w:pPr>
        <w:spacing w:line="240" w:lineRule="auto"/>
        <w:ind w:firstLine="720"/>
      </w:pPr>
      <w:r w:rsidRPr="004B51E7">
        <w:t>With nearly all of the nation covered by large wireless providers, the areas e</w:t>
      </w:r>
      <w:r w:rsidR="00A63D69">
        <w:t>ligible for a mobility fund would</w:t>
      </w:r>
      <w:r w:rsidRPr="004B51E7">
        <w:t xml:space="preserve"> be considerably fewer than just a few year</w:t>
      </w:r>
      <w:r w:rsidR="00A63D69">
        <w:t xml:space="preserve">s back.  I recognize that </w:t>
      </w:r>
      <w:r w:rsidRPr="004B51E7">
        <w:t>larger carriers may not serve every location in an area.  But that won’t end the discussion.  Instead, that is viewed as a factual matter to be resolved through a challenge process.</w:t>
      </w:r>
      <w:r w:rsidR="002B39C8">
        <w:t xml:space="preserve">  </w:t>
      </w:r>
      <w:r w:rsidRPr="004B51E7">
        <w:t xml:space="preserve">  </w:t>
      </w:r>
    </w:p>
    <w:p w14:paraId="761B2F26" w14:textId="243A6F31" w:rsidR="00D87BE3" w:rsidRPr="004B51E7" w:rsidRDefault="00D87BE3" w:rsidP="004B51E7">
      <w:pPr>
        <w:spacing w:line="240" w:lineRule="auto"/>
        <w:ind w:firstLine="720"/>
      </w:pPr>
      <w:r w:rsidRPr="004B51E7">
        <w:t>I also understand the argument that without ongoing support, service in areas that are currently covered could diminish.  It is what some have termed the “rusty towers” problem.  However, most of the expense is in the installation of the towers</w:t>
      </w:r>
      <w:r w:rsidR="0042445F">
        <w:t xml:space="preserve"> and the initiation of service</w:t>
      </w:r>
      <w:r w:rsidRPr="004B51E7">
        <w:t>, rather than the ongoing maintenance of them.  Therefore, I still expect that the Commission</w:t>
      </w:r>
      <w:r w:rsidR="00A63D69">
        <w:t xml:space="preserve">’s focus will remain on </w:t>
      </w:r>
      <w:r w:rsidR="008570EF" w:rsidRPr="004B51E7">
        <w:t>target</w:t>
      </w:r>
      <w:r w:rsidR="008570EF">
        <w:t>ing</w:t>
      </w:r>
      <w:r w:rsidRPr="004B51E7">
        <w:t xml:space="preserve"> support to those areas that are truly unserved.</w:t>
      </w:r>
      <w:r w:rsidR="00A63D69">
        <w:t xml:space="preserve">  </w:t>
      </w:r>
      <w:r w:rsidRPr="004B51E7">
        <w:t xml:space="preserve">  </w:t>
      </w:r>
    </w:p>
    <w:p w14:paraId="0BECAB16" w14:textId="3E53F261" w:rsidR="00D87BE3" w:rsidRPr="004B51E7" w:rsidRDefault="00D87BE3" w:rsidP="004B51E7">
      <w:pPr>
        <w:spacing w:line="240" w:lineRule="auto"/>
        <w:ind w:firstLine="720"/>
      </w:pPr>
      <w:r w:rsidRPr="004B51E7">
        <w:t>In addition to the overlap issue, the Commission has steadily increased the speed and usage requirements it expects of high-cost support recipients.  For rate-of-return carriers and price cap carriers receiving model-based support, the Commission increased the speed requirement from 4/1 to 10/1.  For providers that receive support in price cap areas through the auction, the Commission has already said that the 10/1 standard will be insufficient.  And, in the rural broadband experiments, the Commission prioritized—and allocated 75 percent of the funding—to projects that could deploy a network capable of delivering 100/25, and offer at least one service plan that could provide 25/5 to all locations.</w:t>
      </w:r>
      <w:r w:rsidR="00A63D69">
        <w:t xml:space="preserve">  </w:t>
      </w:r>
      <w:r w:rsidRPr="004B51E7">
        <w:t xml:space="preserve">  </w:t>
      </w:r>
    </w:p>
    <w:p w14:paraId="116C1C39" w14:textId="1DB826EC" w:rsidR="00D87BE3" w:rsidRPr="004B51E7" w:rsidRDefault="00D87BE3" w:rsidP="004B51E7">
      <w:pPr>
        <w:spacing w:line="240" w:lineRule="auto"/>
        <w:ind w:firstLine="720"/>
      </w:pPr>
      <w:r w:rsidRPr="004B51E7">
        <w:t xml:space="preserve">In addition to speeds, the Commission has also increased usage allowances.  In 2013, the Commission set a usage allowance of 100 </w:t>
      </w:r>
      <w:r w:rsidR="00B9327A">
        <w:t>gigabytes</w:t>
      </w:r>
      <w:r w:rsidR="00B9327A" w:rsidRPr="004B51E7">
        <w:t xml:space="preserve"> </w:t>
      </w:r>
      <w:r w:rsidRPr="004B51E7">
        <w:t>for price cap carriers accepting model support.  In the rural broadband experiments, the Commission prioritized projects that could provide 250 GB or even unlimited usage.  The Commission has also required and/o</w:t>
      </w:r>
      <w:r w:rsidR="006E45C3">
        <w:t xml:space="preserve">r prioritized latency of 100 milliseconds </w:t>
      </w:r>
      <w:r w:rsidRPr="004B51E7">
        <w:t xml:space="preserve">or less.  Therefore, any provider that </w:t>
      </w:r>
      <w:r w:rsidR="003E6D19">
        <w:t>would receive some type of</w:t>
      </w:r>
      <w:r w:rsidRPr="004B51E7">
        <w:t xml:space="preserve"> mobility funding will also be expected to provide at the very minimum speeds of at least 10/1, usage allowances of at least 100 GB and latency of 100 ms or less to all or nearly all locations.  </w:t>
      </w:r>
    </w:p>
    <w:p w14:paraId="7B837724" w14:textId="2C68D455" w:rsidR="00D87BE3" w:rsidRPr="004B51E7" w:rsidRDefault="00D87BE3" w:rsidP="004B51E7">
      <w:pPr>
        <w:spacing w:line="240" w:lineRule="auto"/>
        <w:ind w:firstLine="720"/>
      </w:pPr>
      <w:r w:rsidRPr="004B51E7">
        <w:t>Of course, absent a Mobility Fund Phase II, legacy support is frozen at 60 percent of what it was in 2011, or approximately $600 million.</w:t>
      </w:r>
      <w:r w:rsidR="00250A3B">
        <w:t xml:space="preserve"> </w:t>
      </w:r>
      <w:r w:rsidRPr="004B51E7">
        <w:t xml:space="preserve"> That support still funds multiple providers in some places.  Additionally, there are no broadband buildout obligations associated with the support since it was intended as a temporary bridge to the new program that would include such obligations.  </w:t>
      </w:r>
      <w:r w:rsidR="005C52F0">
        <w:t>T</w:t>
      </w:r>
      <w:r w:rsidR="0081192F">
        <w:t xml:space="preserve">hese practices cannot continue. </w:t>
      </w:r>
    </w:p>
    <w:p w14:paraId="7D7EA85F" w14:textId="77777777" w:rsidR="00D87BE3" w:rsidRPr="004B51E7" w:rsidRDefault="00D87BE3" w:rsidP="004B51E7">
      <w:pPr>
        <w:spacing w:line="240" w:lineRule="auto"/>
        <w:ind w:firstLine="720"/>
      </w:pPr>
      <w:r w:rsidRPr="004B51E7">
        <w:t>That’s not to suggest that there is no role for wireless in universal service going forward.  Far from it.  Parts of at least 20 states will be included in the Connect America Fund Phase II auction, and wireless may be the best option in some of those places.  Therefore, I have been pushing to ensure that the auction is structured in a technologically neutral way, with the goal of maximizing coverage in a cost-effective manner.  But I need your attention and assistance to help make sure that happens.</w:t>
      </w:r>
    </w:p>
    <w:p w14:paraId="7F0E2DEF" w14:textId="77777777" w:rsidR="00D87BE3" w:rsidRPr="004B51E7" w:rsidRDefault="00D87BE3" w:rsidP="004B51E7">
      <w:pPr>
        <w:spacing w:line="240" w:lineRule="auto"/>
        <w:ind w:firstLine="720"/>
      </w:pPr>
      <w:r w:rsidRPr="004B51E7">
        <w:t xml:space="preserve">Unfortunately I am constrained in what I can say because we have an item pending before us on the subject.  But if the rural broadband experiments are a preview of things to come, then wireless providers could find themselves on the sidelines while wireline providers get the first shot—and maybe even the second shot—in the CAF Phase II auction.  That auction was supposed to use competition to drive down the required subsidies, spreading the available funding to ensure that the greatest number of consumers get served.  The way to do that is to let all providers that can meet the universal service speed and other performance requirements compete directly against each other.  Giving an artificial leg up to certain providers reduces competition, guaranteeing we will overspend in many areas while leaving others behind.  </w:t>
      </w:r>
    </w:p>
    <w:p w14:paraId="5E05198A" w14:textId="77777777" w:rsidR="00D87BE3" w:rsidRPr="004B51E7" w:rsidRDefault="00D87BE3" w:rsidP="004B51E7">
      <w:pPr>
        <w:spacing w:line="240" w:lineRule="auto"/>
        <w:ind w:firstLine="720"/>
      </w:pPr>
      <w:r w:rsidRPr="004B51E7">
        <w:t xml:space="preserve">Why would the Commission do that?  Because it has developed a view that fiber is the only way to guarantee “future proof” networks.  And to be clear:  fiber is a great technology.  But I’ve also spoken with consumers in more rural parts of America that think their local WISP provides outstanding service, and I’ve also seen reports of what 5G could deliver.  The Commission should not tip the scales based on outdated information and assumptions.  </w:t>
      </w:r>
    </w:p>
    <w:p w14:paraId="04B1BCBF" w14:textId="26141FFF" w:rsidR="00E3698D" w:rsidRDefault="00D87BE3" w:rsidP="004B51E7">
      <w:pPr>
        <w:spacing w:line="240" w:lineRule="auto"/>
        <w:ind w:firstLine="720"/>
      </w:pPr>
      <w:r w:rsidRPr="004B51E7">
        <w:t xml:space="preserve">That’s where you all come in.  I urge you to participate in this proceeding to correct any </w:t>
      </w:r>
      <w:r w:rsidR="00B735D3" w:rsidRPr="004B51E7">
        <w:t>misimpression</w:t>
      </w:r>
      <w:r w:rsidRPr="004B51E7">
        <w:t xml:space="preserve"> and create a record that will enable the Commission to adopt a technologically neutral auction.  I would hate to see a situation where focus on Mobility Fund Phase II comes at a cost of being able to participate in high-cost altogether.  If that happens, it will be the consumers in unserved areas, and really all of us that pay in to support universal service, </w:t>
      </w:r>
      <w:r w:rsidR="00E60CBF">
        <w:t>who</w:t>
      </w:r>
      <w:r w:rsidRPr="004B51E7">
        <w:t xml:space="preserve"> will lose out.</w:t>
      </w:r>
    </w:p>
    <w:p w14:paraId="31A2974C" w14:textId="77777777" w:rsidR="00E3698D" w:rsidRDefault="00D87BE3" w:rsidP="00E3698D">
      <w:pPr>
        <w:rPr>
          <w:i/>
        </w:rPr>
      </w:pPr>
      <w:r>
        <w:rPr>
          <w:i/>
        </w:rPr>
        <w:t>LTE-U</w:t>
      </w:r>
    </w:p>
    <w:p w14:paraId="5C5630D3" w14:textId="05AECC29" w:rsidR="004204C0" w:rsidRDefault="00D87BE3" w:rsidP="004204C0">
      <w:pPr>
        <w:spacing w:line="240" w:lineRule="auto"/>
        <w:ind w:firstLine="720"/>
      </w:pPr>
      <w:r>
        <w:t xml:space="preserve">Building on the theme of the importance of technological neutrality, I would like to </w:t>
      </w:r>
      <w:r w:rsidR="004B51E7">
        <w:t>express concerns</w:t>
      </w:r>
      <w:r>
        <w:t xml:space="preserve"> </w:t>
      </w:r>
      <w:r w:rsidR="004B51E7">
        <w:t xml:space="preserve">about the Commission’s inquiry into LTE-U and the </w:t>
      </w:r>
      <w:r w:rsidR="00FF0A0C">
        <w:t xml:space="preserve">corresponding </w:t>
      </w:r>
      <w:r w:rsidR="00C7771E">
        <w:t>standards process.</w:t>
      </w:r>
      <w:r w:rsidR="00D11739">
        <w:rPr>
          <w:rStyle w:val="FootnoteReference"/>
        </w:rPr>
        <w:footnoteReference w:id="18"/>
      </w:r>
      <w:r w:rsidR="004B51E7">
        <w:t xml:space="preserve">  </w:t>
      </w:r>
      <w:r w:rsidR="00E3698D">
        <w:t xml:space="preserve">For years, the standards process has successfully been conducted independently without any FCC input or interference.  I appreciate that certain members of the Wi-Fi community have concerns about the effect that the deployment of </w:t>
      </w:r>
      <w:r w:rsidR="00E60CBF">
        <w:t>LTE-U</w:t>
      </w:r>
      <w:r w:rsidR="00E3698D">
        <w:t xml:space="preserve"> will have on their pre-existing networks.  </w:t>
      </w:r>
      <w:r w:rsidR="004B51E7">
        <w:t>I also understand the interest of LTE-U proponents in introducing a new</w:t>
      </w:r>
      <w:r w:rsidR="00C7771E">
        <w:t xml:space="preserve">, </w:t>
      </w:r>
      <w:r w:rsidR="004B51E7">
        <w:t xml:space="preserve">promising technology.  </w:t>
      </w:r>
      <w:r w:rsidR="00C7771E">
        <w:t>I want to be clear that a</w:t>
      </w:r>
      <w:r w:rsidR="00FF0A0C">
        <w:t>ny coexistence</w:t>
      </w:r>
      <w:r w:rsidR="00E3698D">
        <w:t xml:space="preserve"> concerns need to be worked out by stakeh</w:t>
      </w:r>
      <w:r w:rsidR="00744357">
        <w:t xml:space="preserve">olders through </w:t>
      </w:r>
      <w:r w:rsidR="003B5678">
        <w:t xml:space="preserve">the standards setting body.  </w:t>
      </w:r>
      <w:r w:rsidR="00E3698D">
        <w:t>Not only must the Commission be very careful that it does not – either intentionally or unintentionally – put itself in a position where it influences or sets standards, but it also should not be taking sides with various stakeholders in the midst of the process or have any say about what technologies should or should not be deployed.</w:t>
      </w:r>
      <w:r w:rsidR="00961B85">
        <w:t xml:space="preserve">  Doing so will just delay innovation and the deployment of future networks.</w:t>
      </w:r>
    </w:p>
    <w:p w14:paraId="5462D31E" w14:textId="0D3D7A8C" w:rsidR="004204C0" w:rsidRDefault="00A55812" w:rsidP="007E4787">
      <w:pPr>
        <w:spacing w:line="240" w:lineRule="auto"/>
        <w:jc w:val="center"/>
      </w:pPr>
      <w:r>
        <w:t>*</w:t>
      </w:r>
      <w:r>
        <w:tab/>
        <w:t>*</w:t>
      </w:r>
      <w:r>
        <w:tab/>
        <w:t>*</w:t>
      </w:r>
    </w:p>
    <w:p w14:paraId="59825970" w14:textId="50AD668F" w:rsidR="006F18A4" w:rsidRDefault="006E7C97" w:rsidP="001D09C6">
      <w:pPr>
        <w:spacing w:line="240" w:lineRule="auto"/>
        <w:ind w:firstLine="720"/>
      </w:pPr>
      <w:r>
        <w:t>I thank you again for having me here today</w:t>
      </w:r>
      <w:r w:rsidR="00E3698D">
        <w:t xml:space="preserve"> and listening to my thoug</w:t>
      </w:r>
      <w:r w:rsidR="00A55812">
        <w:t>hts on issues affecting the wireless industry</w:t>
      </w:r>
      <w:r w:rsidR="00961B85">
        <w:t xml:space="preserve">. </w:t>
      </w:r>
      <w:r w:rsidR="00961B85" w:rsidRPr="00961B85">
        <w:t xml:space="preserve"> </w:t>
      </w:r>
      <w:r w:rsidR="00961B85">
        <w:t>Going forward,</w:t>
      </w:r>
      <w:r w:rsidR="00961B85" w:rsidRPr="007D2DD2">
        <w:t xml:space="preserve"> </w:t>
      </w:r>
      <w:r w:rsidR="00961B85" w:rsidRPr="004F1600">
        <w:t>I would be interest</w:t>
      </w:r>
      <w:r w:rsidR="00961B85">
        <w:t>ed</w:t>
      </w:r>
      <w:r w:rsidR="00961B85" w:rsidRPr="004F1600">
        <w:t xml:space="preserve"> in hearing all suggestions</w:t>
      </w:r>
      <w:r w:rsidR="00961B85">
        <w:t xml:space="preserve"> you might have about ways to increase investment </w:t>
      </w:r>
      <w:r w:rsidR="00E60CBF">
        <w:t>and broadband deployment, while</w:t>
      </w:r>
      <w:r w:rsidR="00961B85">
        <w:t xml:space="preserve"> </w:t>
      </w:r>
      <w:r w:rsidR="00E60CBF">
        <w:t>decreasing</w:t>
      </w:r>
      <w:r w:rsidR="00961B85">
        <w:t xml:space="preserve"> the burdens of building out networks</w:t>
      </w:r>
      <w:r w:rsidR="00961B85" w:rsidRPr="004F1600">
        <w:t xml:space="preserve">.  </w:t>
      </w:r>
      <w:r w:rsidR="00961B85">
        <w:t>No idea is too small or insignificant, so I implore you to reach out to me or my staff</w:t>
      </w:r>
      <w:r w:rsidR="00E60CBF">
        <w:t xml:space="preserve">.  </w:t>
      </w:r>
    </w:p>
    <w:sectPr w:rsidR="006F18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B6087" w14:textId="77777777" w:rsidR="00660F72" w:rsidRDefault="00660F72" w:rsidP="00A64909">
      <w:pPr>
        <w:spacing w:after="0" w:line="240" w:lineRule="auto"/>
      </w:pPr>
      <w:r>
        <w:separator/>
      </w:r>
    </w:p>
  </w:endnote>
  <w:endnote w:type="continuationSeparator" w:id="0">
    <w:p w14:paraId="356D983A" w14:textId="77777777" w:rsidR="00660F72" w:rsidRDefault="00660F72" w:rsidP="00A6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BE142" w14:textId="77777777" w:rsidR="00C96FE3" w:rsidRDefault="00C96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9533"/>
      <w:docPartObj>
        <w:docPartGallery w:val="Page Numbers (Bottom of Page)"/>
        <w:docPartUnique/>
      </w:docPartObj>
    </w:sdtPr>
    <w:sdtEndPr>
      <w:rPr>
        <w:noProof/>
      </w:rPr>
    </w:sdtEndPr>
    <w:sdtContent>
      <w:p w14:paraId="0BC8EDB9" w14:textId="77777777" w:rsidR="00042A5E" w:rsidRDefault="00042A5E">
        <w:pPr>
          <w:pStyle w:val="Footer"/>
          <w:jc w:val="center"/>
        </w:pPr>
        <w:r>
          <w:fldChar w:fldCharType="begin"/>
        </w:r>
        <w:r>
          <w:instrText xml:space="preserve"> PAGE   \* MERGEFORMAT </w:instrText>
        </w:r>
        <w:r>
          <w:fldChar w:fldCharType="separate"/>
        </w:r>
        <w:r w:rsidR="005476AE">
          <w:rPr>
            <w:noProof/>
          </w:rPr>
          <w:t>1</w:t>
        </w:r>
        <w:r>
          <w:rPr>
            <w:noProof/>
          </w:rPr>
          <w:fldChar w:fldCharType="end"/>
        </w:r>
      </w:p>
    </w:sdtContent>
  </w:sdt>
  <w:p w14:paraId="36548BD4" w14:textId="77777777" w:rsidR="00042A5E" w:rsidRDefault="00042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E418" w14:textId="77777777" w:rsidR="00C96FE3" w:rsidRDefault="00C96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11B1" w14:textId="77777777" w:rsidR="00660F72" w:rsidRDefault="00660F72" w:rsidP="00A64909">
      <w:pPr>
        <w:spacing w:after="0" w:line="240" w:lineRule="auto"/>
      </w:pPr>
      <w:r>
        <w:separator/>
      </w:r>
    </w:p>
  </w:footnote>
  <w:footnote w:type="continuationSeparator" w:id="0">
    <w:p w14:paraId="262957E6" w14:textId="77777777" w:rsidR="00660F72" w:rsidRDefault="00660F72" w:rsidP="00A64909">
      <w:pPr>
        <w:spacing w:after="0" w:line="240" w:lineRule="auto"/>
      </w:pPr>
      <w:r>
        <w:continuationSeparator/>
      </w:r>
    </w:p>
  </w:footnote>
  <w:footnote w:id="1">
    <w:p w14:paraId="0E807281" w14:textId="38586AB2" w:rsidR="00982C0E" w:rsidRDefault="00982C0E" w:rsidP="006A79BD">
      <w:pPr>
        <w:pStyle w:val="FootnoteText"/>
        <w:spacing w:after="120"/>
      </w:pPr>
      <w:r>
        <w:rPr>
          <w:rStyle w:val="FootnoteReference"/>
        </w:rPr>
        <w:footnoteRef/>
      </w:r>
      <w:r>
        <w:t xml:space="preserve"> FCC, </w:t>
      </w:r>
      <w:r w:rsidRPr="0044766C">
        <w:rPr>
          <w:i/>
        </w:rPr>
        <w:t>Auction 97, Advanced Wireless Services (AWS-3)</w:t>
      </w:r>
      <w:r>
        <w:t xml:space="preserve">, http://wireless.fcc.gov/auctions/default.htm?job=auction_summary&amp;id=97 (last visited </w:t>
      </w:r>
      <w:r w:rsidR="00974780">
        <w:t>Oct. 6</w:t>
      </w:r>
      <w:r>
        <w:t>, 2015).</w:t>
      </w:r>
    </w:p>
  </w:footnote>
  <w:footnote w:id="2">
    <w:p w14:paraId="791FF4CA" w14:textId="21F21F9A" w:rsidR="00982C0E" w:rsidRDefault="00982C0E" w:rsidP="006A79BD">
      <w:pPr>
        <w:pStyle w:val="FootnoteText"/>
        <w:spacing w:after="120"/>
      </w:pPr>
      <w:r>
        <w:rPr>
          <w:rStyle w:val="FootnoteReference"/>
        </w:rPr>
        <w:footnoteRef/>
      </w:r>
      <w:r>
        <w:t xml:space="preserve"> </w:t>
      </w:r>
      <w:r w:rsidRPr="00B56272">
        <w:rPr>
          <w:i/>
        </w:rPr>
        <w:t>Amendment of the Commission’s Rules with Regard to Commercial Operations in the 3550-3650 GHz Band</w:t>
      </w:r>
      <w:r>
        <w:t xml:space="preserve">, </w:t>
      </w:r>
      <w:r w:rsidRPr="00DD635D">
        <w:t>GN Docket No. 12-354</w:t>
      </w:r>
      <w:r>
        <w:t xml:space="preserve">, </w:t>
      </w:r>
      <w:r w:rsidRPr="00DD635D">
        <w:t>Report and Order and Second Further Notice of Proposed Rulemaking</w:t>
      </w:r>
      <w:r>
        <w:t xml:space="preserve">, FCC 15-47 (Apr. 21, 2015); </w:t>
      </w:r>
      <w:r w:rsidRPr="003E4060">
        <w:rPr>
          <w:i/>
        </w:rPr>
        <w:t>Revision of Part 15 of the Commission’s Rules to Permit Unlicensed National Information Infrastructure (U-NII) Devices in the 5 GHz Band</w:t>
      </w:r>
      <w:r w:rsidRPr="003E4060">
        <w:t>, ET Docket No. 13-49, First Report and Order, 29 FCC Rcd 4127 (2014).</w:t>
      </w:r>
    </w:p>
  </w:footnote>
  <w:footnote w:id="3">
    <w:p w14:paraId="5B4C825A" w14:textId="1241B884" w:rsidR="00982C0E" w:rsidRDefault="00982C0E" w:rsidP="006A79BD">
      <w:pPr>
        <w:pStyle w:val="FootnoteText"/>
        <w:spacing w:after="120"/>
      </w:pPr>
      <w:r>
        <w:rPr>
          <w:rStyle w:val="FootnoteReference"/>
        </w:rPr>
        <w:footnoteRef/>
      </w:r>
      <w:r>
        <w:t xml:space="preserve"> </w:t>
      </w:r>
      <w:r w:rsidRPr="00FB3B3B">
        <w:rPr>
          <w:i/>
        </w:rPr>
        <w:t>Expanding the Economic and Innovation Opportunities of Spectrum through Incentive Auctions</w:t>
      </w:r>
      <w:r>
        <w:t xml:space="preserve">, </w:t>
      </w:r>
      <w:r w:rsidRPr="00FB3B3B">
        <w:t>GN Docket No. 12-268</w:t>
      </w:r>
      <w:r>
        <w:t xml:space="preserve">, </w:t>
      </w:r>
      <w:r w:rsidRPr="00FB3B3B">
        <w:t>Report and Order</w:t>
      </w:r>
      <w:r>
        <w:t>, 29 FCC Rcd 6567 (2014).</w:t>
      </w:r>
    </w:p>
  </w:footnote>
  <w:footnote w:id="4">
    <w:p w14:paraId="130342DE" w14:textId="1E552799" w:rsidR="00982C0E" w:rsidRDefault="00982C0E" w:rsidP="006A79BD">
      <w:pPr>
        <w:pStyle w:val="FootnoteText"/>
        <w:spacing w:after="120"/>
      </w:pPr>
      <w:r>
        <w:rPr>
          <w:rStyle w:val="FootnoteReference"/>
        </w:rPr>
        <w:footnoteRef/>
      </w:r>
      <w:r>
        <w:t xml:space="preserve"> </w:t>
      </w:r>
      <w:r w:rsidRPr="00B56272">
        <w:rPr>
          <w:i/>
        </w:rPr>
        <w:t>Us</w:t>
      </w:r>
      <w:r>
        <w:rPr>
          <w:i/>
        </w:rPr>
        <w:t>e of Spectrum Bands a</w:t>
      </w:r>
      <w:r w:rsidRPr="00B56272">
        <w:rPr>
          <w:i/>
        </w:rPr>
        <w:t>bove 24 GHz for Mobile Radio Services</w:t>
      </w:r>
      <w:r>
        <w:t xml:space="preserve">, GN Docket No. 14-177, Notice of Inquiry, </w:t>
      </w:r>
      <w:r w:rsidRPr="00AF50E8">
        <w:t>29 FCC Rcd 13020</w:t>
      </w:r>
      <w:r>
        <w:t xml:space="preserve"> (2014).</w:t>
      </w:r>
    </w:p>
  </w:footnote>
  <w:footnote w:id="5">
    <w:p w14:paraId="5A17C502" w14:textId="15BDD97C" w:rsidR="00684465" w:rsidRPr="00A2400E" w:rsidRDefault="00684465" w:rsidP="00A2400E">
      <w:pPr>
        <w:pStyle w:val="FootnoteText"/>
        <w:spacing w:after="120"/>
      </w:pPr>
      <w:r>
        <w:rPr>
          <w:rStyle w:val="FootnoteReference"/>
        </w:rPr>
        <w:footnoteRef/>
      </w:r>
      <w:r>
        <w:t xml:space="preserve"> </w:t>
      </w:r>
      <w:r w:rsidRPr="00A2400E">
        <w:rPr>
          <w:rFonts w:cs="Times New Roman"/>
        </w:rPr>
        <w:t xml:space="preserve">Coleman Bazelon &amp; Giulia McHenry, </w:t>
      </w:r>
      <w:r w:rsidRPr="00A2400E">
        <w:rPr>
          <w:rFonts w:cs="Times New Roman"/>
          <w:i/>
        </w:rPr>
        <w:t>Substantial Licensed Spectrum Deficit (2015-2019): Updating the FCC’s Mobile Data Demand Projections</w:t>
      </w:r>
      <w:r w:rsidRPr="00A2400E">
        <w:rPr>
          <w:rFonts w:cs="Times New Roman"/>
        </w:rPr>
        <w:t xml:space="preserve"> (June 23, 2015), http://www.ctia.org/docs/default-source/default-document-library/bazelon_mchenry_spectrum-deficit_2015-06-23.pdf; Thomas K. Sawanobori &amp; Dr. Robert Roche, </w:t>
      </w:r>
      <w:r w:rsidRPr="00A2400E">
        <w:rPr>
          <w:rFonts w:cs="Times New Roman"/>
          <w:i/>
        </w:rPr>
        <w:t>From Proposal to Deployment: The History of Spectrum Allocation Timelines to Re-Allocate the Additional 350 MHz of Licensed Spectrum Needed by 2019, Policymakers Must Act Now</w:t>
      </w:r>
      <w:r w:rsidRPr="00A2400E">
        <w:rPr>
          <w:rFonts w:cs="Times New Roman"/>
        </w:rPr>
        <w:t>, http://www.ctia.org/docs/default-source/default-document-library/072015-spectrum-timelines-white-paper.pdf.</w:t>
      </w:r>
    </w:p>
  </w:footnote>
  <w:footnote w:id="6">
    <w:p w14:paraId="0C2DA35A" w14:textId="6E0BF4B8" w:rsidR="00982C0E" w:rsidRDefault="00982C0E" w:rsidP="006A79BD">
      <w:pPr>
        <w:pStyle w:val="FootnoteText"/>
        <w:spacing w:after="120"/>
      </w:pPr>
      <w:r>
        <w:rPr>
          <w:rStyle w:val="FootnoteReference"/>
        </w:rPr>
        <w:footnoteRef/>
      </w:r>
      <w:r>
        <w:t xml:space="preserve"> </w:t>
      </w:r>
      <w:r w:rsidR="005A456C">
        <w:t xml:space="preserve">Posting of </w:t>
      </w:r>
      <w:r>
        <w:t xml:space="preserve">Michael O’Rielly, </w:t>
      </w:r>
      <w:r w:rsidRPr="0044766C">
        <w:rPr>
          <w:i/>
        </w:rPr>
        <w:t>Enacting More “Sticks”: Spectrum Fees for Government Users</w:t>
      </w:r>
      <w:r>
        <w:t xml:space="preserve">, </w:t>
      </w:r>
      <w:r w:rsidR="005A456C">
        <w:t xml:space="preserve"> </w:t>
      </w:r>
      <w:r w:rsidR="005A456C" w:rsidRPr="005A456C">
        <w:t>https://www.fcc.gov/blog/enacting-more-sticks-spectrum-fees-government-users</w:t>
      </w:r>
      <w:r w:rsidR="005A456C">
        <w:t xml:space="preserve"> (Sept. 8, 2015)</w:t>
      </w:r>
      <w:r>
        <w:t>.</w:t>
      </w:r>
    </w:p>
  </w:footnote>
  <w:footnote w:id="7">
    <w:p w14:paraId="0DDCF0DE" w14:textId="6FA82571" w:rsidR="00982C0E" w:rsidRDefault="00982C0E" w:rsidP="006A79BD">
      <w:pPr>
        <w:pStyle w:val="FootnoteText"/>
        <w:spacing w:after="120"/>
      </w:pPr>
      <w:r>
        <w:rPr>
          <w:rStyle w:val="FootnoteReference"/>
        </w:rPr>
        <w:footnoteRef/>
      </w:r>
      <w:r>
        <w:t xml:space="preserve"> </w:t>
      </w:r>
      <w:r w:rsidR="005D57F0" w:rsidRPr="00093B46">
        <w:rPr>
          <w:i/>
        </w:rPr>
        <w:t xml:space="preserve">Protecting and </w:t>
      </w:r>
      <w:r w:rsidR="00093B46" w:rsidRPr="00093B46">
        <w:rPr>
          <w:i/>
        </w:rPr>
        <w:t>P</w:t>
      </w:r>
      <w:r w:rsidR="005D57F0" w:rsidRPr="00093B46">
        <w:rPr>
          <w:i/>
        </w:rPr>
        <w:t>romoting the Open Intern</w:t>
      </w:r>
      <w:r w:rsidR="00093B46" w:rsidRPr="00093B46">
        <w:rPr>
          <w:i/>
        </w:rPr>
        <w:t>e</w:t>
      </w:r>
      <w:r w:rsidR="005D57F0" w:rsidRPr="00093B46">
        <w:rPr>
          <w:i/>
        </w:rPr>
        <w:t>t</w:t>
      </w:r>
      <w:r w:rsidR="005D57F0">
        <w:t>, GN Docket No. 14-28, Report and Order on Remand, Declaratory Ruling, and Order, 30 FCC Rcd 5601 (2015).</w:t>
      </w:r>
    </w:p>
  </w:footnote>
  <w:footnote w:id="8">
    <w:p w14:paraId="038B344D" w14:textId="5683553D" w:rsidR="00982C0E" w:rsidRDefault="00982C0E" w:rsidP="006A79BD">
      <w:pPr>
        <w:pStyle w:val="FootnoteText"/>
        <w:spacing w:after="120"/>
      </w:pPr>
      <w:r>
        <w:rPr>
          <w:rStyle w:val="FootnoteReference"/>
        </w:rPr>
        <w:footnoteRef/>
      </w:r>
      <w:r>
        <w:t xml:space="preserve"> </w:t>
      </w:r>
      <w:r w:rsidRPr="00982C0E">
        <w:rPr>
          <w:i/>
        </w:rPr>
        <w:t>2004 and 2006 Biennial Regulatory Reviews – Streamlining and Other Revisions of Parts 1 and 17 of the Commission’s Rules Governing Construction, Marking and Lighting of Antenna Structures</w:t>
      </w:r>
      <w:r w:rsidRPr="00CD0E13">
        <w:t>, WT Docket No. 10-88, Report and Order, 29 FCC Rcd 9787 (2014).</w:t>
      </w:r>
    </w:p>
  </w:footnote>
  <w:footnote w:id="9">
    <w:p w14:paraId="057CDF14" w14:textId="45A8558D" w:rsidR="00982C0E" w:rsidRDefault="00982C0E" w:rsidP="006A79BD">
      <w:pPr>
        <w:pStyle w:val="FootnoteText"/>
        <w:spacing w:after="120"/>
      </w:pPr>
      <w:r>
        <w:rPr>
          <w:rStyle w:val="FootnoteReference"/>
        </w:rPr>
        <w:footnoteRef/>
      </w:r>
      <w:r>
        <w:t xml:space="preserve"> </w:t>
      </w:r>
      <w:r w:rsidRPr="00B56272">
        <w:rPr>
          <w:i/>
        </w:rPr>
        <w:t>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Pr="008703D1">
        <w:t>, WT Docket No. 13-238, Report and Order,</w:t>
      </w:r>
      <w:r>
        <w:t xml:space="preserve"> 29 FCC Rcd</w:t>
      </w:r>
      <w:r w:rsidRPr="008703D1">
        <w:t xml:space="preserve"> 12865</w:t>
      </w:r>
      <w:r>
        <w:t xml:space="preserve"> (2014) (“</w:t>
      </w:r>
      <w:r w:rsidRPr="00F56850">
        <w:rPr>
          <w:i/>
        </w:rPr>
        <w:t>Infrastructure Order</w:t>
      </w:r>
      <w:r>
        <w:t>”).</w:t>
      </w:r>
    </w:p>
  </w:footnote>
  <w:footnote w:id="10">
    <w:p w14:paraId="6E4FA112" w14:textId="5FF5A4FA" w:rsidR="00982C0E" w:rsidRDefault="00982C0E" w:rsidP="006A79BD">
      <w:pPr>
        <w:pStyle w:val="FootnoteText"/>
        <w:spacing w:after="120"/>
      </w:pPr>
      <w:r>
        <w:rPr>
          <w:rStyle w:val="FootnoteReference"/>
        </w:rPr>
        <w:footnoteRef/>
      </w:r>
      <w:r>
        <w:t xml:space="preserve"> </w:t>
      </w:r>
      <w:r w:rsidRPr="00B56272">
        <w:t>Middle Class Tax Relief and Job Creation Act of 2012 § 6409(a)</w:t>
      </w:r>
      <w:r>
        <w:t>,</w:t>
      </w:r>
      <w:r w:rsidRPr="004A4B76">
        <w:t xml:space="preserve"> 47 U.S.C. § 1455(a).</w:t>
      </w:r>
    </w:p>
  </w:footnote>
  <w:footnote w:id="11">
    <w:p w14:paraId="0601EDBF" w14:textId="2E4E813A" w:rsidR="00982C0E" w:rsidRDefault="00982C0E" w:rsidP="006A79BD">
      <w:pPr>
        <w:pStyle w:val="FootnoteText"/>
        <w:spacing w:after="120"/>
      </w:pPr>
      <w:r>
        <w:rPr>
          <w:rStyle w:val="FootnoteReference"/>
        </w:rPr>
        <w:footnoteRef/>
      </w:r>
      <w:r>
        <w:t xml:space="preserve"> Savannah Vasquez, </w:t>
      </w:r>
      <w:r>
        <w:rPr>
          <w:i/>
        </w:rPr>
        <w:t>Scenic 98 Cell towers on Hold: City and Company Reviewing O</w:t>
      </w:r>
      <w:r w:rsidRPr="0044766C">
        <w:rPr>
          <w:i/>
        </w:rPr>
        <w:t>ptions</w:t>
      </w:r>
      <w:r>
        <w:t xml:space="preserve">, </w:t>
      </w:r>
      <w:r w:rsidRPr="0044766C">
        <w:rPr>
          <w:smallCaps/>
        </w:rPr>
        <w:t>Destin Log</w:t>
      </w:r>
      <w:r>
        <w:t xml:space="preserve">, Aug. 26, 2015, </w:t>
      </w:r>
      <w:r w:rsidRPr="00E31C9B">
        <w:t>http://www.thedestinlog.com/article/20150826/NEWS/150829520</w:t>
      </w:r>
      <w:r>
        <w:t>.</w:t>
      </w:r>
    </w:p>
  </w:footnote>
  <w:footnote w:id="12">
    <w:p w14:paraId="31D2A4AD" w14:textId="3C6C40EC" w:rsidR="00982C0E" w:rsidRDefault="00982C0E" w:rsidP="006A79BD">
      <w:pPr>
        <w:pStyle w:val="FootnoteText"/>
        <w:spacing w:after="120"/>
      </w:pPr>
      <w:r>
        <w:rPr>
          <w:rStyle w:val="FootnoteReference"/>
        </w:rPr>
        <w:footnoteRef/>
      </w:r>
      <w:r>
        <w:t xml:space="preserve"> Matt Algarin, </w:t>
      </w:r>
      <w:r w:rsidR="006A79BD">
        <w:rPr>
          <w:i/>
        </w:rPr>
        <w:t>Cell Towers to be R</w:t>
      </w:r>
      <w:r w:rsidRPr="0044766C">
        <w:rPr>
          <w:i/>
        </w:rPr>
        <w:t>emoved from Sce</w:t>
      </w:r>
      <w:r w:rsidR="006A79BD">
        <w:rPr>
          <w:i/>
        </w:rPr>
        <w:t>nic Hwy. 98 after Tuesday V</w:t>
      </w:r>
      <w:r w:rsidRPr="0044766C">
        <w:rPr>
          <w:i/>
        </w:rPr>
        <w:t>ote</w:t>
      </w:r>
      <w:r>
        <w:t xml:space="preserve">, </w:t>
      </w:r>
      <w:r w:rsidRPr="0044766C">
        <w:rPr>
          <w:smallCaps/>
        </w:rPr>
        <w:t>Destin Log</w:t>
      </w:r>
      <w:r>
        <w:t xml:space="preserve">, Sept. 11, 2015, </w:t>
      </w:r>
      <w:r w:rsidRPr="00E31C9B">
        <w:t>http://www.thedestinlog.com/article/20150911/NEWS/150919827</w:t>
      </w:r>
      <w:r>
        <w:t>.</w:t>
      </w:r>
    </w:p>
  </w:footnote>
  <w:footnote w:id="13">
    <w:p w14:paraId="0A02F221" w14:textId="155B5469" w:rsidR="00982C0E" w:rsidRDefault="00982C0E" w:rsidP="006A79BD">
      <w:pPr>
        <w:pStyle w:val="FootnoteText"/>
        <w:spacing w:after="120"/>
      </w:pPr>
      <w:r>
        <w:rPr>
          <w:rStyle w:val="FootnoteReference"/>
        </w:rPr>
        <w:footnoteRef/>
      </w:r>
      <w:r>
        <w:t xml:space="preserve"> Walter Piecyk, </w:t>
      </w:r>
      <w:r w:rsidRPr="00766B39">
        <w:rPr>
          <w:i/>
        </w:rPr>
        <w:t>Answering the Call for Capacity, Initiating Coverage on the Towers: AMT, CCI, SBAC</w:t>
      </w:r>
      <w:r>
        <w:t xml:space="preserve">, June 17, 2015, </w:t>
      </w:r>
      <w:r w:rsidRPr="00844E11">
        <w:t>http://www.btigresearch.com/2015/06/17/answering-the-call-for-capacity-initiating-coverage-on-the-towers-amt-cci-sbac/#post-60783</w:t>
      </w:r>
      <w:r>
        <w:t>.</w:t>
      </w:r>
    </w:p>
  </w:footnote>
  <w:footnote w:id="14">
    <w:p w14:paraId="05B729E0" w14:textId="2988E214" w:rsidR="00982C0E" w:rsidRDefault="00982C0E" w:rsidP="006A79BD">
      <w:pPr>
        <w:pStyle w:val="FootnoteText"/>
        <w:spacing w:after="120"/>
      </w:pPr>
      <w:r>
        <w:rPr>
          <w:rStyle w:val="FootnoteReference"/>
        </w:rPr>
        <w:footnoteRef/>
      </w:r>
      <w:r>
        <w:t xml:space="preserve"> </w:t>
      </w:r>
      <w:r w:rsidRPr="00F56850">
        <w:rPr>
          <w:i/>
        </w:rPr>
        <w:t>Infrastructure Order</w:t>
      </w:r>
      <w:r>
        <w:t>, 29 FCC Rcd</w:t>
      </w:r>
      <w:r w:rsidRPr="008703D1">
        <w:t xml:space="preserve"> </w:t>
      </w:r>
      <w:r>
        <w:t xml:space="preserve">at 12871, 12878, 12906 ¶¶ 13, 28, 89.  </w:t>
      </w:r>
    </w:p>
  </w:footnote>
  <w:footnote w:id="15">
    <w:p w14:paraId="2F37FDA3" w14:textId="5D53B9F4" w:rsidR="00D11739" w:rsidRDefault="00D11739" w:rsidP="006A79BD">
      <w:pPr>
        <w:pStyle w:val="FootnoteText"/>
        <w:spacing w:after="120"/>
      </w:pPr>
      <w:r>
        <w:rPr>
          <w:rStyle w:val="FootnoteReference"/>
        </w:rPr>
        <w:footnoteRef/>
      </w:r>
      <w:r>
        <w:t xml:space="preserve"> Comments of PCIA – The Wireless Infrastructure Association, Wireless Telecommunications Bureau Seeks Comment on the State of Mobile Wireless Competition, June 29, 2015.</w:t>
      </w:r>
    </w:p>
  </w:footnote>
  <w:footnote w:id="16">
    <w:p w14:paraId="261EE6C4" w14:textId="0251A4A9" w:rsidR="00D11739" w:rsidRDefault="00D11739" w:rsidP="006A79BD">
      <w:pPr>
        <w:pStyle w:val="FootnoteText"/>
        <w:spacing w:after="120"/>
      </w:pPr>
      <w:r>
        <w:rPr>
          <w:rStyle w:val="FootnoteReference"/>
        </w:rPr>
        <w:footnoteRef/>
      </w:r>
      <w:r>
        <w:t xml:space="preserve"> Piecyk, </w:t>
      </w:r>
      <w:r w:rsidRPr="00081802">
        <w:rPr>
          <w:i/>
        </w:rPr>
        <w:t>supra</w:t>
      </w:r>
      <w:r>
        <w:t xml:space="preserve"> note 1</w:t>
      </w:r>
      <w:r w:rsidR="00BC0F73">
        <w:t>3</w:t>
      </w:r>
      <w:r>
        <w:t>.</w:t>
      </w:r>
    </w:p>
  </w:footnote>
  <w:footnote w:id="17">
    <w:p w14:paraId="6EAE082E" w14:textId="121422D4" w:rsidR="00D11739" w:rsidRDefault="00D11739" w:rsidP="006A79BD">
      <w:pPr>
        <w:pStyle w:val="FootnoteText"/>
        <w:spacing w:after="120"/>
      </w:pPr>
      <w:r>
        <w:rPr>
          <w:rStyle w:val="FootnoteReference"/>
        </w:rPr>
        <w:footnoteRef/>
      </w:r>
      <w:r>
        <w:t xml:space="preserve"> </w:t>
      </w:r>
      <w:r w:rsidRPr="00B56272">
        <w:rPr>
          <w:i/>
        </w:rPr>
        <w:t>Implementation of Section 6002(b) of the Omnibus Budget Reconciliation Act of 1993 Annual Report and Analysis of Competitive Market Conditions With Respect to Mobile Wireless, Including Commercial Mobile Services</w:t>
      </w:r>
      <w:r>
        <w:t xml:space="preserve">, </w:t>
      </w:r>
      <w:r w:rsidRPr="00C40ED2">
        <w:t>WT Docket No. 13-135</w:t>
      </w:r>
      <w:r>
        <w:t>, Seventeenth Report,</w:t>
      </w:r>
      <w:r w:rsidRPr="00C40ED2">
        <w:t xml:space="preserve"> 29 FCC Rcd 15311</w:t>
      </w:r>
      <w:r>
        <w:t xml:space="preserve">, 15370 ¶ 115 (WTB 2014). </w:t>
      </w:r>
      <w:r w:rsidRPr="00013350">
        <w:t xml:space="preserve"> </w:t>
      </w:r>
      <w:r w:rsidRPr="004F1600">
        <w:t xml:space="preserve">These towers – constructed between March 2001 and March 2005 – were not </w:t>
      </w:r>
      <w:r>
        <w:t>specifically required</w:t>
      </w:r>
      <w:r w:rsidRPr="004F1600">
        <w:t xml:space="preserve"> to</w:t>
      </w:r>
      <w:r>
        <w:t xml:space="preserve"> go through</w:t>
      </w:r>
      <w:r w:rsidRPr="004F1600">
        <w:t xml:space="preserve"> historic preservation review </w:t>
      </w:r>
      <w:r>
        <w:t>process</w:t>
      </w:r>
      <w:r w:rsidRPr="004F1600">
        <w:t>.</w:t>
      </w:r>
    </w:p>
  </w:footnote>
  <w:footnote w:id="18">
    <w:p w14:paraId="1DDAEFBA" w14:textId="37C88ABE" w:rsidR="00D11739" w:rsidRDefault="00D11739" w:rsidP="006A79BD">
      <w:pPr>
        <w:pStyle w:val="FootnoteText"/>
        <w:spacing w:after="120"/>
      </w:pPr>
      <w:r>
        <w:rPr>
          <w:rStyle w:val="FootnoteReference"/>
        </w:rPr>
        <w:footnoteRef/>
      </w:r>
      <w:r>
        <w:t xml:space="preserve"> </w:t>
      </w:r>
      <w:r w:rsidR="005A7456" w:rsidRPr="005A7456">
        <w:rPr>
          <w:i/>
        </w:rPr>
        <w:t>Office of Engineering and Technology and Wireless Telecommunications Bureau Seek Information on Current Trends in LTE-U and LAA Technology</w:t>
      </w:r>
      <w:r w:rsidR="005A7456">
        <w:t xml:space="preserve">, </w:t>
      </w:r>
      <w:r w:rsidR="005A7456" w:rsidRPr="005A7456">
        <w:t>ET Docket No. 15-105</w:t>
      </w:r>
      <w:r w:rsidR="005A7456">
        <w:t xml:space="preserve">, Public Notice, 30 FCC Rcd 4457 (May 5, 2015); Letter from Julius Knapp, Chief, Office of Engineering and Technology, Federal Communications Commission, to </w:t>
      </w:r>
      <w:r w:rsidR="002A7849">
        <w:t xml:space="preserve">LTE-U Forum, c/o </w:t>
      </w:r>
      <w:r w:rsidR="005A7456">
        <w:t>Dean Brenner</w:t>
      </w:r>
      <w:r w:rsidR="002A7849">
        <w:t xml:space="preserve">, Qualcomm Incorporated, </w:t>
      </w:r>
      <w:r w:rsidR="002A7849" w:rsidRPr="005A7456">
        <w:t>ET Docket No. 15-105</w:t>
      </w:r>
      <w:r w:rsidR="002A7849">
        <w:t xml:space="preserve"> (Aug</w:t>
      </w:r>
      <w:r w:rsidR="00E62EF4">
        <w:t>.</w:t>
      </w:r>
      <w:r w:rsidR="002A7849">
        <w:t xml:space="preserve"> 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BF05" w14:textId="77777777" w:rsidR="00C96FE3" w:rsidRDefault="00C96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BC7A" w14:textId="77777777" w:rsidR="00C96FE3" w:rsidRDefault="00C96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6623" w14:textId="77777777" w:rsidR="00C96FE3" w:rsidRDefault="00C96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354"/>
    <w:multiLevelType w:val="hybridMultilevel"/>
    <w:tmpl w:val="ECB21E6C"/>
    <w:lvl w:ilvl="0" w:tplc="48623468">
      <w:start w:val="20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F6"/>
    <w:rsid w:val="00013350"/>
    <w:rsid w:val="00033FC7"/>
    <w:rsid w:val="00042A5E"/>
    <w:rsid w:val="0004335E"/>
    <w:rsid w:val="0007465E"/>
    <w:rsid w:val="00081802"/>
    <w:rsid w:val="0009349C"/>
    <w:rsid w:val="00093582"/>
    <w:rsid w:val="00093B46"/>
    <w:rsid w:val="000A0E5A"/>
    <w:rsid w:val="000A5202"/>
    <w:rsid w:val="000B121E"/>
    <w:rsid w:val="000C319B"/>
    <w:rsid w:val="000E2F36"/>
    <w:rsid w:val="000F0BA8"/>
    <w:rsid w:val="0010287E"/>
    <w:rsid w:val="001076E3"/>
    <w:rsid w:val="001079FF"/>
    <w:rsid w:val="001257D8"/>
    <w:rsid w:val="001365CE"/>
    <w:rsid w:val="00145CE0"/>
    <w:rsid w:val="00147AAC"/>
    <w:rsid w:val="00156612"/>
    <w:rsid w:val="00167121"/>
    <w:rsid w:val="001701B0"/>
    <w:rsid w:val="00183E56"/>
    <w:rsid w:val="001856E4"/>
    <w:rsid w:val="00186594"/>
    <w:rsid w:val="001910AD"/>
    <w:rsid w:val="00193893"/>
    <w:rsid w:val="001A6BF7"/>
    <w:rsid w:val="001B0BBF"/>
    <w:rsid w:val="001B1C55"/>
    <w:rsid w:val="001D09C6"/>
    <w:rsid w:val="001D4F44"/>
    <w:rsid w:val="001E3616"/>
    <w:rsid w:val="002212D4"/>
    <w:rsid w:val="00233EC7"/>
    <w:rsid w:val="00240C8A"/>
    <w:rsid w:val="00250A3B"/>
    <w:rsid w:val="00261A44"/>
    <w:rsid w:val="002801C2"/>
    <w:rsid w:val="002842EB"/>
    <w:rsid w:val="00284D8C"/>
    <w:rsid w:val="0028788A"/>
    <w:rsid w:val="00295CF1"/>
    <w:rsid w:val="002A4F74"/>
    <w:rsid w:val="002A5BA5"/>
    <w:rsid w:val="002A7849"/>
    <w:rsid w:val="002B34E3"/>
    <w:rsid w:val="002B39C8"/>
    <w:rsid w:val="002B4671"/>
    <w:rsid w:val="002B7A59"/>
    <w:rsid w:val="002C031A"/>
    <w:rsid w:val="002D66CE"/>
    <w:rsid w:val="002E5C6F"/>
    <w:rsid w:val="002E61F4"/>
    <w:rsid w:val="00302B2C"/>
    <w:rsid w:val="00333473"/>
    <w:rsid w:val="003510EA"/>
    <w:rsid w:val="0036300C"/>
    <w:rsid w:val="00364F10"/>
    <w:rsid w:val="0036501B"/>
    <w:rsid w:val="003854BE"/>
    <w:rsid w:val="003A7092"/>
    <w:rsid w:val="003B2954"/>
    <w:rsid w:val="003B5678"/>
    <w:rsid w:val="003C254E"/>
    <w:rsid w:val="003D33AE"/>
    <w:rsid w:val="003D44FE"/>
    <w:rsid w:val="003D521F"/>
    <w:rsid w:val="003D6388"/>
    <w:rsid w:val="003E066F"/>
    <w:rsid w:val="003E4060"/>
    <w:rsid w:val="003E6D19"/>
    <w:rsid w:val="003F1693"/>
    <w:rsid w:val="003F3929"/>
    <w:rsid w:val="00407F8A"/>
    <w:rsid w:val="004204C0"/>
    <w:rsid w:val="0042445F"/>
    <w:rsid w:val="00425AC4"/>
    <w:rsid w:val="00430B4C"/>
    <w:rsid w:val="0043528E"/>
    <w:rsid w:val="004400B8"/>
    <w:rsid w:val="00447173"/>
    <w:rsid w:val="0044766C"/>
    <w:rsid w:val="004478C4"/>
    <w:rsid w:val="00454B36"/>
    <w:rsid w:val="00463009"/>
    <w:rsid w:val="004727BE"/>
    <w:rsid w:val="00475EBA"/>
    <w:rsid w:val="00494CE8"/>
    <w:rsid w:val="004A30B1"/>
    <w:rsid w:val="004B1659"/>
    <w:rsid w:val="004B38ED"/>
    <w:rsid w:val="004B51E7"/>
    <w:rsid w:val="004C0224"/>
    <w:rsid w:val="004C0352"/>
    <w:rsid w:val="004C374F"/>
    <w:rsid w:val="004C53BD"/>
    <w:rsid w:val="004E7DA0"/>
    <w:rsid w:val="004F1600"/>
    <w:rsid w:val="00504440"/>
    <w:rsid w:val="00531683"/>
    <w:rsid w:val="00533084"/>
    <w:rsid w:val="00543826"/>
    <w:rsid w:val="005476AE"/>
    <w:rsid w:val="00570B54"/>
    <w:rsid w:val="00580EA6"/>
    <w:rsid w:val="005845F0"/>
    <w:rsid w:val="00594927"/>
    <w:rsid w:val="005A456C"/>
    <w:rsid w:val="005A6825"/>
    <w:rsid w:val="005A7456"/>
    <w:rsid w:val="005C52F0"/>
    <w:rsid w:val="005D57F0"/>
    <w:rsid w:val="005E357C"/>
    <w:rsid w:val="005F2288"/>
    <w:rsid w:val="005F2DB3"/>
    <w:rsid w:val="00601EFD"/>
    <w:rsid w:val="00604912"/>
    <w:rsid w:val="00610678"/>
    <w:rsid w:val="006114C6"/>
    <w:rsid w:val="00621234"/>
    <w:rsid w:val="00623BF8"/>
    <w:rsid w:val="00625747"/>
    <w:rsid w:val="0063356B"/>
    <w:rsid w:val="00633822"/>
    <w:rsid w:val="006439D5"/>
    <w:rsid w:val="00653D14"/>
    <w:rsid w:val="0066019B"/>
    <w:rsid w:val="00660F72"/>
    <w:rsid w:val="00661D44"/>
    <w:rsid w:val="00667ACD"/>
    <w:rsid w:val="00671427"/>
    <w:rsid w:val="006762CD"/>
    <w:rsid w:val="006770B0"/>
    <w:rsid w:val="00684465"/>
    <w:rsid w:val="0069332F"/>
    <w:rsid w:val="00696A8A"/>
    <w:rsid w:val="006A248E"/>
    <w:rsid w:val="006A79BD"/>
    <w:rsid w:val="006C449C"/>
    <w:rsid w:val="006E45C3"/>
    <w:rsid w:val="006E5D62"/>
    <w:rsid w:val="006E7C97"/>
    <w:rsid w:val="006F18A4"/>
    <w:rsid w:val="00713AF3"/>
    <w:rsid w:val="0071437D"/>
    <w:rsid w:val="0072382A"/>
    <w:rsid w:val="00731189"/>
    <w:rsid w:val="007320B2"/>
    <w:rsid w:val="00742FCC"/>
    <w:rsid w:val="00744357"/>
    <w:rsid w:val="007574D7"/>
    <w:rsid w:val="00765661"/>
    <w:rsid w:val="00766B39"/>
    <w:rsid w:val="007701CF"/>
    <w:rsid w:val="007715FA"/>
    <w:rsid w:val="007B43DA"/>
    <w:rsid w:val="007B6709"/>
    <w:rsid w:val="007C283B"/>
    <w:rsid w:val="007C51FE"/>
    <w:rsid w:val="007C7114"/>
    <w:rsid w:val="007D783E"/>
    <w:rsid w:val="007E0647"/>
    <w:rsid w:val="007E4787"/>
    <w:rsid w:val="00802169"/>
    <w:rsid w:val="0081192F"/>
    <w:rsid w:val="00835212"/>
    <w:rsid w:val="00844E11"/>
    <w:rsid w:val="00854A7B"/>
    <w:rsid w:val="008570EF"/>
    <w:rsid w:val="00861086"/>
    <w:rsid w:val="008721AF"/>
    <w:rsid w:val="00875730"/>
    <w:rsid w:val="00876F58"/>
    <w:rsid w:val="008820D2"/>
    <w:rsid w:val="008865DE"/>
    <w:rsid w:val="00886726"/>
    <w:rsid w:val="008A18CE"/>
    <w:rsid w:val="008A2864"/>
    <w:rsid w:val="008A6DC1"/>
    <w:rsid w:val="008C1564"/>
    <w:rsid w:val="008C5C2D"/>
    <w:rsid w:val="008C6D24"/>
    <w:rsid w:val="008D1B9D"/>
    <w:rsid w:val="008E1D15"/>
    <w:rsid w:val="009121A5"/>
    <w:rsid w:val="009161E4"/>
    <w:rsid w:val="00920775"/>
    <w:rsid w:val="009249F9"/>
    <w:rsid w:val="009359F1"/>
    <w:rsid w:val="00937B08"/>
    <w:rsid w:val="00951905"/>
    <w:rsid w:val="00952F25"/>
    <w:rsid w:val="00961B85"/>
    <w:rsid w:val="009719CE"/>
    <w:rsid w:val="00974780"/>
    <w:rsid w:val="00982C0E"/>
    <w:rsid w:val="009902B4"/>
    <w:rsid w:val="009C499E"/>
    <w:rsid w:val="009C6B41"/>
    <w:rsid w:val="009C7A12"/>
    <w:rsid w:val="009C7CC1"/>
    <w:rsid w:val="009D11A8"/>
    <w:rsid w:val="009D4C07"/>
    <w:rsid w:val="009D506F"/>
    <w:rsid w:val="009D65EB"/>
    <w:rsid w:val="009E732E"/>
    <w:rsid w:val="009F0470"/>
    <w:rsid w:val="00A16528"/>
    <w:rsid w:val="00A2400E"/>
    <w:rsid w:val="00A25E8B"/>
    <w:rsid w:val="00A3596D"/>
    <w:rsid w:val="00A55812"/>
    <w:rsid w:val="00A57244"/>
    <w:rsid w:val="00A5751B"/>
    <w:rsid w:val="00A60B7E"/>
    <w:rsid w:val="00A63D69"/>
    <w:rsid w:val="00A64909"/>
    <w:rsid w:val="00A72C9A"/>
    <w:rsid w:val="00A735CF"/>
    <w:rsid w:val="00A74D6D"/>
    <w:rsid w:val="00A810BD"/>
    <w:rsid w:val="00A84BE5"/>
    <w:rsid w:val="00A85B0B"/>
    <w:rsid w:val="00A917ED"/>
    <w:rsid w:val="00AA7D7A"/>
    <w:rsid w:val="00AB3B7B"/>
    <w:rsid w:val="00AB77E2"/>
    <w:rsid w:val="00AC47AE"/>
    <w:rsid w:val="00AC48BF"/>
    <w:rsid w:val="00AD0B9F"/>
    <w:rsid w:val="00AF000E"/>
    <w:rsid w:val="00AF3A97"/>
    <w:rsid w:val="00AF54DD"/>
    <w:rsid w:val="00B04198"/>
    <w:rsid w:val="00B200BC"/>
    <w:rsid w:val="00B346DB"/>
    <w:rsid w:val="00B34CA6"/>
    <w:rsid w:val="00B371F0"/>
    <w:rsid w:val="00B40F27"/>
    <w:rsid w:val="00B475E7"/>
    <w:rsid w:val="00B50C4B"/>
    <w:rsid w:val="00B51AFF"/>
    <w:rsid w:val="00B551D0"/>
    <w:rsid w:val="00B6432A"/>
    <w:rsid w:val="00B70C02"/>
    <w:rsid w:val="00B71EAE"/>
    <w:rsid w:val="00B720FC"/>
    <w:rsid w:val="00B735D3"/>
    <w:rsid w:val="00B76436"/>
    <w:rsid w:val="00B76D12"/>
    <w:rsid w:val="00B91068"/>
    <w:rsid w:val="00B9240B"/>
    <w:rsid w:val="00B9327A"/>
    <w:rsid w:val="00B9769D"/>
    <w:rsid w:val="00BB04C5"/>
    <w:rsid w:val="00BB1A97"/>
    <w:rsid w:val="00BC0F73"/>
    <w:rsid w:val="00BC2F35"/>
    <w:rsid w:val="00BE316F"/>
    <w:rsid w:val="00BE7130"/>
    <w:rsid w:val="00BF7E7D"/>
    <w:rsid w:val="00C24089"/>
    <w:rsid w:val="00C265EC"/>
    <w:rsid w:val="00C344DD"/>
    <w:rsid w:val="00C3718F"/>
    <w:rsid w:val="00C45487"/>
    <w:rsid w:val="00C64E09"/>
    <w:rsid w:val="00C67D4A"/>
    <w:rsid w:val="00C73CEA"/>
    <w:rsid w:val="00C7771E"/>
    <w:rsid w:val="00C779C1"/>
    <w:rsid w:val="00C949BF"/>
    <w:rsid w:val="00C96FE3"/>
    <w:rsid w:val="00CA128C"/>
    <w:rsid w:val="00CA7992"/>
    <w:rsid w:val="00CC62E9"/>
    <w:rsid w:val="00CD0E13"/>
    <w:rsid w:val="00CD7684"/>
    <w:rsid w:val="00CE25F5"/>
    <w:rsid w:val="00CE42C3"/>
    <w:rsid w:val="00CF33F6"/>
    <w:rsid w:val="00CF3799"/>
    <w:rsid w:val="00CF43D0"/>
    <w:rsid w:val="00D0175C"/>
    <w:rsid w:val="00D01DEC"/>
    <w:rsid w:val="00D03810"/>
    <w:rsid w:val="00D070B6"/>
    <w:rsid w:val="00D10168"/>
    <w:rsid w:val="00D11739"/>
    <w:rsid w:val="00D20BB5"/>
    <w:rsid w:val="00D35E28"/>
    <w:rsid w:val="00D36E7F"/>
    <w:rsid w:val="00D42833"/>
    <w:rsid w:val="00D57605"/>
    <w:rsid w:val="00D601E8"/>
    <w:rsid w:val="00D63EA1"/>
    <w:rsid w:val="00D74B4C"/>
    <w:rsid w:val="00D819EE"/>
    <w:rsid w:val="00D83D75"/>
    <w:rsid w:val="00D86822"/>
    <w:rsid w:val="00D87BE3"/>
    <w:rsid w:val="00D947C4"/>
    <w:rsid w:val="00DB6C81"/>
    <w:rsid w:val="00DC4212"/>
    <w:rsid w:val="00DE507A"/>
    <w:rsid w:val="00DF267D"/>
    <w:rsid w:val="00DF4BA3"/>
    <w:rsid w:val="00E02968"/>
    <w:rsid w:val="00E1322E"/>
    <w:rsid w:val="00E16971"/>
    <w:rsid w:val="00E276EB"/>
    <w:rsid w:val="00E31C9B"/>
    <w:rsid w:val="00E3698D"/>
    <w:rsid w:val="00E43BB7"/>
    <w:rsid w:val="00E50A02"/>
    <w:rsid w:val="00E56DC7"/>
    <w:rsid w:val="00E60CBF"/>
    <w:rsid w:val="00E62EF4"/>
    <w:rsid w:val="00E80256"/>
    <w:rsid w:val="00E821D9"/>
    <w:rsid w:val="00E95641"/>
    <w:rsid w:val="00EA4420"/>
    <w:rsid w:val="00EA785E"/>
    <w:rsid w:val="00EB0541"/>
    <w:rsid w:val="00EB3B96"/>
    <w:rsid w:val="00EE6881"/>
    <w:rsid w:val="00EE6D24"/>
    <w:rsid w:val="00EF0752"/>
    <w:rsid w:val="00F03365"/>
    <w:rsid w:val="00F034E4"/>
    <w:rsid w:val="00F04507"/>
    <w:rsid w:val="00F06F89"/>
    <w:rsid w:val="00F07763"/>
    <w:rsid w:val="00F13DCE"/>
    <w:rsid w:val="00F23070"/>
    <w:rsid w:val="00F43159"/>
    <w:rsid w:val="00F479E4"/>
    <w:rsid w:val="00F51461"/>
    <w:rsid w:val="00F56850"/>
    <w:rsid w:val="00F60BBC"/>
    <w:rsid w:val="00F71BA9"/>
    <w:rsid w:val="00F73E6E"/>
    <w:rsid w:val="00F768D1"/>
    <w:rsid w:val="00F86A42"/>
    <w:rsid w:val="00F87C22"/>
    <w:rsid w:val="00F96112"/>
    <w:rsid w:val="00FB34DF"/>
    <w:rsid w:val="00FB3B3B"/>
    <w:rsid w:val="00FB4262"/>
    <w:rsid w:val="00FB536C"/>
    <w:rsid w:val="00FB775A"/>
    <w:rsid w:val="00FB778C"/>
    <w:rsid w:val="00FB790D"/>
    <w:rsid w:val="00FD047A"/>
    <w:rsid w:val="00FD68ED"/>
    <w:rsid w:val="00FE483F"/>
    <w:rsid w:val="00FF0A0C"/>
    <w:rsid w:val="00F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9B"/>
    <w:rPr>
      <w:rFonts w:ascii="Tahoma" w:hAnsi="Tahoma" w:cs="Tahoma"/>
      <w:sz w:val="16"/>
      <w:szCs w:val="16"/>
    </w:rPr>
  </w:style>
  <w:style w:type="paragraph" w:styleId="FootnoteText">
    <w:name w:val="footnote text"/>
    <w:basedOn w:val="Normal"/>
    <w:link w:val="FootnoteTextChar"/>
    <w:uiPriority w:val="99"/>
    <w:semiHidden/>
    <w:unhideWhenUsed/>
    <w:rsid w:val="00A6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909"/>
    <w:rPr>
      <w:sz w:val="20"/>
      <w:szCs w:val="20"/>
    </w:rPr>
  </w:style>
  <w:style w:type="character" w:styleId="FootnoteReference">
    <w:name w:val="footnote reference"/>
    <w:basedOn w:val="DefaultParagraphFont"/>
    <w:uiPriority w:val="99"/>
    <w:semiHidden/>
    <w:unhideWhenUsed/>
    <w:rsid w:val="00A64909"/>
    <w:rPr>
      <w:vertAlign w:val="superscript"/>
    </w:rPr>
  </w:style>
  <w:style w:type="paragraph" w:customStyle="1" w:styleId="Body">
    <w:name w:val="Body"/>
    <w:rsid w:val="004727B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04335E"/>
    <w:rPr>
      <w:sz w:val="16"/>
      <w:szCs w:val="16"/>
    </w:rPr>
  </w:style>
  <w:style w:type="paragraph" w:styleId="CommentText">
    <w:name w:val="annotation text"/>
    <w:basedOn w:val="Normal"/>
    <w:link w:val="CommentTextChar"/>
    <w:uiPriority w:val="99"/>
    <w:semiHidden/>
    <w:unhideWhenUsed/>
    <w:rsid w:val="0004335E"/>
    <w:pPr>
      <w:spacing w:line="240" w:lineRule="auto"/>
    </w:pPr>
    <w:rPr>
      <w:sz w:val="20"/>
      <w:szCs w:val="20"/>
    </w:rPr>
  </w:style>
  <w:style w:type="character" w:customStyle="1" w:styleId="CommentTextChar">
    <w:name w:val="Comment Text Char"/>
    <w:basedOn w:val="DefaultParagraphFont"/>
    <w:link w:val="CommentText"/>
    <w:uiPriority w:val="99"/>
    <w:semiHidden/>
    <w:rsid w:val="0004335E"/>
    <w:rPr>
      <w:sz w:val="20"/>
      <w:szCs w:val="20"/>
    </w:rPr>
  </w:style>
  <w:style w:type="paragraph" w:styleId="CommentSubject">
    <w:name w:val="annotation subject"/>
    <w:basedOn w:val="CommentText"/>
    <w:next w:val="CommentText"/>
    <w:link w:val="CommentSubjectChar"/>
    <w:uiPriority w:val="99"/>
    <w:semiHidden/>
    <w:unhideWhenUsed/>
    <w:rsid w:val="0004335E"/>
    <w:rPr>
      <w:b/>
      <w:bCs/>
    </w:rPr>
  </w:style>
  <w:style w:type="character" w:customStyle="1" w:styleId="CommentSubjectChar">
    <w:name w:val="Comment Subject Char"/>
    <w:basedOn w:val="CommentTextChar"/>
    <w:link w:val="CommentSubject"/>
    <w:uiPriority w:val="99"/>
    <w:semiHidden/>
    <w:rsid w:val="0004335E"/>
    <w:rPr>
      <w:b/>
      <w:bCs/>
      <w:sz w:val="20"/>
      <w:szCs w:val="20"/>
    </w:rPr>
  </w:style>
  <w:style w:type="paragraph" w:styleId="Header">
    <w:name w:val="header"/>
    <w:basedOn w:val="Normal"/>
    <w:link w:val="HeaderChar"/>
    <w:uiPriority w:val="99"/>
    <w:unhideWhenUsed/>
    <w:rsid w:val="0004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5E"/>
  </w:style>
  <w:style w:type="paragraph" w:styleId="Footer">
    <w:name w:val="footer"/>
    <w:basedOn w:val="Normal"/>
    <w:link w:val="FooterChar"/>
    <w:uiPriority w:val="99"/>
    <w:unhideWhenUsed/>
    <w:rsid w:val="0004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5E"/>
  </w:style>
  <w:style w:type="paragraph" w:styleId="Revision">
    <w:name w:val="Revision"/>
    <w:hidden/>
    <w:uiPriority w:val="99"/>
    <w:semiHidden/>
    <w:rsid w:val="003B2954"/>
    <w:pPr>
      <w:spacing w:after="0" w:line="240" w:lineRule="auto"/>
    </w:pPr>
  </w:style>
  <w:style w:type="character" w:styleId="Hyperlink">
    <w:name w:val="Hyperlink"/>
    <w:basedOn w:val="DefaultParagraphFont"/>
    <w:uiPriority w:val="99"/>
    <w:unhideWhenUsed/>
    <w:rsid w:val="00671427"/>
    <w:rPr>
      <w:color w:val="0000FF" w:themeColor="hyperlink"/>
      <w:u w:val="single"/>
    </w:rPr>
  </w:style>
  <w:style w:type="paragraph" w:styleId="ListParagraph">
    <w:name w:val="List Paragraph"/>
    <w:basedOn w:val="Normal"/>
    <w:uiPriority w:val="34"/>
    <w:qFormat/>
    <w:rsid w:val="0072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9B"/>
    <w:rPr>
      <w:rFonts w:ascii="Tahoma" w:hAnsi="Tahoma" w:cs="Tahoma"/>
      <w:sz w:val="16"/>
      <w:szCs w:val="16"/>
    </w:rPr>
  </w:style>
  <w:style w:type="paragraph" w:styleId="FootnoteText">
    <w:name w:val="footnote text"/>
    <w:basedOn w:val="Normal"/>
    <w:link w:val="FootnoteTextChar"/>
    <w:uiPriority w:val="99"/>
    <w:semiHidden/>
    <w:unhideWhenUsed/>
    <w:rsid w:val="00A6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909"/>
    <w:rPr>
      <w:sz w:val="20"/>
      <w:szCs w:val="20"/>
    </w:rPr>
  </w:style>
  <w:style w:type="character" w:styleId="FootnoteReference">
    <w:name w:val="footnote reference"/>
    <w:basedOn w:val="DefaultParagraphFont"/>
    <w:uiPriority w:val="99"/>
    <w:semiHidden/>
    <w:unhideWhenUsed/>
    <w:rsid w:val="00A64909"/>
    <w:rPr>
      <w:vertAlign w:val="superscript"/>
    </w:rPr>
  </w:style>
  <w:style w:type="paragraph" w:customStyle="1" w:styleId="Body">
    <w:name w:val="Body"/>
    <w:rsid w:val="004727B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04335E"/>
    <w:rPr>
      <w:sz w:val="16"/>
      <w:szCs w:val="16"/>
    </w:rPr>
  </w:style>
  <w:style w:type="paragraph" w:styleId="CommentText">
    <w:name w:val="annotation text"/>
    <w:basedOn w:val="Normal"/>
    <w:link w:val="CommentTextChar"/>
    <w:uiPriority w:val="99"/>
    <w:semiHidden/>
    <w:unhideWhenUsed/>
    <w:rsid w:val="0004335E"/>
    <w:pPr>
      <w:spacing w:line="240" w:lineRule="auto"/>
    </w:pPr>
    <w:rPr>
      <w:sz w:val="20"/>
      <w:szCs w:val="20"/>
    </w:rPr>
  </w:style>
  <w:style w:type="character" w:customStyle="1" w:styleId="CommentTextChar">
    <w:name w:val="Comment Text Char"/>
    <w:basedOn w:val="DefaultParagraphFont"/>
    <w:link w:val="CommentText"/>
    <w:uiPriority w:val="99"/>
    <w:semiHidden/>
    <w:rsid w:val="0004335E"/>
    <w:rPr>
      <w:sz w:val="20"/>
      <w:szCs w:val="20"/>
    </w:rPr>
  </w:style>
  <w:style w:type="paragraph" w:styleId="CommentSubject">
    <w:name w:val="annotation subject"/>
    <w:basedOn w:val="CommentText"/>
    <w:next w:val="CommentText"/>
    <w:link w:val="CommentSubjectChar"/>
    <w:uiPriority w:val="99"/>
    <w:semiHidden/>
    <w:unhideWhenUsed/>
    <w:rsid w:val="0004335E"/>
    <w:rPr>
      <w:b/>
      <w:bCs/>
    </w:rPr>
  </w:style>
  <w:style w:type="character" w:customStyle="1" w:styleId="CommentSubjectChar">
    <w:name w:val="Comment Subject Char"/>
    <w:basedOn w:val="CommentTextChar"/>
    <w:link w:val="CommentSubject"/>
    <w:uiPriority w:val="99"/>
    <w:semiHidden/>
    <w:rsid w:val="0004335E"/>
    <w:rPr>
      <w:b/>
      <w:bCs/>
      <w:sz w:val="20"/>
      <w:szCs w:val="20"/>
    </w:rPr>
  </w:style>
  <w:style w:type="paragraph" w:styleId="Header">
    <w:name w:val="header"/>
    <w:basedOn w:val="Normal"/>
    <w:link w:val="HeaderChar"/>
    <w:uiPriority w:val="99"/>
    <w:unhideWhenUsed/>
    <w:rsid w:val="0004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5E"/>
  </w:style>
  <w:style w:type="paragraph" w:styleId="Footer">
    <w:name w:val="footer"/>
    <w:basedOn w:val="Normal"/>
    <w:link w:val="FooterChar"/>
    <w:uiPriority w:val="99"/>
    <w:unhideWhenUsed/>
    <w:rsid w:val="0004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5E"/>
  </w:style>
  <w:style w:type="paragraph" w:styleId="Revision">
    <w:name w:val="Revision"/>
    <w:hidden/>
    <w:uiPriority w:val="99"/>
    <w:semiHidden/>
    <w:rsid w:val="003B2954"/>
    <w:pPr>
      <w:spacing w:after="0" w:line="240" w:lineRule="auto"/>
    </w:pPr>
  </w:style>
  <w:style w:type="character" w:styleId="Hyperlink">
    <w:name w:val="Hyperlink"/>
    <w:basedOn w:val="DefaultParagraphFont"/>
    <w:uiPriority w:val="99"/>
    <w:unhideWhenUsed/>
    <w:rsid w:val="00671427"/>
    <w:rPr>
      <w:color w:val="0000FF" w:themeColor="hyperlink"/>
      <w:u w:val="single"/>
    </w:rPr>
  </w:style>
  <w:style w:type="paragraph" w:styleId="ListParagraph">
    <w:name w:val="List Paragraph"/>
    <w:basedOn w:val="Normal"/>
    <w:uiPriority w:val="34"/>
    <w:qFormat/>
    <w:rsid w:val="0072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2632</Words>
  <Characters>13764</Characters>
  <Application>Microsoft Office Word</Application>
  <DocSecurity>0</DocSecurity>
  <Lines>181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2015-10-07T16:25:00Z</dcterms:created>
  <dcterms:modified xsi:type="dcterms:W3CDTF">2015-10-07T16:25:00Z</dcterms:modified>
  <cp:category> </cp:category>
  <cp:contentStatus> </cp:contentStatus>
</cp:coreProperties>
</file>