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4F6E87">
        <w:rPr>
          <w:szCs w:val="22"/>
        </w:rPr>
        <w:t xml:space="preserve">VIRGINIA </w:t>
      </w:r>
      <w:r w:rsidR="00A63957">
        <w:rPr>
          <w:szCs w:val="22"/>
        </w:rPr>
        <w:t>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FD2E93">
        <w:rPr>
          <w:szCs w:val="22"/>
        </w:rPr>
        <w:t>253</w:t>
      </w:r>
      <w:r>
        <w:rPr>
          <w:szCs w:val="22"/>
        </w:rPr>
        <w:tab/>
      </w:r>
      <w:r>
        <w:rPr>
          <w:szCs w:val="22"/>
        </w:rPr>
        <w:tab/>
      </w:r>
      <w:r>
        <w:rPr>
          <w:szCs w:val="22"/>
        </w:rPr>
        <w:tab/>
      </w:r>
      <w:r>
        <w:rPr>
          <w:szCs w:val="22"/>
        </w:rPr>
        <w:tab/>
      </w:r>
      <w:r>
        <w:rPr>
          <w:szCs w:val="22"/>
        </w:rPr>
        <w:tab/>
        <w:t xml:space="preserve">     </w:t>
      </w:r>
      <w:r w:rsidR="00306572">
        <w:rPr>
          <w:szCs w:val="22"/>
        </w:rPr>
        <w:t xml:space="preserve">  </w:t>
      </w:r>
      <w:r w:rsidR="006C26B4">
        <w:rPr>
          <w:szCs w:val="22"/>
        </w:rPr>
        <w:t xml:space="preserve">   </w:t>
      </w:r>
      <w:r w:rsidR="00306572">
        <w:rPr>
          <w:szCs w:val="22"/>
        </w:rPr>
        <w:t xml:space="preserve">October </w:t>
      </w:r>
      <w:r w:rsidR="00B66B46">
        <w:rPr>
          <w:szCs w:val="22"/>
        </w:rPr>
        <w:t>2</w:t>
      </w:r>
      <w:r w:rsidR="006C26B4">
        <w:rPr>
          <w:szCs w:val="22"/>
        </w:rPr>
        <w:t>2</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B66B46">
        <w:rPr>
          <w:szCs w:val="22"/>
        </w:rPr>
        <w:t>50</w:t>
      </w:r>
      <w:r w:rsidR="004F6E87">
        <w:rPr>
          <w:szCs w:val="22"/>
        </w:rPr>
        <w:t>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FD2E93">
        <w:rPr>
          <w:szCs w:val="22"/>
        </w:rPr>
        <w:t>Virginia</w:t>
      </w:r>
      <w:r w:rsidR="00A63957">
        <w:rPr>
          <w:szCs w:val="22"/>
        </w:rPr>
        <w:t xml:space="preserve">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970"/>
        <w:gridCol w:w="3330"/>
      </w:tblGrid>
      <w:tr w:rsidR="002912B5" w:rsidRPr="007E723C" w:rsidTr="006C26B4">
        <w:trPr>
          <w:trHeight w:val="305"/>
        </w:trPr>
        <w:tc>
          <w:tcPr>
            <w:tcW w:w="306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97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6C26B4">
        <w:tc>
          <w:tcPr>
            <w:tcW w:w="306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2970" w:type="dxa"/>
            <w:shd w:val="clear" w:color="auto" w:fill="auto"/>
          </w:tcPr>
          <w:p w:rsidR="00D71A93" w:rsidRPr="007E723C" w:rsidRDefault="00D71A93" w:rsidP="006C26B4">
            <w:r w:rsidRPr="00D71A93">
              <w:t xml:space="preserve">The </w:t>
            </w:r>
            <w:r w:rsidR="006C26B4">
              <w:t xml:space="preserve">Falls Church, VA </w:t>
            </w:r>
            <w:r w:rsidR="00B444BA">
              <w:t>(</w:t>
            </w:r>
            <w:r w:rsidR="006C26B4">
              <w:t>ARTNVAFC</w:t>
            </w:r>
            <w:r w:rsidR="00B444BA">
              <w:t xml:space="preserve">) </w:t>
            </w:r>
            <w:r w:rsidR="00370BD4">
              <w:t>Wire Center</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BD3D65">
              <w:rPr>
                <w:szCs w:val="22"/>
              </w:rPr>
              <w:t xml:space="preserve">January </w:t>
            </w:r>
            <w:r w:rsidR="006C26B4">
              <w:rPr>
                <w:szCs w:val="22"/>
              </w:rPr>
              <w:t>2</w:t>
            </w:r>
            <w:r w:rsidR="00BD3D65">
              <w:rPr>
                <w:szCs w:val="22"/>
              </w:rPr>
              <w:t>2</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E8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2" w:rsidRDefault="00974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2" w:rsidRDefault="00974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12" w:rsidRDefault="00974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75E8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00920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57EB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BF4"/>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6B4"/>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4312"/>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5E88"/>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1D0C"/>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BF3"/>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2E93"/>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917</Words>
  <Characters>5332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6278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2015-10-22T12:54:00Z</dcterms:created>
  <dcterms:modified xsi:type="dcterms:W3CDTF">2015-10-22T12:54:00Z</dcterms:modified>
  <cp:category> </cp:category>
  <cp:contentStatus> </cp:contentStatus>
</cp:coreProperties>
</file>