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61FBA" w14:textId="77777777" w:rsidR="00E92BDD" w:rsidRPr="007E18B5" w:rsidRDefault="00E92BDD" w:rsidP="008A50B8">
      <w:pPr>
        <w:jc w:val="center"/>
        <w:rPr>
          <w:b/>
        </w:rPr>
      </w:pPr>
      <w:bookmarkStart w:id="0" w:name="_GoBack"/>
      <w:bookmarkEnd w:id="0"/>
      <w:r w:rsidRPr="007E18B5">
        <w:rPr>
          <w:b/>
        </w:rPr>
        <w:t>FCC Consumer Advisory Committee</w:t>
      </w:r>
    </w:p>
    <w:p w14:paraId="267BE1BD" w14:textId="77777777" w:rsidR="008A50B8" w:rsidRPr="007E18B5" w:rsidRDefault="008A50B8" w:rsidP="008A50B8">
      <w:pPr>
        <w:jc w:val="center"/>
        <w:rPr>
          <w:b/>
        </w:rPr>
      </w:pPr>
      <w:r w:rsidRPr="007E18B5">
        <w:rPr>
          <w:b/>
        </w:rPr>
        <w:t>Recommendation</w:t>
      </w:r>
    </w:p>
    <w:p w14:paraId="798FC7DA" w14:textId="77777777" w:rsidR="00BD14E9" w:rsidRPr="007E18B5" w:rsidRDefault="00F879E1" w:rsidP="008A50B8">
      <w:pPr>
        <w:jc w:val="center"/>
        <w:rPr>
          <w:b/>
        </w:rPr>
      </w:pPr>
      <w:r w:rsidRPr="007E18B5">
        <w:rPr>
          <w:b/>
        </w:rPr>
        <w:t>Broadband Consumer Disclosure</w:t>
      </w:r>
      <w:r w:rsidR="00BD14E9" w:rsidRPr="007E18B5">
        <w:rPr>
          <w:b/>
        </w:rPr>
        <w:t>s</w:t>
      </w:r>
    </w:p>
    <w:p w14:paraId="1BF2FF3E" w14:textId="77777777" w:rsidR="00BD14E9" w:rsidRPr="007E18B5" w:rsidRDefault="00BD14E9"/>
    <w:p w14:paraId="5436A98A" w14:textId="77777777" w:rsidR="006F5990" w:rsidRPr="007E18B5" w:rsidRDefault="006F5990"/>
    <w:p w14:paraId="5012FFEE" w14:textId="3E7FA0DD" w:rsidR="004C5E8F" w:rsidRPr="007E18B5" w:rsidRDefault="007E18B5">
      <w:pPr>
        <w:rPr>
          <w:b/>
          <w:u w:val="single"/>
        </w:rPr>
      </w:pPr>
      <w:r>
        <w:rPr>
          <w:b/>
          <w:u w:val="single"/>
        </w:rPr>
        <w:t xml:space="preserve">Section I. </w:t>
      </w:r>
      <w:r w:rsidR="007E4855">
        <w:rPr>
          <w:b/>
          <w:u w:val="single"/>
        </w:rPr>
        <w:t>Background</w:t>
      </w:r>
    </w:p>
    <w:p w14:paraId="03F11D6A" w14:textId="511B74DD" w:rsidR="00477554" w:rsidRPr="007E18B5" w:rsidRDefault="00477554" w:rsidP="006F5990">
      <w:pPr>
        <w:pStyle w:val="NormalWeb"/>
        <w:rPr>
          <w:rFonts w:ascii="Times New Roman" w:eastAsia="Times New Roman" w:hAnsi="Times New Roman"/>
          <w:color w:val="000000"/>
          <w:sz w:val="24"/>
          <w:szCs w:val="24"/>
        </w:rPr>
      </w:pPr>
      <w:r w:rsidRPr="007E18B5">
        <w:rPr>
          <w:rFonts w:ascii="Times New Roman" w:eastAsia="Times New Roman" w:hAnsi="Times New Roman"/>
          <w:color w:val="000000"/>
          <w:sz w:val="24"/>
          <w:szCs w:val="24"/>
        </w:rPr>
        <w:t xml:space="preserve">On March </w:t>
      </w:r>
      <w:r w:rsidR="00E513FE">
        <w:rPr>
          <w:rFonts w:ascii="Times New Roman" w:eastAsia="Times New Roman" w:hAnsi="Times New Roman"/>
          <w:color w:val="000000"/>
          <w:sz w:val="24"/>
          <w:szCs w:val="24"/>
        </w:rPr>
        <w:t>12</w:t>
      </w:r>
      <w:r w:rsidRPr="007E18B5">
        <w:rPr>
          <w:rFonts w:ascii="Times New Roman" w:eastAsia="Times New Roman" w:hAnsi="Times New Roman"/>
          <w:color w:val="000000"/>
          <w:sz w:val="24"/>
          <w:szCs w:val="24"/>
        </w:rPr>
        <w:t xml:space="preserve">, 2015, the Commission released an order Protecting and Promoting the Open Internet, Report and Order on Remand, Declaratory Ruling, and Order, 30 FCC Rcd 5601 (2015), as published in the Federal Register 80 FR 19737 (April 13, 2015) (hereinafter the “OIO”). </w:t>
      </w:r>
    </w:p>
    <w:p w14:paraId="540217B7" w14:textId="6A153B49" w:rsidR="006F5990" w:rsidRPr="007E18B5" w:rsidRDefault="006F5990" w:rsidP="006F5990">
      <w:pPr>
        <w:pStyle w:val="NormalWeb"/>
        <w:rPr>
          <w:rFonts w:ascii="Times New Roman" w:hAnsi="Times New Roman"/>
          <w:color w:val="000000"/>
          <w:sz w:val="24"/>
          <w:szCs w:val="24"/>
        </w:rPr>
      </w:pPr>
      <w:r w:rsidRPr="007E18B5">
        <w:rPr>
          <w:rFonts w:ascii="Times New Roman" w:eastAsia="Times New Roman" w:hAnsi="Times New Roman"/>
          <w:color w:val="000000"/>
          <w:sz w:val="24"/>
          <w:szCs w:val="24"/>
        </w:rPr>
        <w:t xml:space="preserve">In the OIO </w:t>
      </w:r>
      <w:r w:rsidR="007B4681">
        <w:rPr>
          <w:rFonts w:ascii="Times New Roman" w:eastAsia="Times New Roman" w:hAnsi="Times New Roman"/>
          <w:color w:val="000000"/>
          <w:sz w:val="24"/>
          <w:szCs w:val="24"/>
        </w:rPr>
        <w:t>Paragraph</w:t>
      </w:r>
      <w:r w:rsidR="00477554" w:rsidRPr="007E18B5">
        <w:rPr>
          <w:rFonts w:ascii="Times New Roman" w:eastAsia="Times New Roman" w:hAnsi="Times New Roman"/>
          <w:color w:val="000000"/>
          <w:sz w:val="24"/>
          <w:szCs w:val="24"/>
        </w:rPr>
        <w:t xml:space="preserve"> </w:t>
      </w:r>
      <w:r w:rsidR="00B96CC9" w:rsidRPr="007E18B5">
        <w:rPr>
          <w:rFonts w:ascii="Times New Roman" w:eastAsia="Times New Roman" w:hAnsi="Times New Roman"/>
          <w:color w:val="000000"/>
          <w:sz w:val="24"/>
          <w:szCs w:val="24"/>
        </w:rPr>
        <w:t>#</w:t>
      </w:r>
      <w:r w:rsidRPr="007E18B5">
        <w:rPr>
          <w:rFonts w:ascii="Times New Roman" w:eastAsia="Times New Roman" w:hAnsi="Times New Roman"/>
          <w:color w:val="000000"/>
          <w:sz w:val="24"/>
          <w:szCs w:val="24"/>
        </w:rPr>
        <w:t>156, the FCC</w:t>
      </w:r>
      <w:r w:rsidR="00F879E1" w:rsidRPr="007E18B5">
        <w:rPr>
          <w:rFonts w:ascii="Times New Roman" w:eastAsia="Times New Roman" w:hAnsi="Times New Roman"/>
          <w:color w:val="000000"/>
          <w:sz w:val="24"/>
          <w:szCs w:val="24"/>
        </w:rPr>
        <w:t>,</w:t>
      </w:r>
      <w:r w:rsidRPr="007E18B5">
        <w:rPr>
          <w:rFonts w:ascii="Times New Roman" w:eastAsia="Times New Roman" w:hAnsi="Times New Roman"/>
          <w:color w:val="000000"/>
          <w:sz w:val="24"/>
          <w:szCs w:val="24"/>
        </w:rPr>
        <w:t xml:space="preserve"> in order to enhance the existing transparency rule</w:t>
      </w:r>
      <w:r w:rsidR="00130E63">
        <w:rPr>
          <w:rFonts w:ascii="Times New Roman" w:eastAsia="Times New Roman" w:hAnsi="Times New Roman"/>
          <w:color w:val="000000"/>
          <w:sz w:val="24"/>
          <w:szCs w:val="24"/>
        </w:rPr>
        <w:t>s</w:t>
      </w:r>
      <w:r w:rsidRPr="007E18B5">
        <w:rPr>
          <w:rFonts w:ascii="Times New Roman" w:eastAsia="Times New Roman" w:hAnsi="Times New Roman"/>
          <w:color w:val="000000"/>
          <w:sz w:val="24"/>
          <w:szCs w:val="24"/>
        </w:rPr>
        <w:t>, a</w:t>
      </w:r>
      <w:r w:rsidR="00F879E1" w:rsidRPr="007E18B5">
        <w:rPr>
          <w:rFonts w:ascii="Times New Roman" w:eastAsia="Times New Roman" w:hAnsi="Times New Roman"/>
          <w:color w:val="000000"/>
          <w:sz w:val="24"/>
          <w:szCs w:val="24"/>
        </w:rPr>
        <w:t xml:space="preserve">dopted a voluntary safe harbor </w:t>
      </w:r>
      <w:r w:rsidRPr="007E18B5">
        <w:rPr>
          <w:rFonts w:ascii="Times New Roman" w:eastAsia="Times New Roman" w:hAnsi="Times New Roman"/>
          <w:color w:val="000000"/>
          <w:sz w:val="24"/>
          <w:szCs w:val="24"/>
        </w:rPr>
        <w:t xml:space="preserve">for a </w:t>
      </w:r>
      <w:r w:rsidRPr="007E18B5">
        <w:rPr>
          <w:rFonts w:ascii="Times New Roman" w:hAnsi="Times New Roman"/>
          <w:color w:val="000000"/>
          <w:sz w:val="24"/>
          <w:szCs w:val="24"/>
        </w:rPr>
        <w:t xml:space="preserve">standalone disclosure format that broadband providers may use in meeting the existing requirement to disclose information that meets the needs of end users. </w:t>
      </w:r>
    </w:p>
    <w:p w14:paraId="6F54A7C3" w14:textId="20D4D47C" w:rsidR="006F5990" w:rsidRPr="007E18B5" w:rsidRDefault="006F5990" w:rsidP="006F5990">
      <w:pPr>
        <w:pStyle w:val="NormalWeb"/>
        <w:rPr>
          <w:rFonts w:ascii="Times New Roman" w:hAnsi="Times New Roman"/>
          <w:color w:val="000000"/>
          <w:sz w:val="24"/>
          <w:szCs w:val="24"/>
        </w:rPr>
      </w:pPr>
      <w:r w:rsidRPr="007E18B5">
        <w:rPr>
          <w:rFonts w:ascii="Times New Roman" w:hAnsi="Times New Roman"/>
          <w:color w:val="000000"/>
          <w:sz w:val="24"/>
          <w:szCs w:val="24"/>
        </w:rPr>
        <w:t xml:space="preserve">In </w:t>
      </w:r>
      <w:r w:rsidR="00477554" w:rsidRPr="007E18B5">
        <w:rPr>
          <w:rFonts w:ascii="Times New Roman" w:hAnsi="Times New Roman"/>
          <w:color w:val="000000"/>
          <w:sz w:val="24"/>
          <w:szCs w:val="24"/>
        </w:rPr>
        <w:t>Para</w:t>
      </w:r>
      <w:r w:rsidR="007B4681">
        <w:rPr>
          <w:rFonts w:ascii="Times New Roman" w:hAnsi="Times New Roman"/>
          <w:color w:val="000000"/>
          <w:sz w:val="24"/>
          <w:szCs w:val="24"/>
        </w:rPr>
        <w:t>graph</w:t>
      </w:r>
      <w:r w:rsidR="00477554" w:rsidRPr="007E18B5">
        <w:rPr>
          <w:rFonts w:ascii="Times New Roman" w:hAnsi="Times New Roman"/>
          <w:color w:val="000000"/>
          <w:sz w:val="24"/>
          <w:szCs w:val="24"/>
        </w:rPr>
        <w:t xml:space="preserve"> </w:t>
      </w:r>
      <w:r w:rsidRPr="007E18B5">
        <w:rPr>
          <w:rFonts w:ascii="Times New Roman" w:hAnsi="Times New Roman"/>
          <w:color w:val="000000"/>
          <w:sz w:val="24"/>
          <w:szCs w:val="24"/>
        </w:rPr>
        <w:t>#</w:t>
      </w:r>
      <w:r w:rsidR="004C5E8F" w:rsidRPr="007E18B5">
        <w:rPr>
          <w:rFonts w:ascii="Times New Roman" w:hAnsi="Times New Roman"/>
          <w:color w:val="000000"/>
          <w:sz w:val="24"/>
          <w:szCs w:val="24"/>
        </w:rPr>
        <w:t>179, the OIO states it is establishing a voluntary safe harbor for the format and nature of the required disclosure to consumers.</w:t>
      </w:r>
    </w:p>
    <w:p w14:paraId="1DB4CD57" w14:textId="77777777" w:rsidR="004C5E8F" w:rsidRPr="007E18B5" w:rsidRDefault="004C5E8F" w:rsidP="004C5E8F">
      <w:pPr>
        <w:pStyle w:val="NormalWeb"/>
        <w:rPr>
          <w:rFonts w:ascii="Times New Roman" w:hAnsi="Times New Roman"/>
          <w:color w:val="000000"/>
          <w:sz w:val="24"/>
          <w:szCs w:val="24"/>
        </w:rPr>
      </w:pPr>
      <w:r w:rsidRPr="007E18B5">
        <w:rPr>
          <w:rFonts w:ascii="Times New Roman" w:hAnsi="Times New Roman"/>
          <w:color w:val="000000"/>
          <w:sz w:val="24"/>
          <w:szCs w:val="24"/>
        </w:rPr>
        <w:t xml:space="preserve">To take advantage of the safe harbor, a broadband provider must provide a consumer-focused, standalone disclosure. </w:t>
      </w:r>
    </w:p>
    <w:p w14:paraId="3C3652DB" w14:textId="1221943F" w:rsidR="00F879E1" w:rsidRPr="007E18B5" w:rsidRDefault="004C5E8F" w:rsidP="004C5E8F">
      <w:pPr>
        <w:pStyle w:val="NormalWeb"/>
        <w:rPr>
          <w:rFonts w:ascii="Times New Roman" w:hAnsi="Times New Roman"/>
          <w:color w:val="000000"/>
          <w:sz w:val="24"/>
          <w:szCs w:val="24"/>
        </w:rPr>
      </w:pPr>
      <w:r w:rsidRPr="007E18B5">
        <w:rPr>
          <w:rFonts w:ascii="Times New Roman" w:hAnsi="Times New Roman"/>
          <w:color w:val="000000"/>
          <w:sz w:val="24"/>
          <w:szCs w:val="24"/>
        </w:rPr>
        <w:t>The OIO did not mandate the exact format for the disclosures</w:t>
      </w:r>
      <w:r w:rsidR="00B96CC9" w:rsidRPr="007E18B5">
        <w:rPr>
          <w:rFonts w:ascii="Times New Roman" w:hAnsi="Times New Roman"/>
          <w:color w:val="000000"/>
          <w:sz w:val="24"/>
          <w:szCs w:val="24"/>
        </w:rPr>
        <w:t xml:space="preserve">, </w:t>
      </w:r>
      <w:r w:rsidRPr="007E18B5">
        <w:rPr>
          <w:rFonts w:ascii="Times New Roman" w:hAnsi="Times New Roman"/>
          <w:color w:val="000000"/>
          <w:sz w:val="24"/>
          <w:szCs w:val="24"/>
        </w:rPr>
        <w:t xml:space="preserve">but rather sought the advice of </w:t>
      </w:r>
      <w:r w:rsidR="00AA1F9C">
        <w:rPr>
          <w:rFonts w:ascii="Times New Roman" w:hAnsi="Times New Roman"/>
          <w:color w:val="000000"/>
          <w:sz w:val="24"/>
          <w:szCs w:val="24"/>
        </w:rPr>
        <w:t xml:space="preserve">the Commission’s </w:t>
      </w:r>
      <w:r w:rsidR="00F879E1" w:rsidRPr="007E18B5">
        <w:rPr>
          <w:rFonts w:ascii="Times New Roman" w:hAnsi="Times New Roman"/>
          <w:color w:val="000000"/>
          <w:sz w:val="24"/>
          <w:szCs w:val="24"/>
        </w:rPr>
        <w:t>Consumer</w:t>
      </w:r>
      <w:r w:rsidRPr="007E18B5">
        <w:rPr>
          <w:rFonts w:ascii="Times New Roman" w:hAnsi="Times New Roman"/>
          <w:color w:val="000000"/>
          <w:sz w:val="24"/>
          <w:szCs w:val="24"/>
        </w:rPr>
        <w:t xml:space="preserve"> Advisory Committee</w:t>
      </w:r>
      <w:r w:rsidR="00F879E1" w:rsidRPr="007E18B5">
        <w:rPr>
          <w:rFonts w:ascii="Times New Roman" w:hAnsi="Times New Roman"/>
          <w:color w:val="000000"/>
          <w:sz w:val="24"/>
          <w:szCs w:val="24"/>
        </w:rPr>
        <w:t xml:space="preserve"> (CAC)</w:t>
      </w:r>
      <w:r w:rsidRPr="007E18B5">
        <w:rPr>
          <w:rFonts w:ascii="Times New Roman" w:hAnsi="Times New Roman"/>
          <w:color w:val="000000"/>
          <w:sz w:val="24"/>
          <w:szCs w:val="24"/>
        </w:rPr>
        <w:t xml:space="preserve"> composed of both industry and consumer interests, including those represen</w:t>
      </w:r>
      <w:r w:rsidR="00F879E1" w:rsidRPr="007E18B5">
        <w:rPr>
          <w:rFonts w:ascii="Times New Roman" w:hAnsi="Times New Roman"/>
          <w:color w:val="000000"/>
          <w:sz w:val="24"/>
          <w:szCs w:val="24"/>
        </w:rPr>
        <w:t xml:space="preserve">ting people with disabilities. </w:t>
      </w:r>
    </w:p>
    <w:p w14:paraId="0B1563A5" w14:textId="59C62340" w:rsidR="004C5E8F" w:rsidRPr="007E18B5" w:rsidRDefault="00F879E1" w:rsidP="004C5E8F">
      <w:pPr>
        <w:pStyle w:val="NormalWeb"/>
        <w:rPr>
          <w:rFonts w:ascii="Times New Roman" w:hAnsi="Times New Roman"/>
          <w:i/>
          <w:color w:val="000000"/>
          <w:sz w:val="24"/>
          <w:szCs w:val="24"/>
        </w:rPr>
      </w:pPr>
      <w:r w:rsidRPr="007E18B5">
        <w:rPr>
          <w:rFonts w:ascii="Times New Roman" w:hAnsi="Times New Roman"/>
          <w:color w:val="000000"/>
          <w:sz w:val="24"/>
          <w:szCs w:val="24"/>
        </w:rPr>
        <w:t>“</w:t>
      </w:r>
      <w:r w:rsidR="004C5E8F" w:rsidRPr="007E18B5">
        <w:rPr>
          <w:rFonts w:ascii="Times New Roman" w:hAnsi="Times New Roman"/>
          <w:i/>
          <w:color w:val="000000"/>
          <w:sz w:val="24"/>
          <w:szCs w:val="24"/>
        </w:rPr>
        <w:t xml:space="preserve">We </w:t>
      </w:r>
      <w:r w:rsidR="00AA1F9C">
        <w:rPr>
          <w:rFonts w:ascii="Times New Roman" w:hAnsi="Times New Roman"/>
          <w:i/>
          <w:color w:val="000000"/>
          <w:sz w:val="24"/>
          <w:szCs w:val="24"/>
        </w:rPr>
        <w:t xml:space="preserve">{the Commission} </w:t>
      </w:r>
      <w:r w:rsidR="004C5E8F" w:rsidRPr="007E18B5">
        <w:rPr>
          <w:rFonts w:ascii="Times New Roman" w:hAnsi="Times New Roman"/>
          <w:i/>
          <w:color w:val="000000"/>
          <w:sz w:val="24"/>
          <w:szCs w:val="24"/>
        </w:rPr>
        <w:t>find</w:t>
      </w:r>
      <w:r w:rsidR="00AA1F9C">
        <w:rPr>
          <w:rFonts w:ascii="Times New Roman" w:hAnsi="Times New Roman"/>
          <w:i/>
          <w:color w:val="000000"/>
          <w:sz w:val="24"/>
          <w:szCs w:val="24"/>
        </w:rPr>
        <w:t>(s)</w:t>
      </w:r>
      <w:r w:rsidR="004C5E8F" w:rsidRPr="007E18B5">
        <w:rPr>
          <w:rFonts w:ascii="Times New Roman" w:hAnsi="Times New Roman"/>
          <w:i/>
          <w:color w:val="000000"/>
          <w:sz w:val="24"/>
          <w:szCs w:val="24"/>
        </w:rPr>
        <w:t xml:space="preserve"> that the Committee’s experience with consumer disclosure issues makes it an ideal body to recommend a disclosure format that should be clear and easy to read—similar to a nutrition label—to allow consumers to easily compare the services of different providers.</w:t>
      </w:r>
      <w:r w:rsidR="004C5E8F" w:rsidRPr="007E18B5">
        <w:rPr>
          <w:rFonts w:ascii="Times New Roman" w:hAnsi="Times New Roman"/>
          <w:color w:val="000000"/>
          <w:sz w:val="24"/>
          <w:szCs w:val="24"/>
        </w:rPr>
        <w:t xml:space="preserve"> </w:t>
      </w:r>
      <w:r w:rsidR="004C5E8F" w:rsidRPr="007E18B5">
        <w:rPr>
          <w:rFonts w:ascii="Times New Roman" w:hAnsi="Times New Roman"/>
          <w:i/>
          <w:color w:val="000000"/>
          <w:sz w:val="24"/>
          <w:szCs w:val="24"/>
        </w:rPr>
        <w:t>We believe the CAC is uniquely able to recommend a disclosure format that both anticipates and addresses provider compliance burdens while ensuring the utility of the disclosures for consumers.</w:t>
      </w:r>
      <w:r w:rsidR="00B96CC9" w:rsidRPr="007E18B5">
        <w:rPr>
          <w:rFonts w:ascii="Times New Roman" w:hAnsi="Times New Roman"/>
          <w:i/>
          <w:color w:val="000000"/>
          <w:sz w:val="24"/>
          <w:szCs w:val="24"/>
        </w:rPr>
        <w:t>”</w:t>
      </w:r>
    </w:p>
    <w:p w14:paraId="4E9C5A60" w14:textId="4B904965" w:rsidR="00F879E1" w:rsidRPr="007E18B5" w:rsidRDefault="004C5E8F" w:rsidP="004C5E8F">
      <w:pPr>
        <w:pStyle w:val="NormalWeb"/>
        <w:rPr>
          <w:rFonts w:ascii="Times New Roman" w:hAnsi="Times New Roman"/>
          <w:color w:val="000000"/>
          <w:sz w:val="24"/>
          <w:szCs w:val="24"/>
        </w:rPr>
      </w:pPr>
      <w:r w:rsidRPr="007E18B5">
        <w:rPr>
          <w:rFonts w:ascii="Times New Roman" w:hAnsi="Times New Roman"/>
          <w:color w:val="000000"/>
          <w:sz w:val="24"/>
          <w:szCs w:val="24"/>
        </w:rPr>
        <w:t xml:space="preserve">In </w:t>
      </w:r>
      <w:r w:rsidR="00B96CC9" w:rsidRPr="007E18B5">
        <w:rPr>
          <w:rFonts w:ascii="Times New Roman" w:hAnsi="Times New Roman"/>
          <w:color w:val="000000"/>
          <w:sz w:val="24"/>
          <w:szCs w:val="24"/>
        </w:rPr>
        <w:t>Para</w:t>
      </w:r>
      <w:r w:rsidR="007B4681">
        <w:rPr>
          <w:rFonts w:ascii="Times New Roman" w:hAnsi="Times New Roman"/>
          <w:color w:val="000000"/>
          <w:sz w:val="24"/>
          <w:szCs w:val="24"/>
        </w:rPr>
        <w:t>graph</w:t>
      </w:r>
      <w:r w:rsidR="00B96CC9" w:rsidRPr="007E18B5">
        <w:rPr>
          <w:rFonts w:ascii="Times New Roman" w:hAnsi="Times New Roman"/>
          <w:color w:val="000000"/>
          <w:sz w:val="24"/>
          <w:szCs w:val="24"/>
        </w:rPr>
        <w:t xml:space="preserve"> </w:t>
      </w:r>
      <w:r w:rsidRPr="007E18B5">
        <w:rPr>
          <w:rFonts w:ascii="Times New Roman" w:hAnsi="Times New Roman"/>
          <w:color w:val="000000"/>
          <w:sz w:val="24"/>
          <w:szCs w:val="24"/>
        </w:rPr>
        <w:t xml:space="preserve">#180 of the OIO, the FCC directed the CAC to formulate and submit to the Commission a proposed </w:t>
      </w:r>
      <w:r w:rsidR="00336233">
        <w:rPr>
          <w:rFonts w:ascii="Times New Roman" w:hAnsi="Times New Roman"/>
          <w:color w:val="000000"/>
          <w:sz w:val="24"/>
          <w:szCs w:val="24"/>
        </w:rPr>
        <w:t xml:space="preserve">consumer facing </w:t>
      </w:r>
      <w:r w:rsidRPr="007E18B5">
        <w:rPr>
          <w:rFonts w:ascii="Times New Roman" w:hAnsi="Times New Roman"/>
          <w:color w:val="000000"/>
          <w:sz w:val="24"/>
          <w:szCs w:val="24"/>
        </w:rPr>
        <w:t xml:space="preserve">disclosure format, based on input from a broad range of stakeholders, within six months of the time that its new membership is reconstituted, but, in any event, no later than October 31, 2015. The disclosure format must be accessible to persons with disabilities and finally, the CAC was to consider whether to propose the same or different formats for fixed and mobile broadband providers. </w:t>
      </w:r>
    </w:p>
    <w:p w14:paraId="5F43FFDF" w14:textId="6D08B179" w:rsidR="00E81F4B" w:rsidRPr="007E18B5" w:rsidRDefault="007E18B5" w:rsidP="004C5E8F">
      <w:pPr>
        <w:pStyle w:val="NormalWeb"/>
        <w:rPr>
          <w:rFonts w:ascii="Times New Roman" w:hAnsi="Times New Roman"/>
          <w:b/>
          <w:sz w:val="24"/>
          <w:szCs w:val="24"/>
          <w:u w:val="single"/>
        </w:rPr>
      </w:pPr>
      <w:r>
        <w:rPr>
          <w:rFonts w:ascii="Times New Roman" w:hAnsi="Times New Roman"/>
          <w:b/>
          <w:sz w:val="24"/>
          <w:szCs w:val="24"/>
          <w:u w:val="single"/>
        </w:rPr>
        <w:t xml:space="preserve">Section II. </w:t>
      </w:r>
      <w:r w:rsidR="007F340C">
        <w:rPr>
          <w:rFonts w:ascii="Times New Roman" w:hAnsi="Times New Roman"/>
          <w:b/>
          <w:sz w:val="24"/>
          <w:szCs w:val="24"/>
          <w:u w:val="single"/>
        </w:rPr>
        <w:t>CAC</w:t>
      </w:r>
      <w:r w:rsidR="00075E5F" w:rsidRPr="007E18B5">
        <w:rPr>
          <w:rFonts w:ascii="Times New Roman" w:hAnsi="Times New Roman"/>
          <w:b/>
          <w:sz w:val="24"/>
          <w:szCs w:val="24"/>
          <w:u w:val="single"/>
        </w:rPr>
        <w:t xml:space="preserve"> Es</w:t>
      </w:r>
      <w:r w:rsidR="007E4855">
        <w:rPr>
          <w:rFonts w:ascii="Times New Roman" w:hAnsi="Times New Roman"/>
          <w:b/>
          <w:sz w:val="24"/>
          <w:szCs w:val="24"/>
          <w:u w:val="single"/>
        </w:rPr>
        <w:t>tablished</w:t>
      </w:r>
    </w:p>
    <w:p w14:paraId="4EBBF689" w14:textId="7DD3FD4D" w:rsidR="00E81F4B" w:rsidRPr="007E18B5" w:rsidRDefault="002E4927" w:rsidP="004C5E8F">
      <w:pPr>
        <w:pStyle w:val="NormalWeb"/>
        <w:rPr>
          <w:rFonts w:ascii="Times New Roman" w:hAnsi="Times New Roman"/>
          <w:sz w:val="24"/>
          <w:szCs w:val="24"/>
        </w:rPr>
      </w:pPr>
      <w:r w:rsidRPr="007E18B5">
        <w:rPr>
          <w:rFonts w:ascii="Times New Roman" w:hAnsi="Times New Roman"/>
          <w:sz w:val="24"/>
          <w:szCs w:val="24"/>
        </w:rPr>
        <w:t xml:space="preserve">Immediately following the appointment of the new members to the CAC, a </w:t>
      </w:r>
      <w:r w:rsidR="007F340C">
        <w:rPr>
          <w:rFonts w:ascii="Times New Roman" w:hAnsi="Times New Roman"/>
          <w:sz w:val="24"/>
          <w:szCs w:val="24"/>
        </w:rPr>
        <w:t>Task Force</w:t>
      </w:r>
      <w:r w:rsidRPr="007E18B5">
        <w:rPr>
          <w:rFonts w:ascii="Times New Roman" w:hAnsi="Times New Roman"/>
          <w:sz w:val="24"/>
          <w:szCs w:val="24"/>
        </w:rPr>
        <w:t xml:space="preserve"> was established to work on the </w:t>
      </w:r>
      <w:r w:rsidR="00F879E1" w:rsidRPr="007E18B5">
        <w:rPr>
          <w:rFonts w:ascii="Times New Roman" w:hAnsi="Times New Roman"/>
          <w:sz w:val="24"/>
          <w:szCs w:val="24"/>
        </w:rPr>
        <w:t>Broadband Consumer D</w:t>
      </w:r>
      <w:r w:rsidRPr="007E18B5">
        <w:rPr>
          <w:rFonts w:ascii="Times New Roman" w:hAnsi="Times New Roman"/>
          <w:sz w:val="24"/>
          <w:szCs w:val="24"/>
        </w:rPr>
        <w:t>isclosure</w:t>
      </w:r>
      <w:r w:rsidR="00F879E1" w:rsidRPr="007E18B5">
        <w:rPr>
          <w:rFonts w:ascii="Times New Roman" w:hAnsi="Times New Roman"/>
          <w:sz w:val="24"/>
          <w:szCs w:val="24"/>
        </w:rPr>
        <w:t xml:space="preserve"> (BCD)</w:t>
      </w:r>
      <w:r w:rsidRPr="007E18B5">
        <w:rPr>
          <w:rFonts w:ascii="Times New Roman" w:hAnsi="Times New Roman"/>
          <w:sz w:val="24"/>
          <w:szCs w:val="24"/>
        </w:rPr>
        <w:t xml:space="preserve"> formats.  The </w:t>
      </w:r>
      <w:r w:rsidRPr="007E18B5">
        <w:rPr>
          <w:rFonts w:ascii="Times New Roman" w:hAnsi="Times New Roman"/>
          <w:sz w:val="24"/>
          <w:szCs w:val="24"/>
        </w:rPr>
        <w:lastRenderedPageBreak/>
        <w:t xml:space="preserve">CAC Chair appointed ten members to the Disclosure </w:t>
      </w:r>
      <w:r w:rsidR="007F340C">
        <w:rPr>
          <w:rFonts w:ascii="Times New Roman" w:hAnsi="Times New Roman"/>
          <w:sz w:val="24"/>
          <w:szCs w:val="24"/>
        </w:rPr>
        <w:t>Task Force</w:t>
      </w:r>
      <w:r w:rsidR="00E81F4B" w:rsidRPr="007E18B5">
        <w:rPr>
          <w:rFonts w:ascii="Times New Roman" w:hAnsi="Times New Roman"/>
          <w:sz w:val="24"/>
          <w:szCs w:val="24"/>
        </w:rPr>
        <w:t xml:space="preserve"> from within the CAC Membership</w:t>
      </w:r>
      <w:r w:rsidRPr="007E18B5">
        <w:rPr>
          <w:rFonts w:ascii="Times New Roman" w:hAnsi="Times New Roman"/>
          <w:sz w:val="24"/>
          <w:szCs w:val="24"/>
        </w:rPr>
        <w:t>, representing a broad range of stakeholders (fixed and wireless providers, cabl</w:t>
      </w:r>
      <w:r w:rsidR="007B4681">
        <w:rPr>
          <w:rFonts w:ascii="Times New Roman" w:hAnsi="Times New Roman"/>
          <w:sz w:val="24"/>
          <w:szCs w:val="24"/>
        </w:rPr>
        <w:t>e providers, consumer group representatives</w:t>
      </w:r>
      <w:r w:rsidRPr="007E18B5">
        <w:rPr>
          <w:rFonts w:ascii="Times New Roman" w:hAnsi="Times New Roman"/>
          <w:sz w:val="24"/>
          <w:szCs w:val="24"/>
        </w:rPr>
        <w:t xml:space="preserve">, and </w:t>
      </w:r>
      <w:r w:rsidR="00F879E1" w:rsidRPr="007E18B5">
        <w:rPr>
          <w:rFonts w:ascii="Times New Roman" w:hAnsi="Times New Roman"/>
          <w:sz w:val="24"/>
          <w:szCs w:val="24"/>
        </w:rPr>
        <w:t xml:space="preserve">a </w:t>
      </w:r>
      <w:r w:rsidRPr="007E18B5">
        <w:rPr>
          <w:rFonts w:ascii="Times New Roman" w:hAnsi="Times New Roman"/>
          <w:sz w:val="24"/>
          <w:szCs w:val="24"/>
        </w:rPr>
        <w:t>disability group rep</w:t>
      </w:r>
      <w:r w:rsidR="007B4681">
        <w:rPr>
          <w:rFonts w:ascii="Times New Roman" w:hAnsi="Times New Roman"/>
          <w:sz w:val="24"/>
          <w:szCs w:val="24"/>
        </w:rPr>
        <w:t>resentative</w:t>
      </w:r>
      <w:r w:rsidRPr="007E18B5">
        <w:rPr>
          <w:rFonts w:ascii="Times New Roman" w:hAnsi="Times New Roman"/>
          <w:sz w:val="24"/>
          <w:szCs w:val="24"/>
        </w:rPr>
        <w:t>.).</w:t>
      </w:r>
    </w:p>
    <w:p w14:paraId="1BEDCE86" w14:textId="3CE4CE9A" w:rsidR="008A50B8" w:rsidRPr="007E18B5" w:rsidRDefault="002E4927" w:rsidP="004C5E8F">
      <w:pPr>
        <w:pStyle w:val="NormalWeb"/>
        <w:rPr>
          <w:rFonts w:ascii="Times New Roman" w:hAnsi="Times New Roman"/>
          <w:sz w:val="24"/>
          <w:szCs w:val="24"/>
        </w:rPr>
      </w:pPr>
      <w:r w:rsidRPr="007E18B5">
        <w:rPr>
          <w:rFonts w:ascii="Times New Roman" w:hAnsi="Times New Roman"/>
          <w:sz w:val="24"/>
          <w:szCs w:val="24"/>
        </w:rPr>
        <w:t xml:space="preserve">The </w:t>
      </w:r>
      <w:r w:rsidR="007F340C">
        <w:rPr>
          <w:rFonts w:ascii="Times New Roman" w:hAnsi="Times New Roman"/>
          <w:sz w:val="24"/>
          <w:szCs w:val="24"/>
        </w:rPr>
        <w:t>Task Force</w:t>
      </w:r>
      <w:r w:rsidRPr="007E18B5">
        <w:rPr>
          <w:rFonts w:ascii="Times New Roman" w:hAnsi="Times New Roman"/>
          <w:sz w:val="24"/>
          <w:szCs w:val="24"/>
        </w:rPr>
        <w:t xml:space="preserve"> initiated meetings in May, and met at least once a week or more for 90 minutes per </w:t>
      </w:r>
      <w:r w:rsidR="00A65F20" w:rsidRPr="007E18B5">
        <w:rPr>
          <w:rFonts w:ascii="Times New Roman" w:hAnsi="Times New Roman"/>
          <w:sz w:val="24"/>
          <w:szCs w:val="24"/>
        </w:rPr>
        <w:t>meeting, for a total of about 22</w:t>
      </w:r>
      <w:r w:rsidRPr="007E18B5">
        <w:rPr>
          <w:rFonts w:ascii="Times New Roman" w:hAnsi="Times New Roman"/>
          <w:sz w:val="24"/>
          <w:szCs w:val="24"/>
        </w:rPr>
        <w:t xml:space="preserve"> meetings.</w:t>
      </w:r>
      <w:r w:rsidR="00E81F4B" w:rsidRPr="007E18B5">
        <w:rPr>
          <w:rFonts w:ascii="Times New Roman" w:hAnsi="Times New Roman"/>
          <w:sz w:val="24"/>
          <w:szCs w:val="24"/>
        </w:rPr>
        <w:t xml:space="preserve">  All meetings were open to any member of the CAC and a call-in line was provided for every meeting with advance notice to allow for maximum participation.  FCC staff members also were welcome to attend </w:t>
      </w:r>
      <w:r w:rsidR="007F340C">
        <w:rPr>
          <w:rFonts w:ascii="Times New Roman" w:hAnsi="Times New Roman"/>
          <w:sz w:val="24"/>
          <w:szCs w:val="24"/>
        </w:rPr>
        <w:t xml:space="preserve">Task Force </w:t>
      </w:r>
      <w:r w:rsidR="00E81F4B" w:rsidRPr="007E18B5">
        <w:rPr>
          <w:rFonts w:ascii="Times New Roman" w:hAnsi="Times New Roman"/>
          <w:sz w:val="24"/>
          <w:szCs w:val="24"/>
        </w:rPr>
        <w:t>meetings, and served as valuable resources at various points during the discussions</w:t>
      </w:r>
      <w:r w:rsidR="008A50B8" w:rsidRPr="007E18B5">
        <w:rPr>
          <w:rFonts w:ascii="Times New Roman" w:hAnsi="Times New Roman"/>
          <w:sz w:val="24"/>
          <w:szCs w:val="24"/>
        </w:rPr>
        <w:t xml:space="preserve"> on technical matters related to the OIO</w:t>
      </w:r>
      <w:r w:rsidR="00E81F4B" w:rsidRPr="007E18B5">
        <w:rPr>
          <w:rFonts w:ascii="Times New Roman" w:hAnsi="Times New Roman"/>
          <w:sz w:val="24"/>
          <w:szCs w:val="24"/>
        </w:rPr>
        <w:t xml:space="preserve">. </w:t>
      </w:r>
    </w:p>
    <w:p w14:paraId="0D189B9C" w14:textId="70EACC86" w:rsidR="003C3493" w:rsidRPr="007E18B5" w:rsidRDefault="00E81F4B" w:rsidP="00075E5F">
      <w:pPr>
        <w:pStyle w:val="NormalWeb"/>
        <w:rPr>
          <w:rFonts w:ascii="Times New Roman" w:hAnsi="Times New Roman"/>
          <w:sz w:val="24"/>
          <w:szCs w:val="24"/>
        </w:rPr>
      </w:pPr>
      <w:r w:rsidRPr="007E18B5">
        <w:rPr>
          <w:rFonts w:ascii="Times New Roman" w:hAnsi="Times New Roman"/>
          <w:sz w:val="24"/>
          <w:szCs w:val="24"/>
        </w:rPr>
        <w:t xml:space="preserve">The </w:t>
      </w:r>
      <w:r w:rsidR="007F340C">
        <w:rPr>
          <w:rFonts w:ascii="Times New Roman" w:hAnsi="Times New Roman"/>
          <w:sz w:val="24"/>
          <w:szCs w:val="24"/>
        </w:rPr>
        <w:t>Task Force</w:t>
      </w:r>
      <w:r w:rsidRPr="007E18B5">
        <w:rPr>
          <w:rFonts w:ascii="Times New Roman" w:hAnsi="Times New Roman"/>
          <w:sz w:val="24"/>
          <w:szCs w:val="24"/>
        </w:rPr>
        <w:t xml:space="preserve"> received an early briefing </w:t>
      </w:r>
      <w:r w:rsidR="00F879E1" w:rsidRPr="007E18B5">
        <w:rPr>
          <w:rFonts w:ascii="Times New Roman" w:hAnsi="Times New Roman"/>
          <w:sz w:val="24"/>
          <w:szCs w:val="24"/>
        </w:rPr>
        <w:t xml:space="preserve">and PowerPoint </w:t>
      </w:r>
      <w:r w:rsidRPr="007E18B5">
        <w:rPr>
          <w:rFonts w:ascii="Times New Roman" w:hAnsi="Times New Roman"/>
          <w:sz w:val="24"/>
          <w:szCs w:val="24"/>
        </w:rPr>
        <w:t xml:space="preserve">on the details of the OIO and the </w:t>
      </w:r>
      <w:r w:rsidR="00F879E1" w:rsidRPr="007E18B5">
        <w:rPr>
          <w:rFonts w:ascii="Times New Roman" w:hAnsi="Times New Roman"/>
          <w:sz w:val="24"/>
          <w:szCs w:val="24"/>
        </w:rPr>
        <w:t>BCD f</w:t>
      </w:r>
      <w:r w:rsidRPr="007E18B5">
        <w:rPr>
          <w:rFonts w:ascii="Times New Roman" w:hAnsi="Times New Roman"/>
          <w:sz w:val="24"/>
          <w:szCs w:val="24"/>
        </w:rPr>
        <w:t xml:space="preserve">ormat requirements. </w:t>
      </w:r>
    </w:p>
    <w:p w14:paraId="04167A9B" w14:textId="77777777" w:rsidR="00EB3003" w:rsidRPr="007E18B5" w:rsidRDefault="007E18B5" w:rsidP="004C5E8F">
      <w:pPr>
        <w:pStyle w:val="NormalWeb"/>
        <w:rPr>
          <w:rFonts w:ascii="Times New Roman" w:hAnsi="Times New Roman"/>
          <w:sz w:val="24"/>
          <w:szCs w:val="24"/>
          <w:u w:val="single"/>
        </w:rPr>
      </w:pPr>
      <w:r>
        <w:rPr>
          <w:rFonts w:ascii="Times New Roman" w:hAnsi="Times New Roman"/>
          <w:b/>
          <w:sz w:val="24"/>
          <w:szCs w:val="24"/>
          <w:u w:val="single"/>
        </w:rPr>
        <w:t xml:space="preserve">Section III. </w:t>
      </w:r>
      <w:r w:rsidR="003376B7" w:rsidRPr="007E18B5">
        <w:rPr>
          <w:rFonts w:ascii="Times New Roman" w:hAnsi="Times New Roman"/>
          <w:b/>
          <w:sz w:val="24"/>
          <w:szCs w:val="24"/>
          <w:u w:val="single"/>
        </w:rPr>
        <w:t>Recommended Broadband</w:t>
      </w:r>
      <w:r w:rsidR="00EB3003" w:rsidRPr="007E18B5">
        <w:rPr>
          <w:rFonts w:ascii="Times New Roman" w:hAnsi="Times New Roman"/>
          <w:b/>
          <w:sz w:val="24"/>
          <w:szCs w:val="24"/>
          <w:u w:val="single"/>
        </w:rPr>
        <w:t xml:space="preserve"> Consumer Disclosure Formats</w:t>
      </w:r>
    </w:p>
    <w:p w14:paraId="6D6A31FF" w14:textId="119ED797" w:rsidR="00A65F20" w:rsidRPr="007E18B5" w:rsidRDefault="00F879E1" w:rsidP="004C5E8F">
      <w:pPr>
        <w:pStyle w:val="NormalWeb"/>
        <w:rPr>
          <w:rFonts w:ascii="Times New Roman" w:hAnsi="Times New Roman"/>
          <w:sz w:val="24"/>
          <w:szCs w:val="24"/>
        </w:rPr>
      </w:pPr>
      <w:r w:rsidRPr="007E18B5">
        <w:rPr>
          <w:rFonts w:ascii="Times New Roman" w:hAnsi="Times New Roman"/>
          <w:sz w:val="24"/>
          <w:szCs w:val="24"/>
        </w:rPr>
        <w:t>The</w:t>
      </w:r>
      <w:r w:rsidR="00EB3003" w:rsidRPr="007E18B5">
        <w:rPr>
          <w:rFonts w:ascii="Times New Roman" w:hAnsi="Times New Roman"/>
          <w:sz w:val="24"/>
          <w:szCs w:val="24"/>
        </w:rPr>
        <w:t xml:space="preserve"> </w:t>
      </w:r>
      <w:r w:rsidR="007F340C">
        <w:rPr>
          <w:rFonts w:ascii="Times New Roman" w:hAnsi="Times New Roman"/>
          <w:sz w:val="24"/>
          <w:szCs w:val="24"/>
        </w:rPr>
        <w:t>CAC</w:t>
      </w:r>
      <w:r w:rsidR="00EB3003" w:rsidRPr="007E18B5">
        <w:rPr>
          <w:rFonts w:ascii="Times New Roman" w:hAnsi="Times New Roman"/>
          <w:sz w:val="24"/>
          <w:szCs w:val="24"/>
        </w:rPr>
        <w:t xml:space="preserve"> recommends two</w:t>
      </w:r>
      <w:r w:rsidR="00B36660" w:rsidRPr="007E18B5">
        <w:rPr>
          <w:rFonts w:ascii="Times New Roman" w:hAnsi="Times New Roman"/>
          <w:sz w:val="24"/>
          <w:szCs w:val="24"/>
        </w:rPr>
        <w:t xml:space="preserve"> distinct</w:t>
      </w:r>
      <w:r w:rsidR="00EB3003" w:rsidRPr="007E18B5">
        <w:rPr>
          <w:rFonts w:ascii="Times New Roman" w:hAnsi="Times New Roman"/>
          <w:sz w:val="24"/>
          <w:szCs w:val="24"/>
        </w:rPr>
        <w:t xml:space="preserve"> disclosure formats for consumers of broadband services.</w:t>
      </w:r>
    </w:p>
    <w:p w14:paraId="1E0CEB7D" w14:textId="77777777" w:rsidR="00A65F20" w:rsidRPr="007E18B5" w:rsidRDefault="00A65F20" w:rsidP="00A65F20">
      <w:pPr>
        <w:pStyle w:val="NormalWeb"/>
        <w:numPr>
          <w:ilvl w:val="0"/>
          <w:numId w:val="1"/>
        </w:numPr>
        <w:rPr>
          <w:rFonts w:ascii="Times New Roman" w:hAnsi="Times New Roman"/>
          <w:sz w:val="24"/>
          <w:szCs w:val="24"/>
        </w:rPr>
      </w:pPr>
      <w:r w:rsidRPr="007E18B5">
        <w:rPr>
          <w:rFonts w:ascii="Times New Roman" w:hAnsi="Times New Roman"/>
          <w:sz w:val="24"/>
          <w:szCs w:val="24"/>
        </w:rPr>
        <w:t xml:space="preserve">Fixed Broadband </w:t>
      </w:r>
      <w:r w:rsidR="00F879E1" w:rsidRPr="007E18B5">
        <w:rPr>
          <w:rFonts w:ascii="Times New Roman" w:hAnsi="Times New Roman"/>
          <w:sz w:val="24"/>
          <w:szCs w:val="24"/>
        </w:rPr>
        <w:t>Consumer</w:t>
      </w:r>
      <w:r w:rsidRPr="007E18B5">
        <w:rPr>
          <w:rFonts w:ascii="Times New Roman" w:hAnsi="Times New Roman"/>
          <w:sz w:val="24"/>
          <w:szCs w:val="24"/>
        </w:rPr>
        <w:t xml:space="preserve"> Disclosure</w:t>
      </w:r>
    </w:p>
    <w:p w14:paraId="70B2EAF5" w14:textId="77777777" w:rsidR="003376B7" w:rsidRPr="007E18B5" w:rsidRDefault="00A65F20" w:rsidP="003376B7">
      <w:pPr>
        <w:pStyle w:val="NormalWeb"/>
        <w:numPr>
          <w:ilvl w:val="0"/>
          <w:numId w:val="1"/>
        </w:numPr>
        <w:rPr>
          <w:rFonts w:ascii="Times New Roman" w:hAnsi="Times New Roman"/>
          <w:sz w:val="24"/>
          <w:szCs w:val="24"/>
        </w:rPr>
      </w:pPr>
      <w:r w:rsidRPr="007E18B5">
        <w:rPr>
          <w:rFonts w:ascii="Times New Roman" w:hAnsi="Times New Roman"/>
          <w:sz w:val="24"/>
          <w:szCs w:val="24"/>
        </w:rPr>
        <w:t xml:space="preserve">Mobile Broadband </w:t>
      </w:r>
      <w:r w:rsidR="00F879E1" w:rsidRPr="007E18B5">
        <w:rPr>
          <w:rFonts w:ascii="Times New Roman" w:hAnsi="Times New Roman"/>
          <w:sz w:val="24"/>
          <w:szCs w:val="24"/>
        </w:rPr>
        <w:t>Consumer</w:t>
      </w:r>
      <w:r w:rsidRPr="007E18B5">
        <w:rPr>
          <w:rFonts w:ascii="Times New Roman" w:hAnsi="Times New Roman"/>
          <w:sz w:val="24"/>
          <w:szCs w:val="24"/>
        </w:rPr>
        <w:t xml:space="preserve"> Disclosure</w:t>
      </w:r>
    </w:p>
    <w:p w14:paraId="1AEC9CF6" w14:textId="3B9EE19C" w:rsidR="007E18B5" w:rsidRDefault="003376B7" w:rsidP="002A6B0E">
      <w:pPr>
        <w:pStyle w:val="NormalWeb"/>
        <w:rPr>
          <w:rFonts w:ascii="Times New Roman" w:hAnsi="Times New Roman"/>
          <w:sz w:val="24"/>
          <w:szCs w:val="24"/>
        </w:rPr>
      </w:pPr>
      <w:r w:rsidRPr="007E18B5">
        <w:rPr>
          <w:rFonts w:ascii="Times New Roman" w:hAnsi="Times New Roman"/>
          <w:sz w:val="24"/>
          <w:szCs w:val="24"/>
        </w:rPr>
        <w:t xml:space="preserve">Consistent with the Commission’s delegation to the CAC, the </w:t>
      </w:r>
      <w:r w:rsidR="007F340C">
        <w:rPr>
          <w:rFonts w:ascii="Times New Roman" w:hAnsi="Times New Roman"/>
          <w:sz w:val="24"/>
          <w:szCs w:val="24"/>
        </w:rPr>
        <w:t>CAC</w:t>
      </w:r>
      <w:r w:rsidRPr="007E18B5">
        <w:rPr>
          <w:rFonts w:ascii="Times New Roman" w:hAnsi="Times New Roman"/>
          <w:sz w:val="24"/>
          <w:szCs w:val="24"/>
        </w:rPr>
        <w:t xml:space="preserve"> adopted two versions of a recommended disclosure format, one for providers of fixed broadband service and one for providers of mobile broadband service. </w:t>
      </w:r>
    </w:p>
    <w:p w14:paraId="024E48D6" w14:textId="5E16B2EC" w:rsidR="007E18B5" w:rsidRPr="007E18B5" w:rsidRDefault="002A6B0E" w:rsidP="002A6B0E">
      <w:pPr>
        <w:pStyle w:val="NormalWeb"/>
        <w:rPr>
          <w:rFonts w:ascii="Times New Roman" w:hAnsi="Times New Roman"/>
          <w:sz w:val="24"/>
          <w:szCs w:val="24"/>
        </w:rPr>
      </w:pPr>
      <w:r w:rsidRPr="007E18B5">
        <w:rPr>
          <w:rFonts w:ascii="Times New Roman" w:hAnsi="Times New Roman"/>
          <w:sz w:val="24"/>
          <w:szCs w:val="24"/>
        </w:rPr>
        <w:t>Both the fixed and mobile disclosures provide consumers information for broadband service</w:t>
      </w:r>
      <w:r w:rsidR="000A33C3">
        <w:rPr>
          <w:rFonts w:ascii="Times New Roman" w:hAnsi="Times New Roman"/>
          <w:sz w:val="24"/>
          <w:szCs w:val="24"/>
        </w:rPr>
        <w:t>s</w:t>
      </w:r>
      <w:r w:rsidRPr="007E18B5">
        <w:rPr>
          <w:rFonts w:ascii="Times New Roman" w:hAnsi="Times New Roman"/>
          <w:sz w:val="24"/>
          <w:szCs w:val="24"/>
        </w:rPr>
        <w:t xml:space="preserve"> </w:t>
      </w:r>
      <w:r w:rsidR="000A33C3">
        <w:rPr>
          <w:rFonts w:ascii="Times New Roman" w:hAnsi="Times New Roman"/>
          <w:sz w:val="24"/>
          <w:szCs w:val="24"/>
        </w:rPr>
        <w:t>offered by providers</w:t>
      </w:r>
      <w:r w:rsidRPr="007E18B5">
        <w:rPr>
          <w:rFonts w:ascii="Times New Roman" w:hAnsi="Times New Roman"/>
          <w:sz w:val="24"/>
          <w:szCs w:val="24"/>
        </w:rPr>
        <w:t xml:space="preserve">. </w:t>
      </w:r>
      <w:r w:rsidR="007E18B5" w:rsidRPr="007E18B5">
        <w:rPr>
          <w:rFonts w:ascii="Times New Roman" w:hAnsi="Times New Roman"/>
          <w:sz w:val="24"/>
          <w:szCs w:val="24"/>
        </w:rPr>
        <w:t>The OIO rules govern broadband, and therefore it makes sense for the disclosures to provide information about broadband services, rather than a host of other products, services and bundles</w:t>
      </w:r>
      <w:r w:rsidR="007E18B5">
        <w:rPr>
          <w:rFonts w:ascii="Times New Roman" w:hAnsi="Times New Roman"/>
          <w:sz w:val="24"/>
          <w:szCs w:val="24"/>
        </w:rPr>
        <w:t>.</w:t>
      </w:r>
    </w:p>
    <w:p w14:paraId="104CE774" w14:textId="2AA30097" w:rsidR="00075E5F" w:rsidRDefault="00075E5F" w:rsidP="00075E5F">
      <w:r w:rsidRPr="007E18B5">
        <w:t xml:space="preserve">Following the language delegating responsibility to the CAC to develop a “clear and easy to read” format that would enable “consumers to easily compare the services of different providers,” the </w:t>
      </w:r>
      <w:r w:rsidR="007F340C">
        <w:t>CAC</w:t>
      </w:r>
      <w:r w:rsidRPr="007E18B5">
        <w:t xml:space="preserve"> focused its attention on creating a format that would be helpful to consumers during the purchasing process.  While there also are disclosure-related issues that may arise after a customer makes a purchase decision, the </w:t>
      </w:r>
      <w:r w:rsidR="007F340C">
        <w:t>CAC</w:t>
      </w:r>
      <w:r w:rsidRPr="007E18B5">
        <w:t xml:space="preserve"> concluded that focusing on the </w:t>
      </w:r>
      <w:r w:rsidR="00F879E1" w:rsidRPr="007E18B5">
        <w:t>shopping</w:t>
      </w:r>
      <w:r w:rsidRPr="007E18B5">
        <w:t xml:space="preserve"> period was most faithful to the responsibility that was delegated.</w:t>
      </w:r>
    </w:p>
    <w:p w14:paraId="210393F5" w14:textId="77777777" w:rsidR="00336233" w:rsidRDefault="00336233" w:rsidP="00075E5F"/>
    <w:p w14:paraId="214FED0E" w14:textId="07C96264" w:rsidR="00336233" w:rsidRPr="007E18B5" w:rsidRDefault="00336233" w:rsidP="00075E5F">
      <w:r>
        <w:t xml:space="preserve">The Open Internet Order requires service providers to disclose a wealth of information about their services. The </w:t>
      </w:r>
      <w:r w:rsidR="007F340C">
        <w:t>CAC</w:t>
      </w:r>
      <w:r>
        <w:t xml:space="preserve"> focused on </w:t>
      </w:r>
      <w:r w:rsidR="008D119F">
        <w:t>identifying the most critical pieces of information for consumers to know and how to present them in a “clear and easy to read” style as requ</w:t>
      </w:r>
      <w:r w:rsidR="00BC78DA">
        <w:t>ested</w:t>
      </w:r>
      <w:r w:rsidR="008D119F">
        <w:t xml:space="preserve"> by the Commission. This disclosure does not negate any other disclosure requirements include</w:t>
      </w:r>
      <w:r w:rsidR="000A33C3">
        <w:t>d</w:t>
      </w:r>
      <w:r w:rsidR="008D119F">
        <w:t xml:space="preserve"> in the OIO.</w:t>
      </w:r>
    </w:p>
    <w:p w14:paraId="7157F8F9" w14:textId="77777777" w:rsidR="003376B7" w:rsidRPr="007E18B5" w:rsidRDefault="003376B7" w:rsidP="00075E5F"/>
    <w:p w14:paraId="6BA7F673" w14:textId="77777777" w:rsidR="003C3493" w:rsidRPr="007E18B5" w:rsidRDefault="003C3493" w:rsidP="00F879E1">
      <w:pPr>
        <w:pStyle w:val="ListParagraph"/>
        <w:ind w:left="0"/>
      </w:pPr>
      <w:r w:rsidRPr="007E18B5">
        <w:lastRenderedPageBreak/>
        <w:t xml:space="preserve">At a high level, the recommended </w:t>
      </w:r>
      <w:r w:rsidR="003376B7" w:rsidRPr="007E18B5">
        <w:t>BCD</w:t>
      </w:r>
      <w:r w:rsidRPr="007E18B5">
        <w:t xml:space="preserve"> format</w:t>
      </w:r>
      <w:r w:rsidR="003376B7" w:rsidRPr="007E18B5">
        <w:t>s track</w:t>
      </w:r>
      <w:r w:rsidRPr="007E18B5">
        <w:t xml:space="preserve"> the three main types of information the Commission requires broadband providers to disclose:  Price and Commercial Terms; Performa</w:t>
      </w:r>
      <w:r w:rsidR="003376B7" w:rsidRPr="007E18B5">
        <w:t>nce; and Network Management.</w:t>
      </w:r>
    </w:p>
    <w:p w14:paraId="25A6964F" w14:textId="77777777" w:rsidR="003C3493" w:rsidRPr="007E18B5" w:rsidRDefault="003C3493" w:rsidP="00F879E1">
      <w:pPr>
        <w:pStyle w:val="ListParagraph"/>
        <w:ind w:left="0"/>
      </w:pPr>
    </w:p>
    <w:p w14:paraId="13223D0D" w14:textId="4066214F" w:rsidR="00626FB5" w:rsidRDefault="003C3493" w:rsidP="00B75CC8">
      <w:pPr>
        <w:pStyle w:val="ListParagraph"/>
        <w:ind w:left="0"/>
        <w:rPr>
          <w:u w:val="single"/>
        </w:rPr>
      </w:pPr>
      <w:r w:rsidRPr="007E18B5">
        <w:rPr>
          <w:u w:val="single"/>
        </w:rPr>
        <w:t>Price and Commercial Terms</w:t>
      </w:r>
    </w:p>
    <w:p w14:paraId="2918B9D4" w14:textId="77777777" w:rsidR="00B75CC8" w:rsidRPr="00626FB5" w:rsidRDefault="00B75CC8" w:rsidP="00B75CC8">
      <w:pPr>
        <w:pStyle w:val="ListParagraph"/>
        <w:ind w:left="0"/>
      </w:pPr>
    </w:p>
    <w:p w14:paraId="26CAA96A" w14:textId="77777777" w:rsidR="003738BD" w:rsidRDefault="003C3493" w:rsidP="00F879E1">
      <w:pPr>
        <w:pStyle w:val="ListParagraph"/>
        <w:ind w:left="0"/>
      </w:pPr>
      <w:r w:rsidRPr="007E18B5">
        <w:rPr>
          <w:i/>
        </w:rPr>
        <w:t>Fixed</w:t>
      </w:r>
      <w:r w:rsidRPr="007E18B5">
        <w:t xml:space="preserve"> </w:t>
      </w:r>
      <w:r w:rsidR="003738BD">
        <w:rPr>
          <w:i/>
        </w:rPr>
        <w:t>BCD e</w:t>
      </w:r>
      <w:r w:rsidR="003738BD" w:rsidRPr="003738BD">
        <w:rPr>
          <w:i/>
        </w:rPr>
        <w:t>lements include</w:t>
      </w:r>
      <w:r w:rsidR="003738BD">
        <w:rPr>
          <w:i/>
        </w:rPr>
        <w:t>:</w:t>
      </w:r>
      <w:r w:rsidRPr="007E18B5">
        <w:tab/>
      </w:r>
      <w:r w:rsidR="003738BD">
        <w:tab/>
      </w:r>
    </w:p>
    <w:p w14:paraId="73CB8B78" w14:textId="77777777" w:rsidR="003738BD" w:rsidRDefault="003738BD" w:rsidP="00F879E1">
      <w:pPr>
        <w:pStyle w:val="ListParagraph"/>
        <w:ind w:left="0"/>
      </w:pPr>
    </w:p>
    <w:p w14:paraId="6A944BB2" w14:textId="6427AA3C" w:rsidR="00B75CC8" w:rsidRDefault="006559A6" w:rsidP="00F879E1">
      <w:pPr>
        <w:pStyle w:val="ListParagraph"/>
        <w:ind w:left="0"/>
      </w:pPr>
      <w:r w:rsidRPr="006559A6">
        <w:rPr>
          <w:b/>
        </w:rPr>
        <w:t>Pricing</w:t>
      </w:r>
      <w:r>
        <w:t xml:space="preserve">: The BCD must include </w:t>
      </w:r>
      <w:r w:rsidR="00392FF9">
        <w:t xml:space="preserve">the </w:t>
      </w:r>
      <w:r>
        <w:t>n</w:t>
      </w:r>
      <w:r w:rsidR="003C3493" w:rsidRPr="007E18B5">
        <w:t xml:space="preserve">on-promotional, month-to-month price for stand-alone broadband service (i.e., not bundled with other services such as multichannel video or voice). </w:t>
      </w:r>
      <w:r w:rsidR="003738BD">
        <w:t xml:space="preserve">Additionally a participating provider may include monthly prices offered in conjunction with a contract or commitment and show the term associated. </w:t>
      </w:r>
      <w:r w:rsidR="00B75CC8" w:rsidRPr="007E18B5">
        <w:t>Focusing on broadband standalone pricing makes comparison between providers easier and adds much needed transparency to broadband pricing.</w:t>
      </w:r>
      <w:r w:rsidR="00B75CC8">
        <w:t xml:space="preserve"> Currently it </w:t>
      </w:r>
      <w:r w:rsidR="00BC78DA">
        <w:t>can be</w:t>
      </w:r>
      <w:r w:rsidR="00B75CC8">
        <w:t xml:space="preserve"> difficult for consumers to find broadband only pricing, as over the top services continue to proliferate clarity in broadband pricing will benefit consumers in the marketplace.</w:t>
      </w:r>
      <w:r w:rsidR="00DD4095">
        <w:t xml:space="preserve"> Each service or speed tier </w:t>
      </w:r>
      <w:r w:rsidR="00392FF9">
        <w:t>may</w:t>
      </w:r>
      <w:r w:rsidR="00DD4095">
        <w:t xml:space="preserve"> have its own BCD, however a provider may cho</w:t>
      </w:r>
      <w:r w:rsidR="00BC78DA">
        <w:t>o</w:t>
      </w:r>
      <w:r w:rsidR="00DD4095">
        <w:t>se to include multiple service offerings on a single form.</w:t>
      </w:r>
    </w:p>
    <w:p w14:paraId="433766FD" w14:textId="77777777" w:rsidR="00336233" w:rsidRDefault="00336233" w:rsidP="00F879E1">
      <w:pPr>
        <w:pStyle w:val="ListParagraph"/>
        <w:ind w:left="0"/>
      </w:pPr>
    </w:p>
    <w:p w14:paraId="3F76DDBD" w14:textId="7B4A937E" w:rsidR="00336233" w:rsidRDefault="00336233" w:rsidP="00F879E1">
      <w:pPr>
        <w:pStyle w:val="ListParagraph"/>
        <w:ind w:left="0"/>
      </w:pPr>
      <w:r>
        <w:t xml:space="preserve">For broadband services only offered in conjunction with a separate required service the </w:t>
      </w:r>
      <w:r w:rsidR="00BB0658">
        <w:t xml:space="preserve">monthly </w:t>
      </w:r>
      <w:r>
        <w:t xml:space="preserve">price shown must be inclusive of all required costs. For example, if a consumer must purchase phone service to get DSL service the price shown must include both service </w:t>
      </w:r>
      <w:r w:rsidR="00BB0658">
        <w:t>charges</w:t>
      </w:r>
      <w:r>
        <w:t>.</w:t>
      </w:r>
    </w:p>
    <w:p w14:paraId="789D4FF5" w14:textId="77777777" w:rsidR="00B75CC8" w:rsidRDefault="00B75CC8" w:rsidP="00F879E1">
      <w:pPr>
        <w:pStyle w:val="ListParagraph"/>
        <w:ind w:left="0"/>
      </w:pPr>
    </w:p>
    <w:p w14:paraId="3A50A223" w14:textId="000B0E7C" w:rsidR="003738BD" w:rsidRDefault="003C3493" w:rsidP="00F879E1">
      <w:pPr>
        <w:pStyle w:val="ListParagraph"/>
        <w:ind w:left="0"/>
      </w:pPr>
      <w:r w:rsidRPr="007E18B5">
        <w:t>A link may be provided to promotions and bundled service offerings.</w:t>
      </w:r>
      <w:r w:rsidR="003738BD">
        <w:t xml:space="preserve"> </w:t>
      </w:r>
    </w:p>
    <w:p w14:paraId="6535CC36" w14:textId="77777777" w:rsidR="003738BD" w:rsidRDefault="003738BD" w:rsidP="00F879E1">
      <w:pPr>
        <w:pStyle w:val="ListParagraph"/>
        <w:ind w:left="0"/>
      </w:pPr>
    </w:p>
    <w:p w14:paraId="304149BB" w14:textId="77777777" w:rsidR="006559A6" w:rsidRDefault="006559A6" w:rsidP="00F879E1">
      <w:pPr>
        <w:pStyle w:val="ListParagraph"/>
        <w:ind w:left="0"/>
      </w:pPr>
      <w:r w:rsidRPr="006559A6">
        <w:rPr>
          <w:b/>
        </w:rPr>
        <w:t>Monthly Data Allowance:</w:t>
      </w:r>
      <w:r>
        <w:t xml:space="preserve"> I</w:t>
      </w:r>
      <w:r w:rsidRPr="007E18B5">
        <w:t>f applicable</w:t>
      </w:r>
      <w:r>
        <w:t>, u</w:t>
      </w:r>
      <w:r w:rsidR="003C3493" w:rsidRPr="007E18B5">
        <w:t>sage allowance</w:t>
      </w:r>
      <w:r w:rsidR="003738BD">
        <w:t>s</w:t>
      </w:r>
      <w:r w:rsidR="003C3493" w:rsidRPr="007E18B5">
        <w:t xml:space="preserve"> should be identified </w:t>
      </w:r>
    </w:p>
    <w:p w14:paraId="143F9465" w14:textId="77777777" w:rsidR="006559A6" w:rsidRDefault="006559A6" w:rsidP="00F879E1">
      <w:pPr>
        <w:pStyle w:val="ListParagraph"/>
        <w:ind w:left="0"/>
      </w:pPr>
    </w:p>
    <w:p w14:paraId="66B70935" w14:textId="0C63CACC" w:rsidR="006559A6" w:rsidRDefault="006559A6" w:rsidP="00F879E1">
      <w:pPr>
        <w:pStyle w:val="ListParagraph"/>
        <w:ind w:left="0"/>
      </w:pPr>
      <w:r w:rsidRPr="006559A6">
        <w:rPr>
          <w:b/>
        </w:rPr>
        <w:t xml:space="preserve">Overage </w:t>
      </w:r>
      <w:r w:rsidR="00E513FE">
        <w:rPr>
          <w:b/>
        </w:rPr>
        <w:t>C</w:t>
      </w:r>
      <w:r w:rsidRPr="006559A6">
        <w:rPr>
          <w:b/>
        </w:rPr>
        <w:t>harges</w:t>
      </w:r>
      <w:r>
        <w:t>: If applicable, additional charges or consequences for exceeding the usage</w:t>
      </w:r>
      <w:r w:rsidR="003C3493" w:rsidRPr="007E18B5">
        <w:t xml:space="preserve"> allowance</w:t>
      </w:r>
      <w:r w:rsidR="00B0773A">
        <w:t xml:space="preserve"> must be shown</w:t>
      </w:r>
      <w:r w:rsidR="003C3493" w:rsidRPr="007E18B5">
        <w:t>.</w:t>
      </w:r>
      <w:r>
        <w:t xml:space="preserve"> Monetary costs or service experience changes may be listed.</w:t>
      </w:r>
      <w:r w:rsidR="003C3493" w:rsidRPr="007E18B5">
        <w:t xml:space="preserve">  </w:t>
      </w:r>
      <w:r w:rsidR="00B0773A">
        <w:t>For example, $10 per additional GB or “Speeds may be reduced.”</w:t>
      </w:r>
    </w:p>
    <w:p w14:paraId="0A6828DD" w14:textId="77777777" w:rsidR="006559A6" w:rsidRDefault="006559A6" w:rsidP="00F879E1">
      <w:pPr>
        <w:pStyle w:val="ListParagraph"/>
        <w:ind w:left="0"/>
      </w:pPr>
    </w:p>
    <w:p w14:paraId="5E826D75" w14:textId="03BA29FA" w:rsidR="006559A6" w:rsidRDefault="006559A6" w:rsidP="00F879E1">
      <w:pPr>
        <w:pStyle w:val="ListParagraph"/>
        <w:ind w:left="0"/>
      </w:pPr>
      <w:r w:rsidRPr="006559A6">
        <w:rPr>
          <w:b/>
        </w:rPr>
        <w:t>Equipment Fees:</w:t>
      </w:r>
      <w:r>
        <w:t xml:space="preserve"> I</w:t>
      </w:r>
      <w:r w:rsidRPr="007E18B5">
        <w:t xml:space="preserve">dentify any equipment rental </w:t>
      </w:r>
      <w:r>
        <w:t xml:space="preserve">or purchase </w:t>
      </w:r>
      <w:r w:rsidRPr="007E18B5">
        <w:t>charges</w:t>
      </w:r>
      <w:r>
        <w:t>.</w:t>
      </w:r>
      <w:r w:rsidRPr="007E18B5">
        <w:t xml:space="preserve"> </w:t>
      </w:r>
      <w:r w:rsidR="003C3493" w:rsidRPr="007E18B5">
        <w:t>The disclosure should include a link to the provider’s policy for customers that choose to use their own equipment</w:t>
      </w:r>
      <w:r>
        <w:t xml:space="preserve"> and</w:t>
      </w:r>
      <w:r w:rsidR="00B0773A">
        <w:t xml:space="preserve"> </w:t>
      </w:r>
      <w:r>
        <w:t>permitted equipment.</w:t>
      </w:r>
      <w:r w:rsidR="003C3493" w:rsidRPr="007E18B5">
        <w:t xml:space="preserve">  </w:t>
      </w:r>
    </w:p>
    <w:p w14:paraId="4E52F9CE" w14:textId="77777777" w:rsidR="006559A6" w:rsidRDefault="006559A6" w:rsidP="00F879E1">
      <w:pPr>
        <w:pStyle w:val="ListParagraph"/>
        <w:ind w:left="0"/>
      </w:pPr>
    </w:p>
    <w:p w14:paraId="238CCF5A" w14:textId="709B41D9" w:rsidR="003C3493" w:rsidRDefault="006559A6" w:rsidP="00F879E1">
      <w:pPr>
        <w:pStyle w:val="ListParagraph"/>
        <w:ind w:left="0"/>
      </w:pPr>
      <w:r w:rsidRPr="006559A6">
        <w:rPr>
          <w:b/>
        </w:rPr>
        <w:t>Other Monthly Fees:</w:t>
      </w:r>
      <w:r>
        <w:t xml:space="preserve"> </w:t>
      </w:r>
      <w:r w:rsidR="003C3493" w:rsidRPr="007E18B5">
        <w:t>All recurring fees associated with the service should be identified other than taxes and other fees associated with government programs.</w:t>
      </w:r>
      <w:r w:rsidR="00626FB5">
        <w:t xml:space="preserve"> </w:t>
      </w:r>
      <w:r>
        <w:t xml:space="preserve">Examples </w:t>
      </w:r>
      <w:r w:rsidR="00BF591A">
        <w:t xml:space="preserve">could </w:t>
      </w:r>
      <w:r>
        <w:t>include any negative option fees a carrier may charge for insurance plans</w:t>
      </w:r>
      <w:r w:rsidR="00CB55F0">
        <w:t>, administrative fees</w:t>
      </w:r>
      <w:r>
        <w:t xml:space="preserve"> </w:t>
      </w:r>
      <w:r w:rsidR="001E3B25">
        <w:t>or</w:t>
      </w:r>
      <w:r>
        <w:t xml:space="preserve"> regulatory recovery fees.</w:t>
      </w:r>
    </w:p>
    <w:p w14:paraId="4A7A8AC3" w14:textId="77777777" w:rsidR="006559A6" w:rsidRDefault="006559A6" w:rsidP="00F879E1">
      <w:pPr>
        <w:pStyle w:val="ListParagraph"/>
        <w:ind w:left="0"/>
      </w:pPr>
    </w:p>
    <w:p w14:paraId="5A2A404B" w14:textId="015C7B9B" w:rsidR="006559A6" w:rsidRDefault="006559A6" w:rsidP="00F879E1">
      <w:pPr>
        <w:pStyle w:val="ListParagraph"/>
        <w:ind w:left="0"/>
      </w:pPr>
      <w:r>
        <w:rPr>
          <w:b/>
        </w:rPr>
        <w:t xml:space="preserve">One Time Fees: </w:t>
      </w:r>
      <w:r w:rsidR="001C274C">
        <w:t>All non-recurring fees the provider charges in connection with the purchase of broadband service, e.g., installation fees or activation fees.</w:t>
      </w:r>
    </w:p>
    <w:p w14:paraId="53FEAB65" w14:textId="77777777" w:rsidR="001C274C" w:rsidRDefault="001C274C" w:rsidP="00F879E1">
      <w:pPr>
        <w:pStyle w:val="ListParagraph"/>
        <w:ind w:left="0"/>
      </w:pPr>
    </w:p>
    <w:p w14:paraId="6BFB7FF1" w14:textId="3043B2EA" w:rsidR="003C3493" w:rsidRPr="007E18B5" w:rsidRDefault="001C274C" w:rsidP="00F879E1">
      <w:pPr>
        <w:pStyle w:val="ListParagraph"/>
        <w:ind w:left="0"/>
      </w:pPr>
      <w:r w:rsidRPr="001C274C">
        <w:rPr>
          <w:b/>
        </w:rPr>
        <w:t xml:space="preserve">Early Termination Fees: </w:t>
      </w:r>
      <w:r w:rsidRPr="001C274C">
        <w:t>(or cancel/disconnect fee)</w:t>
      </w:r>
      <w:r>
        <w:t xml:space="preserve"> Any fees a provider charges to cancel or end service s</w:t>
      </w:r>
      <w:r w:rsidRPr="001C274C">
        <w:t>hould be disclosed</w:t>
      </w:r>
      <w:r>
        <w:t>,</w:t>
      </w:r>
      <w:r w:rsidRPr="001C274C">
        <w:t xml:space="preserve"> if applicable</w:t>
      </w:r>
      <w:r w:rsidR="005B742C">
        <w:t>.</w:t>
      </w:r>
    </w:p>
    <w:p w14:paraId="07F9AD24" w14:textId="77777777" w:rsidR="005D393E" w:rsidRDefault="005D393E" w:rsidP="00F879E1">
      <w:pPr>
        <w:pStyle w:val="ListParagraph"/>
        <w:ind w:left="0"/>
        <w:rPr>
          <w:i/>
        </w:rPr>
      </w:pPr>
    </w:p>
    <w:p w14:paraId="48A43C52" w14:textId="77777777" w:rsidR="00DD4095" w:rsidRDefault="003C3493" w:rsidP="00F879E1">
      <w:pPr>
        <w:pStyle w:val="ListParagraph"/>
        <w:ind w:left="0"/>
        <w:rPr>
          <w:i/>
        </w:rPr>
      </w:pPr>
      <w:r w:rsidRPr="007E18B5">
        <w:rPr>
          <w:i/>
        </w:rPr>
        <w:t>Mobile</w:t>
      </w:r>
      <w:r w:rsidRPr="007E18B5">
        <w:t xml:space="preserve"> </w:t>
      </w:r>
      <w:r w:rsidR="00EC767A">
        <w:rPr>
          <w:i/>
        </w:rPr>
        <w:t>BCD e</w:t>
      </w:r>
      <w:r w:rsidR="00EC767A" w:rsidRPr="003738BD">
        <w:rPr>
          <w:i/>
        </w:rPr>
        <w:t>lements include</w:t>
      </w:r>
      <w:r w:rsidR="00EC767A">
        <w:rPr>
          <w:i/>
        </w:rPr>
        <w:t>:</w:t>
      </w:r>
    </w:p>
    <w:p w14:paraId="3BC064C6" w14:textId="77777777" w:rsidR="00DD4095" w:rsidRDefault="00DD4095" w:rsidP="00F879E1">
      <w:pPr>
        <w:pStyle w:val="ListParagraph"/>
        <w:ind w:left="0"/>
        <w:rPr>
          <w:i/>
        </w:rPr>
      </w:pPr>
    </w:p>
    <w:p w14:paraId="3F8E249B" w14:textId="319EF6BC" w:rsidR="00DD4095" w:rsidRDefault="00DD4095" w:rsidP="00F879E1">
      <w:pPr>
        <w:pStyle w:val="ListParagraph"/>
        <w:ind w:left="0"/>
      </w:pPr>
      <w:r w:rsidRPr="00DD4095">
        <w:rPr>
          <w:b/>
        </w:rPr>
        <w:t>Pricing:</w:t>
      </w:r>
      <w:r>
        <w:rPr>
          <w:b/>
          <w:i/>
        </w:rPr>
        <w:t xml:space="preserve">  </w:t>
      </w:r>
      <w:r w:rsidRPr="00DD4095">
        <w:t>The Mobile BCD must include</w:t>
      </w:r>
      <w:r>
        <w:t xml:space="preserve"> price offerings based on the data allowance of </w:t>
      </w:r>
      <w:r w:rsidR="00CB55F0">
        <w:t>a single line smartphone service plan</w:t>
      </w:r>
      <w:r>
        <w:t>; this could either be a speed</w:t>
      </w:r>
      <w:r w:rsidR="002406D5">
        <w:t xml:space="preserve"> tier based</w:t>
      </w:r>
      <w:r>
        <w:t xml:space="preserve"> allowance or more traditional usage allowance.  Providers may include multiple data allowance offerings on a single BCD. The Mobile BCD </w:t>
      </w:r>
      <w:r w:rsidR="00CB55F0">
        <w:t>may also</w:t>
      </w:r>
      <w:r>
        <w:t xml:space="preserve"> be used for </w:t>
      </w:r>
      <w:r w:rsidR="00BC78DA">
        <w:t>multiline</w:t>
      </w:r>
      <w:r w:rsidR="00CB55F0">
        <w:t xml:space="preserve"> </w:t>
      </w:r>
      <w:r>
        <w:t>plan offering</w:t>
      </w:r>
      <w:r w:rsidR="00392FF9">
        <w:t>s</w:t>
      </w:r>
      <w:r>
        <w:t xml:space="preserve">. </w:t>
      </w:r>
    </w:p>
    <w:p w14:paraId="03E41C09" w14:textId="77777777" w:rsidR="00DD4095" w:rsidRDefault="00DD4095" w:rsidP="00F879E1">
      <w:pPr>
        <w:pStyle w:val="ListParagraph"/>
        <w:ind w:left="0"/>
      </w:pPr>
    </w:p>
    <w:p w14:paraId="272811F2" w14:textId="0657EAB3" w:rsidR="00336233" w:rsidRDefault="00336233" w:rsidP="00F879E1">
      <w:pPr>
        <w:pStyle w:val="ListParagraph"/>
        <w:ind w:left="0"/>
      </w:pPr>
      <w:r w:rsidRPr="007E18B5">
        <w:t xml:space="preserve">A link may be provided to promotions and </w:t>
      </w:r>
      <w:r>
        <w:t>other</w:t>
      </w:r>
      <w:r w:rsidRPr="007E18B5">
        <w:t xml:space="preserve"> service offerings.</w:t>
      </w:r>
    </w:p>
    <w:p w14:paraId="43F651F7" w14:textId="77777777" w:rsidR="00336233" w:rsidRDefault="00336233" w:rsidP="00F879E1">
      <w:pPr>
        <w:pStyle w:val="ListParagraph"/>
        <w:ind w:left="0"/>
      </w:pPr>
    </w:p>
    <w:p w14:paraId="50987DFB" w14:textId="369E2CCC" w:rsidR="00336233" w:rsidRPr="00336233" w:rsidRDefault="00336233" w:rsidP="00F879E1">
      <w:pPr>
        <w:pStyle w:val="ListParagraph"/>
        <w:ind w:left="0"/>
      </w:pPr>
      <w:r w:rsidRPr="00336233">
        <w:rPr>
          <w:b/>
        </w:rPr>
        <w:t xml:space="preserve">When </w:t>
      </w:r>
      <w:r w:rsidR="00E513FE">
        <w:rPr>
          <w:b/>
        </w:rPr>
        <w:t>Y</w:t>
      </w:r>
      <w:r w:rsidRPr="00336233">
        <w:rPr>
          <w:b/>
        </w:rPr>
        <w:t xml:space="preserve">ou </w:t>
      </w:r>
      <w:r w:rsidR="00E513FE">
        <w:rPr>
          <w:b/>
        </w:rPr>
        <w:t>E</w:t>
      </w:r>
      <w:r w:rsidRPr="00336233">
        <w:rPr>
          <w:b/>
        </w:rPr>
        <w:t xml:space="preserve">xceed </w:t>
      </w:r>
      <w:r w:rsidR="00E513FE">
        <w:rPr>
          <w:b/>
        </w:rPr>
        <w:t>D</w:t>
      </w:r>
      <w:r w:rsidRPr="00336233">
        <w:rPr>
          <w:b/>
        </w:rPr>
        <w:t xml:space="preserve">ata </w:t>
      </w:r>
      <w:r w:rsidR="00E513FE">
        <w:rPr>
          <w:b/>
        </w:rPr>
        <w:t>A</w:t>
      </w:r>
      <w:r w:rsidRPr="00336233">
        <w:rPr>
          <w:b/>
        </w:rPr>
        <w:t>llowance:</w:t>
      </w:r>
      <w:r>
        <w:rPr>
          <w:b/>
        </w:rPr>
        <w:t xml:space="preserve"> </w:t>
      </w:r>
      <w:r>
        <w:t>This should provide information about what happens if a consumer goes over their allowance. If applicable, additional charges or consequences for exceeding the usage</w:t>
      </w:r>
      <w:r w:rsidRPr="007E18B5">
        <w:t xml:space="preserve"> allowance.</w:t>
      </w:r>
      <w:r>
        <w:t xml:space="preserve"> Monetary costs or service experience changes may be listed. For example, $10 per additional GB or “Speeds may be reduced.”</w:t>
      </w:r>
    </w:p>
    <w:p w14:paraId="75D39217" w14:textId="77777777" w:rsidR="00336233" w:rsidRDefault="00336233" w:rsidP="00F879E1">
      <w:pPr>
        <w:pStyle w:val="ListParagraph"/>
        <w:ind w:left="0"/>
      </w:pPr>
    </w:p>
    <w:p w14:paraId="2A682EFF" w14:textId="17E9107F" w:rsidR="003C3493" w:rsidRDefault="00336233" w:rsidP="00F879E1">
      <w:pPr>
        <w:pStyle w:val="ListParagraph"/>
        <w:ind w:left="0"/>
      </w:pPr>
      <w:r w:rsidRPr="00336233">
        <w:rPr>
          <w:b/>
        </w:rPr>
        <w:t>Other Included Services/Features</w:t>
      </w:r>
      <w:r>
        <w:t>: Since mobile broadband access is almost exclusively sold with the inclusion of minutes, texts and other elements this space allows those inclusions to be highlight</w:t>
      </w:r>
      <w:r w:rsidR="00BC78DA">
        <w:t>ed</w:t>
      </w:r>
      <w:r>
        <w:t xml:space="preserve">. Examples might be: Unlimited talk and text, 500 minutes and 500 texts per month, </w:t>
      </w:r>
      <w:r w:rsidR="00392FF9">
        <w:t>u</w:t>
      </w:r>
      <w:r>
        <w:t xml:space="preserve">nlimited music streaming, </w:t>
      </w:r>
      <w:r w:rsidR="00B0773A">
        <w:t xml:space="preserve">tethering, </w:t>
      </w:r>
      <w:r>
        <w:t>etc.</w:t>
      </w:r>
    </w:p>
    <w:p w14:paraId="7675B819" w14:textId="77777777" w:rsidR="00B75CC8" w:rsidRDefault="00B75CC8" w:rsidP="00F879E1">
      <w:pPr>
        <w:pStyle w:val="ListParagraph"/>
        <w:ind w:left="0"/>
      </w:pPr>
    </w:p>
    <w:p w14:paraId="20F0E287" w14:textId="5F9BD8DC" w:rsidR="00EC767A" w:rsidRDefault="00B75CC8" w:rsidP="00EC767A">
      <w:pPr>
        <w:pStyle w:val="ListParagraph"/>
        <w:ind w:left="0"/>
      </w:pPr>
      <w:r>
        <w:rPr>
          <w:b/>
        </w:rPr>
        <w:t xml:space="preserve">Other </w:t>
      </w:r>
      <w:r w:rsidR="00EC767A" w:rsidRPr="006559A6">
        <w:rPr>
          <w:b/>
        </w:rPr>
        <w:t>Monthly Fees:</w:t>
      </w:r>
      <w:r w:rsidR="00EC767A">
        <w:t xml:space="preserve"> </w:t>
      </w:r>
      <w:r w:rsidR="00EC767A" w:rsidRPr="007E18B5">
        <w:t>All recurring fees associated with the service should be identified other than taxes and other fees associated with government programs.</w:t>
      </w:r>
      <w:r w:rsidR="00EC767A">
        <w:t xml:space="preserve"> Examples </w:t>
      </w:r>
      <w:r w:rsidR="001E3B25">
        <w:t xml:space="preserve">could </w:t>
      </w:r>
      <w:r w:rsidR="00EC767A">
        <w:t>include any negative option fees a carrier may charge for insurance plans</w:t>
      </w:r>
      <w:r w:rsidR="00CB55F0">
        <w:t>, administrative fees</w:t>
      </w:r>
      <w:r w:rsidR="00EC767A">
        <w:t xml:space="preserve"> </w:t>
      </w:r>
      <w:r w:rsidR="001E3B25">
        <w:t>or</w:t>
      </w:r>
      <w:r w:rsidR="00EC767A">
        <w:t xml:space="preserve"> regulatory recovery fees.</w:t>
      </w:r>
    </w:p>
    <w:p w14:paraId="542F176E" w14:textId="77777777" w:rsidR="00EC767A" w:rsidRDefault="00EC767A" w:rsidP="00EC767A">
      <w:pPr>
        <w:pStyle w:val="ListParagraph"/>
        <w:ind w:left="0"/>
      </w:pPr>
    </w:p>
    <w:p w14:paraId="2DA2AE41" w14:textId="77777777" w:rsidR="00EC767A" w:rsidRDefault="00EC767A" w:rsidP="00EC767A">
      <w:pPr>
        <w:pStyle w:val="ListParagraph"/>
        <w:ind w:left="0"/>
      </w:pPr>
      <w:r>
        <w:rPr>
          <w:b/>
        </w:rPr>
        <w:t xml:space="preserve">One Time Fees: </w:t>
      </w:r>
      <w:r>
        <w:t>All non-recurring fees the provider charges in connection with the purchase of broadband service, e.g., installation fees or activation fees.</w:t>
      </w:r>
    </w:p>
    <w:p w14:paraId="5503BE8A" w14:textId="77777777" w:rsidR="00EC767A" w:rsidRDefault="00EC767A" w:rsidP="00EC767A">
      <w:pPr>
        <w:pStyle w:val="ListParagraph"/>
        <w:ind w:left="0"/>
      </w:pPr>
    </w:p>
    <w:p w14:paraId="2184091A" w14:textId="3710CA81" w:rsidR="00DD4095" w:rsidRPr="00DD4095" w:rsidRDefault="00DD4095" w:rsidP="00EC767A">
      <w:pPr>
        <w:pStyle w:val="ListParagraph"/>
        <w:ind w:left="0"/>
      </w:pPr>
      <w:r w:rsidRPr="00DD4095">
        <w:rPr>
          <w:b/>
        </w:rPr>
        <w:t xml:space="preserve">Service Contract term: </w:t>
      </w:r>
      <w:r>
        <w:t>If applicable, the length of the agreement will be shown</w:t>
      </w:r>
    </w:p>
    <w:p w14:paraId="615DFEE3" w14:textId="77777777" w:rsidR="00DD4095" w:rsidRDefault="00DD4095" w:rsidP="00EC767A">
      <w:pPr>
        <w:pStyle w:val="ListParagraph"/>
        <w:ind w:left="0"/>
      </w:pPr>
    </w:p>
    <w:p w14:paraId="0BB1A68D" w14:textId="77777777" w:rsidR="00EC767A" w:rsidRPr="001C274C" w:rsidRDefault="00EC767A" w:rsidP="00EC767A">
      <w:pPr>
        <w:pStyle w:val="ListParagraph"/>
        <w:ind w:left="0"/>
        <w:rPr>
          <w:b/>
        </w:rPr>
      </w:pPr>
      <w:r w:rsidRPr="001C274C">
        <w:rPr>
          <w:b/>
        </w:rPr>
        <w:t xml:space="preserve">Early Termination Fees: </w:t>
      </w:r>
      <w:r w:rsidRPr="001C274C">
        <w:t>(or cancel/disconnect fee)</w:t>
      </w:r>
      <w:r>
        <w:t xml:space="preserve"> Any fees a provider charges to cancel or end service s</w:t>
      </w:r>
      <w:r w:rsidRPr="001C274C">
        <w:t>hould be disclosed</w:t>
      </w:r>
      <w:r>
        <w:t>,</w:t>
      </w:r>
      <w:r w:rsidRPr="001C274C">
        <w:t xml:space="preserve"> if applicable</w:t>
      </w:r>
    </w:p>
    <w:p w14:paraId="4E4FA2EF" w14:textId="77777777" w:rsidR="008C5A7D" w:rsidRDefault="008C5A7D" w:rsidP="008C5A7D">
      <w:pPr>
        <w:pStyle w:val="ListParagraph"/>
        <w:ind w:left="0"/>
      </w:pPr>
    </w:p>
    <w:p w14:paraId="602A86D6" w14:textId="11155178" w:rsidR="008C5A7D" w:rsidRPr="007E18B5" w:rsidRDefault="00B75CC8" w:rsidP="008C5A7D">
      <w:pPr>
        <w:pStyle w:val="ListParagraph"/>
        <w:ind w:left="0"/>
      </w:pPr>
      <w:r w:rsidRPr="00B75CC8">
        <w:rPr>
          <w:b/>
        </w:rPr>
        <w:t xml:space="preserve">Bring </w:t>
      </w:r>
      <w:r w:rsidR="00E513FE">
        <w:rPr>
          <w:b/>
        </w:rPr>
        <w:t>Y</w:t>
      </w:r>
      <w:r w:rsidRPr="00B75CC8">
        <w:rPr>
          <w:b/>
        </w:rPr>
        <w:t xml:space="preserve">our </w:t>
      </w:r>
      <w:r w:rsidR="00E513FE">
        <w:rPr>
          <w:b/>
        </w:rPr>
        <w:t>Own D</w:t>
      </w:r>
      <w:r w:rsidRPr="00B75CC8">
        <w:rPr>
          <w:b/>
        </w:rPr>
        <w:t>evice:</w:t>
      </w:r>
      <w:r>
        <w:t xml:space="preserve"> Answer yes or no with </w:t>
      </w:r>
      <w:r w:rsidR="008C5A7D" w:rsidRPr="007E18B5">
        <w:t>a link to the policy applicable to consumer</w:t>
      </w:r>
      <w:r w:rsidR="00DD4095">
        <w:t xml:space="preserve">s that provide their own device and device compatibility requirements. </w:t>
      </w:r>
    </w:p>
    <w:p w14:paraId="5896EE12" w14:textId="77777777" w:rsidR="008C5A7D" w:rsidRDefault="008C5A7D" w:rsidP="00F879E1">
      <w:pPr>
        <w:pStyle w:val="ListParagraph"/>
        <w:ind w:left="0"/>
      </w:pPr>
    </w:p>
    <w:p w14:paraId="1073FE25" w14:textId="67DACBF5" w:rsidR="005D393E" w:rsidRDefault="00DD4095" w:rsidP="005A2746">
      <w:pPr>
        <w:pStyle w:val="ListParagraph"/>
        <w:ind w:left="0"/>
      </w:pPr>
      <w:r>
        <w:t xml:space="preserve">A link </w:t>
      </w:r>
      <w:r w:rsidR="00BC78DA">
        <w:t xml:space="preserve">to </w:t>
      </w:r>
      <w:r>
        <w:t>the provider’s customer agreement may also be included</w:t>
      </w:r>
    </w:p>
    <w:p w14:paraId="4CE99088" w14:textId="77777777" w:rsidR="005D393E" w:rsidRPr="007E18B5" w:rsidRDefault="005D393E" w:rsidP="00F879E1"/>
    <w:p w14:paraId="17529911" w14:textId="77777777" w:rsidR="003C3493" w:rsidRPr="007E18B5" w:rsidRDefault="003C3493" w:rsidP="00F879E1">
      <w:pPr>
        <w:pStyle w:val="ListParagraph"/>
        <w:ind w:left="0"/>
      </w:pPr>
      <w:r w:rsidRPr="007E18B5">
        <w:rPr>
          <w:u w:val="single"/>
        </w:rPr>
        <w:t>Performance</w:t>
      </w:r>
    </w:p>
    <w:p w14:paraId="56C6DB3F" w14:textId="77777777" w:rsidR="003C3493" w:rsidRPr="007E18B5" w:rsidRDefault="003C3493" w:rsidP="00F879E1">
      <w:pPr>
        <w:pStyle w:val="ListParagraph"/>
        <w:ind w:left="0"/>
      </w:pPr>
    </w:p>
    <w:p w14:paraId="03589247" w14:textId="77777777" w:rsidR="001C274C" w:rsidRDefault="001C274C" w:rsidP="00F879E1">
      <w:pPr>
        <w:pStyle w:val="ListParagraph"/>
        <w:ind w:left="0"/>
      </w:pPr>
      <w:r w:rsidRPr="007E18B5">
        <w:rPr>
          <w:i/>
        </w:rPr>
        <w:t>Fixed</w:t>
      </w:r>
      <w:r w:rsidRPr="007E18B5">
        <w:t xml:space="preserve"> </w:t>
      </w:r>
      <w:r>
        <w:rPr>
          <w:i/>
        </w:rPr>
        <w:t>BCD e</w:t>
      </w:r>
      <w:r w:rsidRPr="003738BD">
        <w:rPr>
          <w:i/>
        </w:rPr>
        <w:t>lements include</w:t>
      </w:r>
      <w:r>
        <w:rPr>
          <w:i/>
        </w:rPr>
        <w:t>:</w:t>
      </w:r>
      <w:r w:rsidR="003738BD">
        <w:tab/>
      </w:r>
    </w:p>
    <w:p w14:paraId="6620D259" w14:textId="77777777" w:rsidR="008C5A7D" w:rsidRDefault="008C5A7D" w:rsidP="00F879E1">
      <w:pPr>
        <w:pStyle w:val="ListParagraph"/>
        <w:ind w:left="0"/>
      </w:pPr>
    </w:p>
    <w:p w14:paraId="42F51EF7" w14:textId="07C8273A" w:rsidR="001C274C" w:rsidRPr="001C274C" w:rsidRDefault="001C274C" w:rsidP="001C274C">
      <w:pPr>
        <w:pStyle w:val="ListParagraph"/>
        <w:numPr>
          <w:ilvl w:val="0"/>
          <w:numId w:val="4"/>
        </w:numPr>
        <w:rPr>
          <w:b/>
        </w:rPr>
      </w:pPr>
      <w:r w:rsidRPr="001C274C">
        <w:rPr>
          <w:b/>
        </w:rPr>
        <w:t>Average Speed –</w:t>
      </w:r>
      <w:r w:rsidR="00E73705">
        <w:rPr>
          <w:b/>
        </w:rPr>
        <w:t xml:space="preserve"> </w:t>
      </w:r>
      <w:r w:rsidRPr="001C274C">
        <w:rPr>
          <w:b/>
        </w:rPr>
        <w:t>Downstream</w:t>
      </w:r>
      <w:r w:rsidR="00E73705">
        <w:rPr>
          <w:b/>
        </w:rPr>
        <w:t xml:space="preserve"> and Upstream</w:t>
      </w:r>
    </w:p>
    <w:p w14:paraId="431D3C82" w14:textId="7259FE1F" w:rsidR="001C274C" w:rsidRPr="001C274C" w:rsidRDefault="008D119F" w:rsidP="001C274C">
      <w:pPr>
        <w:pStyle w:val="ListParagraph"/>
        <w:numPr>
          <w:ilvl w:val="0"/>
          <w:numId w:val="4"/>
        </w:numPr>
        <w:rPr>
          <w:b/>
        </w:rPr>
      </w:pPr>
      <w:r>
        <w:rPr>
          <w:b/>
        </w:rPr>
        <w:t xml:space="preserve">Average </w:t>
      </w:r>
      <w:r w:rsidR="001C274C" w:rsidRPr="001C274C">
        <w:rPr>
          <w:b/>
        </w:rPr>
        <w:t>Latency</w:t>
      </w:r>
    </w:p>
    <w:p w14:paraId="4BF76E81" w14:textId="0176F1D6" w:rsidR="001C274C" w:rsidRDefault="008D119F" w:rsidP="001C274C">
      <w:pPr>
        <w:pStyle w:val="ListParagraph"/>
        <w:numPr>
          <w:ilvl w:val="0"/>
          <w:numId w:val="4"/>
        </w:numPr>
        <w:rPr>
          <w:b/>
        </w:rPr>
      </w:pPr>
      <w:r>
        <w:rPr>
          <w:b/>
        </w:rPr>
        <w:t xml:space="preserve">Average </w:t>
      </w:r>
      <w:r w:rsidR="001C274C" w:rsidRPr="001C274C">
        <w:rPr>
          <w:b/>
        </w:rPr>
        <w:t>Packet loss</w:t>
      </w:r>
      <w:r w:rsidR="003C3493" w:rsidRPr="001C274C">
        <w:rPr>
          <w:b/>
        </w:rPr>
        <w:t xml:space="preserve">  </w:t>
      </w:r>
    </w:p>
    <w:p w14:paraId="7DC998BD" w14:textId="77777777" w:rsidR="00DD436D" w:rsidRPr="001C274C" w:rsidRDefault="00DD436D" w:rsidP="00DD436D">
      <w:pPr>
        <w:pStyle w:val="ListParagraph"/>
        <w:rPr>
          <w:b/>
        </w:rPr>
      </w:pPr>
    </w:p>
    <w:p w14:paraId="7629B43C" w14:textId="37F6961E" w:rsidR="001C274C" w:rsidRDefault="003C3493" w:rsidP="00F879E1">
      <w:pPr>
        <w:pStyle w:val="ListParagraph"/>
        <w:ind w:left="0"/>
      </w:pPr>
      <w:r w:rsidRPr="007E18B5">
        <w:t xml:space="preserve">The information provided is intended to represent actual average performance of the service during peak usage periods.  Companies that participate in the Measuring Broadband America (MBA) program may include information derived from their MBA results.  Providers that do not participate in the MBA program may develop estimates using any method </w:t>
      </w:r>
      <w:r w:rsidR="005C23DD">
        <w:t>c</w:t>
      </w:r>
      <w:r w:rsidR="005C23DD" w:rsidRPr="007E18B5">
        <w:t>onsistent with the 2011 OGC/EB Advisory</w:t>
      </w:r>
      <w:r w:rsidR="005C23DD" w:rsidRPr="00BC78DA">
        <w:t xml:space="preserve"> </w:t>
      </w:r>
      <w:r w:rsidR="005C23DD">
        <w:t>or other guidance issued by the Commission</w:t>
      </w:r>
      <w:r w:rsidRPr="007E18B5">
        <w:t xml:space="preserve">, but the provider must include numbers for each of the four categories and may not simply provide a link to an online speed test.  DSL providers should include a statement indicating that distance from the central office may affect performance.  </w:t>
      </w:r>
    </w:p>
    <w:p w14:paraId="12F5E506" w14:textId="77777777" w:rsidR="001C274C" w:rsidRDefault="001C274C" w:rsidP="00F879E1">
      <w:pPr>
        <w:pStyle w:val="ListParagraph"/>
        <w:ind w:left="0"/>
      </w:pPr>
    </w:p>
    <w:p w14:paraId="25D5D0F6" w14:textId="17CD4D57" w:rsidR="003C3493" w:rsidRPr="007E18B5" w:rsidRDefault="001C274C" w:rsidP="00F879E1">
      <w:pPr>
        <w:pStyle w:val="ListParagraph"/>
        <w:ind w:left="0"/>
        <w:rPr>
          <w:i/>
        </w:rPr>
      </w:pPr>
      <w:r w:rsidRPr="001C274C">
        <w:rPr>
          <w:b/>
        </w:rPr>
        <w:t>Other Services on Network:</w:t>
      </w:r>
      <w:r>
        <w:t xml:space="preserve"> </w:t>
      </w:r>
      <w:r w:rsidR="003C3493" w:rsidRPr="007E18B5">
        <w:t xml:space="preserve">If applicable, providers also should include a statement explaining that the use of non-BIAS </w:t>
      </w:r>
      <w:r w:rsidR="005C23DD">
        <w:t xml:space="preserve">data </w:t>
      </w:r>
      <w:r w:rsidR="003C3493" w:rsidRPr="007E18B5">
        <w:t xml:space="preserve">services could </w:t>
      </w:r>
      <w:r w:rsidR="00BC78DA">
        <w:t>impact</w:t>
      </w:r>
      <w:r w:rsidR="003C3493" w:rsidRPr="007E18B5">
        <w:t xml:space="preserve"> broadband performance and a link to additional details.</w:t>
      </w:r>
      <w:r w:rsidR="00626FB5">
        <w:t xml:space="preserve"> </w:t>
      </w:r>
    </w:p>
    <w:p w14:paraId="16BE3560" w14:textId="77777777" w:rsidR="003C3493" w:rsidRPr="007E18B5" w:rsidRDefault="003C3493" w:rsidP="00F879E1">
      <w:pPr>
        <w:pStyle w:val="ListParagraph"/>
        <w:ind w:left="0"/>
        <w:rPr>
          <w:i/>
        </w:rPr>
      </w:pPr>
    </w:p>
    <w:p w14:paraId="4057AB8D" w14:textId="77777777" w:rsidR="006958E2" w:rsidRDefault="003C3493" w:rsidP="00F879E1">
      <w:pPr>
        <w:pStyle w:val="ListParagraph"/>
        <w:ind w:left="0"/>
      </w:pPr>
      <w:r w:rsidRPr="007E18B5">
        <w:rPr>
          <w:i/>
        </w:rPr>
        <w:t>Mobile</w:t>
      </w:r>
      <w:r w:rsidRPr="007E18B5">
        <w:t xml:space="preserve"> </w:t>
      </w:r>
      <w:r w:rsidR="006958E2">
        <w:rPr>
          <w:i/>
        </w:rPr>
        <w:t>BCD e</w:t>
      </w:r>
      <w:r w:rsidR="006958E2" w:rsidRPr="003738BD">
        <w:rPr>
          <w:i/>
        </w:rPr>
        <w:t>lements include</w:t>
      </w:r>
      <w:r w:rsidR="006958E2">
        <w:rPr>
          <w:i/>
        </w:rPr>
        <w:t>:</w:t>
      </w:r>
      <w:r w:rsidR="00626FB5">
        <w:t xml:space="preserve"> </w:t>
      </w:r>
      <w:r w:rsidR="003738BD">
        <w:tab/>
      </w:r>
    </w:p>
    <w:p w14:paraId="540B7180" w14:textId="77777777" w:rsidR="006958E2" w:rsidRDefault="006958E2" w:rsidP="00F879E1">
      <w:pPr>
        <w:pStyle w:val="ListParagraph"/>
        <w:ind w:left="0"/>
      </w:pPr>
    </w:p>
    <w:p w14:paraId="3139F746" w14:textId="5A5C500A" w:rsidR="006958E2" w:rsidRPr="0094245C" w:rsidRDefault="006958E2" w:rsidP="00F879E1">
      <w:pPr>
        <w:pStyle w:val="ListParagraph"/>
        <w:ind w:left="0"/>
        <w:rPr>
          <w:b/>
        </w:rPr>
      </w:pPr>
      <w:r w:rsidRPr="006958E2">
        <w:rPr>
          <w:b/>
        </w:rPr>
        <w:t xml:space="preserve">Typical Speed: </w:t>
      </w:r>
      <w:r w:rsidRPr="006958E2">
        <w:t>Downstream and upstream speed should</w:t>
      </w:r>
      <w:r>
        <w:rPr>
          <w:b/>
        </w:rPr>
        <w:t xml:space="preserve"> </w:t>
      </w:r>
      <w:r w:rsidRPr="006958E2">
        <w:t>be shown for</w:t>
      </w:r>
      <w:r w:rsidR="0094245C">
        <w:t xml:space="preserve"> the primary network technology (e.g. LTE, 4G) as well as other technologies that the plan operates on. </w:t>
      </w:r>
      <w:r w:rsidR="0094245C" w:rsidRPr="007E18B5">
        <w:t>Consistent with the 2011 OGC/EB Advisory</w:t>
      </w:r>
      <w:r w:rsidR="00BC78DA">
        <w:t xml:space="preserve"> and any other guidance issued by the Commission</w:t>
      </w:r>
      <w:r w:rsidR="0094245C" w:rsidRPr="007E18B5">
        <w:t>,</w:t>
      </w:r>
      <w:r w:rsidR="0094245C">
        <w:rPr>
          <w:b/>
        </w:rPr>
        <w:t xml:space="preserve"> </w:t>
      </w:r>
      <w:r w:rsidR="0094245C" w:rsidRPr="0094245C">
        <w:t>providers should</w:t>
      </w:r>
      <w:r w:rsidR="0094245C">
        <w:rPr>
          <w:b/>
        </w:rPr>
        <w:t xml:space="preserve"> </w:t>
      </w:r>
      <w:r w:rsidR="0094245C" w:rsidRPr="0094245C">
        <w:rPr>
          <w:rFonts w:eastAsia="Times New Roman"/>
          <w:color w:val="000000"/>
        </w:rPr>
        <w:t>identify typical peak period download and upload speeds based on results from the Measuring Broadband America program, internal testing, or any other measurement of past performance for this network technology that is consistent with FCC guidance</w:t>
      </w:r>
      <w:r w:rsidR="0094245C">
        <w:rPr>
          <w:rFonts w:eastAsia="Times New Roman"/>
          <w:color w:val="000000"/>
        </w:rPr>
        <w:t>.</w:t>
      </w:r>
    </w:p>
    <w:p w14:paraId="1EA21DB0" w14:textId="77777777" w:rsidR="0094245C" w:rsidRDefault="0094245C" w:rsidP="00F879E1">
      <w:pPr>
        <w:pStyle w:val="ListParagraph"/>
        <w:ind w:left="0"/>
      </w:pPr>
    </w:p>
    <w:p w14:paraId="034D6DF3" w14:textId="059F6AC0" w:rsidR="0094245C" w:rsidRPr="0094245C" w:rsidRDefault="0094245C" w:rsidP="00F879E1">
      <w:pPr>
        <w:pStyle w:val="ListParagraph"/>
        <w:ind w:left="0"/>
      </w:pPr>
      <w:r w:rsidRPr="0094245C">
        <w:rPr>
          <w:b/>
        </w:rPr>
        <w:t>Typical Latency</w:t>
      </w:r>
      <w:r>
        <w:rPr>
          <w:b/>
        </w:rPr>
        <w:t xml:space="preserve">: </w:t>
      </w:r>
      <w:r w:rsidRPr="0094245C">
        <w:t>Latency information should be provided for all network technologies included on the BCD</w:t>
      </w:r>
      <w:r>
        <w:t>.</w:t>
      </w:r>
      <w:r>
        <w:rPr>
          <w:b/>
        </w:rPr>
        <w:t xml:space="preserve"> </w:t>
      </w:r>
      <w:r w:rsidRPr="007E18B5">
        <w:t>Consistent with the 2011 OGC/EB Advisory</w:t>
      </w:r>
      <w:r w:rsidR="00BC78DA" w:rsidRPr="00BC78DA">
        <w:t xml:space="preserve"> </w:t>
      </w:r>
      <w:r w:rsidR="00BC78DA">
        <w:t>and any other guidance issued by the Commission</w:t>
      </w:r>
      <w:r w:rsidRPr="007E18B5">
        <w:t>,</w:t>
      </w:r>
      <w:r>
        <w:rPr>
          <w:b/>
        </w:rPr>
        <w:t xml:space="preserve"> </w:t>
      </w:r>
      <w:r w:rsidRPr="0094245C">
        <w:t>providers should</w:t>
      </w:r>
      <w:r w:rsidRPr="0094245C">
        <w:rPr>
          <w:rFonts w:eastAsia="Times New Roman"/>
          <w:color w:val="000000" w:themeColor="text1"/>
        </w:rPr>
        <w:t xml:space="preserve"> identify typical peak period latency based on results from the Measuring Broadband America program, internal testing, or any other measurement of past performance for this network technology that is consistent with FCC</w:t>
      </w:r>
      <w:r>
        <w:rPr>
          <w:rFonts w:eastAsia="Times New Roman"/>
          <w:color w:val="000000" w:themeColor="text1"/>
        </w:rPr>
        <w:t xml:space="preserve"> </w:t>
      </w:r>
      <w:r w:rsidRPr="0094245C">
        <w:rPr>
          <w:rFonts w:eastAsia="Times New Roman"/>
          <w:color w:val="000000"/>
        </w:rPr>
        <w:t>guidance</w:t>
      </w:r>
      <w:r>
        <w:rPr>
          <w:rFonts w:eastAsia="Times New Roman"/>
          <w:color w:val="000000"/>
        </w:rPr>
        <w:t>.</w:t>
      </w:r>
    </w:p>
    <w:p w14:paraId="6E78918A" w14:textId="77777777" w:rsidR="0094245C" w:rsidRDefault="0094245C" w:rsidP="00F879E1">
      <w:pPr>
        <w:pStyle w:val="ListParagraph"/>
        <w:ind w:left="0"/>
      </w:pPr>
    </w:p>
    <w:p w14:paraId="570745CF" w14:textId="2F6A9D17" w:rsidR="0094245C" w:rsidRDefault="0094245C" w:rsidP="00F879E1">
      <w:pPr>
        <w:pStyle w:val="ListParagraph"/>
        <w:ind w:left="0"/>
      </w:pPr>
      <w:r>
        <w:t xml:space="preserve">A link to the providers coverage map should be included. </w:t>
      </w:r>
    </w:p>
    <w:p w14:paraId="2A17C8CF" w14:textId="77777777" w:rsidR="0094245C" w:rsidRDefault="0094245C" w:rsidP="00F879E1">
      <w:pPr>
        <w:pStyle w:val="ListParagraph"/>
        <w:ind w:left="0"/>
      </w:pPr>
    </w:p>
    <w:p w14:paraId="1A126CB5" w14:textId="19ACDDFF" w:rsidR="003C3493" w:rsidRPr="007E18B5" w:rsidRDefault="0094245C" w:rsidP="00F879E1">
      <w:pPr>
        <w:pStyle w:val="ListParagraph"/>
        <w:ind w:left="0"/>
        <w:rPr>
          <w:i/>
        </w:rPr>
      </w:pPr>
      <w:r w:rsidRPr="001C274C">
        <w:rPr>
          <w:b/>
        </w:rPr>
        <w:t>Other Services on Network:</w:t>
      </w:r>
      <w:r>
        <w:rPr>
          <w:b/>
        </w:rPr>
        <w:t xml:space="preserve"> </w:t>
      </w:r>
      <w:r w:rsidR="003C3493" w:rsidRPr="007E18B5">
        <w:t xml:space="preserve">If applicable, mobile providers also should include a statement explaining that the use of non-BIAS </w:t>
      </w:r>
      <w:r w:rsidR="005C23DD">
        <w:t xml:space="preserve">data </w:t>
      </w:r>
      <w:r w:rsidR="003C3493" w:rsidRPr="007E18B5">
        <w:t xml:space="preserve">services could </w:t>
      </w:r>
      <w:r w:rsidR="00BC78DA">
        <w:t>impact</w:t>
      </w:r>
      <w:r w:rsidR="003C3493" w:rsidRPr="007E18B5">
        <w:t xml:space="preserve"> broadband performance and a link to additional details.</w:t>
      </w:r>
      <w:r w:rsidR="00626FB5">
        <w:t xml:space="preserve"> </w:t>
      </w:r>
    </w:p>
    <w:p w14:paraId="4FE12482" w14:textId="77777777" w:rsidR="003C3493" w:rsidRPr="007E18B5" w:rsidRDefault="003C3493" w:rsidP="00F879E1">
      <w:pPr>
        <w:pStyle w:val="ListParagraph"/>
        <w:ind w:left="0"/>
      </w:pPr>
    </w:p>
    <w:p w14:paraId="0B427761" w14:textId="77777777" w:rsidR="003C3493" w:rsidRPr="007E18B5" w:rsidRDefault="003C3493" w:rsidP="00F879E1">
      <w:r w:rsidRPr="007E18B5">
        <w:rPr>
          <w:u w:val="single"/>
        </w:rPr>
        <w:t>Network Management</w:t>
      </w:r>
    </w:p>
    <w:p w14:paraId="0FEA8A26" w14:textId="77777777" w:rsidR="003C3493" w:rsidRPr="007E18B5" w:rsidRDefault="003C3493" w:rsidP="00F879E1">
      <w:pPr>
        <w:pStyle w:val="ListParagraph"/>
        <w:ind w:left="0"/>
      </w:pPr>
    </w:p>
    <w:p w14:paraId="14329453" w14:textId="68EEA98F" w:rsidR="008C5A7D" w:rsidRDefault="001C274C" w:rsidP="00F879E1">
      <w:pPr>
        <w:pStyle w:val="ListParagraph"/>
        <w:ind w:left="0"/>
      </w:pPr>
      <w:r w:rsidRPr="007E18B5">
        <w:rPr>
          <w:i/>
        </w:rPr>
        <w:t>Fixed</w:t>
      </w:r>
      <w:r w:rsidRPr="007E18B5">
        <w:t xml:space="preserve"> </w:t>
      </w:r>
      <w:r w:rsidR="008C5A7D" w:rsidRPr="008C5A7D">
        <w:rPr>
          <w:i/>
        </w:rPr>
        <w:t>and Mobile</w:t>
      </w:r>
      <w:r w:rsidR="008C5A7D">
        <w:t xml:space="preserve"> </w:t>
      </w:r>
      <w:r>
        <w:rPr>
          <w:i/>
        </w:rPr>
        <w:t>BCD e</w:t>
      </w:r>
      <w:r w:rsidRPr="003738BD">
        <w:rPr>
          <w:i/>
        </w:rPr>
        <w:t>lements include</w:t>
      </w:r>
      <w:r>
        <w:rPr>
          <w:i/>
        </w:rPr>
        <w:t>:</w:t>
      </w:r>
      <w:r>
        <w:tab/>
      </w:r>
      <w:r w:rsidR="003C3493" w:rsidRPr="007E18B5">
        <w:tab/>
      </w:r>
    </w:p>
    <w:p w14:paraId="3A2A4527" w14:textId="7370EE85" w:rsidR="008C5A7D" w:rsidRDefault="003738BD" w:rsidP="00F879E1">
      <w:pPr>
        <w:pStyle w:val="ListParagraph"/>
        <w:ind w:left="0"/>
      </w:pPr>
      <w:r>
        <w:tab/>
      </w:r>
    </w:p>
    <w:p w14:paraId="516CA94D" w14:textId="45174942" w:rsidR="008C5A7D" w:rsidRDefault="008C5A7D" w:rsidP="00F879E1">
      <w:pPr>
        <w:pStyle w:val="ListParagraph"/>
        <w:ind w:left="0"/>
      </w:pPr>
      <w:r w:rsidRPr="008C5A7D">
        <w:rPr>
          <w:b/>
        </w:rPr>
        <w:t>A</w:t>
      </w:r>
      <w:r w:rsidR="003C3493" w:rsidRPr="008C5A7D">
        <w:rPr>
          <w:b/>
        </w:rPr>
        <w:t>pplication-specific</w:t>
      </w:r>
      <w:r w:rsidRPr="008C5A7D">
        <w:rPr>
          <w:b/>
        </w:rPr>
        <w:t xml:space="preserve"> </w:t>
      </w:r>
      <w:r w:rsidR="00E513FE">
        <w:rPr>
          <w:b/>
        </w:rPr>
        <w:t>N</w:t>
      </w:r>
      <w:r w:rsidRPr="008C5A7D">
        <w:rPr>
          <w:b/>
        </w:rPr>
        <w:t xml:space="preserve">etwork </w:t>
      </w:r>
      <w:r w:rsidR="00E513FE">
        <w:rPr>
          <w:b/>
        </w:rPr>
        <w:t>M</w:t>
      </w:r>
      <w:r w:rsidRPr="008C5A7D">
        <w:rPr>
          <w:b/>
        </w:rPr>
        <w:t xml:space="preserve">anagement </w:t>
      </w:r>
      <w:r w:rsidR="00E513FE">
        <w:rPr>
          <w:b/>
        </w:rPr>
        <w:t>P</w:t>
      </w:r>
      <w:r w:rsidRPr="008C5A7D">
        <w:rPr>
          <w:b/>
        </w:rPr>
        <w:t>ractices:</w:t>
      </w:r>
      <w:r>
        <w:t xml:space="preserve"> Answer yes or no and provide a link to a full explanation of those practices, if applicable.</w:t>
      </w:r>
    </w:p>
    <w:p w14:paraId="10F019F7" w14:textId="77777777" w:rsidR="008C5A7D" w:rsidRDefault="008C5A7D" w:rsidP="00F879E1">
      <w:pPr>
        <w:pStyle w:val="ListParagraph"/>
        <w:ind w:left="0"/>
      </w:pPr>
    </w:p>
    <w:p w14:paraId="0F8EC834" w14:textId="7970869E" w:rsidR="008C5A7D" w:rsidRDefault="008C5A7D" w:rsidP="008C5A7D">
      <w:pPr>
        <w:pStyle w:val="ListParagraph"/>
        <w:ind w:left="0"/>
      </w:pPr>
      <w:r w:rsidRPr="008C5A7D">
        <w:rPr>
          <w:b/>
        </w:rPr>
        <w:t>S</w:t>
      </w:r>
      <w:r w:rsidR="003C3493" w:rsidRPr="008C5A7D">
        <w:rPr>
          <w:b/>
        </w:rPr>
        <w:t xml:space="preserve">ubscriber-triggered </w:t>
      </w:r>
      <w:r w:rsidR="00E513FE">
        <w:rPr>
          <w:b/>
        </w:rPr>
        <w:t>N</w:t>
      </w:r>
      <w:r w:rsidR="003C3493" w:rsidRPr="008C5A7D">
        <w:rPr>
          <w:b/>
        </w:rPr>
        <w:t xml:space="preserve">etwork </w:t>
      </w:r>
      <w:r w:rsidR="00E513FE">
        <w:rPr>
          <w:b/>
        </w:rPr>
        <w:t>Management P</w:t>
      </w:r>
      <w:r w:rsidR="003C3493" w:rsidRPr="008C5A7D">
        <w:rPr>
          <w:b/>
        </w:rPr>
        <w:t>ractices</w:t>
      </w:r>
      <w:r>
        <w:t>:</w:t>
      </w:r>
      <w:r w:rsidR="003C3493" w:rsidRPr="007E18B5">
        <w:t xml:space="preserve"> </w:t>
      </w:r>
      <w:r>
        <w:t>Answer yes or no and provide a link to a full explanation of those practices, if applicable.</w:t>
      </w:r>
    </w:p>
    <w:p w14:paraId="587BEDDC" w14:textId="77777777" w:rsidR="008C5A7D" w:rsidRDefault="008C5A7D" w:rsidP="00F879E1">
      <w:pPr>
        <w:pStyle w:val="ListParagraph"/>
        <w:ind w:left="0"/>
      </w:pPr>
    </w:p>
    <w:p w14:paraId="6BE9555F" w14:textId="58305916" w:rsidR="008C5A7D" w:rsidRDefault="008C5A7D" w:rsidP="00F879E1">
      <w:pPr>
        <w:pStyle w:val="ListParagraph"/>
        <w:ind w:left="0"/>
      </w:pPr>
      <w:r>
        <w:t xml:space="preserve">A link to the provider’s detailed disclosure of network practices </w:t>
      </w:r>
    </w:p>
    <w:p w14:paraId="4E7B5143" w14:textId="77777777" w:rsidR="008C5A7D" w:rsidRDefault="008C5A7D" w:rsidP="00F879E1">
      <w:pPr>
        <w:pStyle w:val="ListParagraph"/>
        <w:ind w:left="0"/>
      </w:pPr>
    </w:p>
    <w:p w14:paraId="62854B02" w14:textId="5F1F460B" w:rsidR="008C5A7D" w:rsidRDefault="008C5A7D" w:rsidP="00F879E1">
      <w:pPr>
        <w:pStyle w:val="ListParagraph"/>
        <w:ind w:left="0"/>
      </w:pPr>
      <w:r w:rsidRPr="008C5A7D">
        <w:rPr>
          <w:b/>
        </w:rPr>
        <w:t>Privacy Policy:</w:t>
      </w:r>
      <w:r>
        <w:t xml:space="preserve"> </w:t>
      </w:r>
      <w:r w:rsidR="003C3493" w:rsidRPr="007E18B5">
        <w:t xml:space="preserve">Links should be provided to the provider’s privacy policy </w:t>
      </w:r>
    </w:p>
    <w:p w14:paraId="1D519DCB" w14:textId="77777777" w:rsidR="008C5A7D" w:rsidRDefault="008C5A7D" w:rsidP="00F879E1">
      <w:pPr>
        <w:pStyle w:val="ListParagraph"/>
        <w:ind w:left="0"/>
      </w:pPr>
    </w:p>
    <w:p w14:paraId="33C29957" w14:textId="2EC27191" w:rsidR="003C3493" w:rsidRPr="007E18B5" w:rsidRDefault="008C5A7D" w:rsidP="00F879E1">
      <w:pPr>
        <w:pStyle w:val="ListParagraph"/>
        <w:ind w:left="0"/>
        <w:rPr>
          <w:i/>
        </w:rPr>
      </w:pPr>
      <w:r>
        <w:rPr>
          <w:b/>
        </w:rPr>
        <w:t>Complaint/Inquiries</w:t>
      </w:r>
      <w:r>
        <w:t>:</w:t>
      </w:r>
      <w:r w:rsidR="003C3493" w:rsidRPr="007E18B5">
        <w:t xml:space="preserve"> </w:t>
      </w:r>
      <w:r w:rsidR="008D119F">
        <w:t>Links</w:t>
      </w:r>
      <w:r w:rsidR="003C3493" w:rsidRPr="007E18B5">
        <w:t xml:space="preserve"> and phone numbers for the provider’s customer service center and the FCC’s complaint center.</w:t>
      </w:r>
    </w:p>
    <w:p w14:paraId="4B285AE9" w14:textId="77777777" w:rsidR="008D119F" w:rsidRDefault="008D119F" w:rsidP="00F879E1">
      <w:pPr>
        <w:pStyle w:val="ListParagraph"/>
        <w:ind w:left="0"/>
      </w:pPr>
    </w:p>
    <w:p w14:paraId="3CF1F275" w14:textId="6F137304" w:rsidR="008C5A7D" w:rsidRDefault="008D119F" w:rsidP="00F879E1">
      <w:pPr>
        <w:pStyle w:val="ListParagraph"/>
        <w:ind w:left="0"/>
      </w:pPr>
      <w:r>
        <w:t>Link to the FCC site providing definitions for terms on the BCDs and other relevant open Internet information.</w:t>
      </w:r>
    </w:p>
    <w:p w14:paraId="39A7BF74" w14:textId="77777777" w:rsidR="005D393E" w:rsidRDefault="005D393E" w:rsidP="00075E5F">
      <w:pPr>
        <w:rPr>
          <w:b/>
          <w:u w:val="single"/>
        </w:rPr>
      </w:pPr>
    </w:p>
    <w:p w14:paraId="30FD7869" w14:textId="632F777C" w:rsidR="00075E5F" w:rsidRPr="007E18B5" w:rsidRDefault="0048486F" w:rsidP="00075E5F">
      <w:pPr>
        <w:rPr>
          <w:b/>
          <w:u w:val="single"/>
        </w:rPr>
      </w:pPr>
      <w:r>
        <w:rPr>
          <w:b/>
          <w:u w:val="single"/>
        </w:rPr>
        <w:t xml:space="preserve">Section IV. </w:t>
      </w:r>
      <w:r w:rsidR="007E4855">
        <w:rPr>
          <w:b/>
          <w:u w:val="single"/>
        </w:rPr>
        <w:t>Design of the Disclosures</w:t>
      </w:r>
    </w:p>
    <w:p w14:paraId="07010F1E" w14:textId="77777777" w:rsidR="00075E5F" w:rsidRPr="007E18B5" w:rsidRDefault="00075E5F" w:rsidP="00075E5F">
      <w:pPr>
        <w:rPr>
          <w:b/>
          <w:u w:val="single"/>
        </w:rPr>
      </w:pPr>
    </w:p>
    <w:p w14:paraId="0461DEAA" w14:textId="38712C48" w:rsidR="005D393E" w:rsidRPr="00D23E08" w:rsidRDefault="00075E5F" w:rsidP="005A2746">
      <w:r w:rsidRPr="007E18B5">
        <w:t xml:space="preserve">In addition to identifying specific information that should be included to qualify for the safe harbor, the </w:t>
      </w:r>
      <w:r w:rsidR="00FF0347">
        <w:t>Task Force</w:t>
      </w:r>
      <w:r w:rsidRPr="007E18B5">
        <w:t xml:space="preserve"> also discussed how such information should be presented to consumers.  The primary focus of these discussions was how such disclosure</w:t>
      </w:r>
      <w:r w:rsidR="00CB55F0">
        <w:t>s</w:t>
      </w:r>
      <w:r w:rsidRPr="007E18B5">
        <w:t xml:space="preserve"> should be presented on company websites because that is the primary means by which consumers are likely</w:t>
      </w:r>
      <w:r w:rsidR="00240921">
        <w:t xml:space="preserve"> to compare competing offerings</w:t>
      </w:r>
      <w:r w:rsidRPr="007E18B5">
        <w:t>.</w:t>
      </w:r>
      <w:r w:rsidR="00240921">
        <w:t xml:space="preserve"> Hard copies should be made available </w:t>
      </w:r>
      <w:r w:rsidR="00987634">
        <w:t>in retail and other consumer facing locations.</w:t>
      </w:r>
      <w:r w:rsidRPr="007E18B5">
        <w:t xml:space="preserve">  The </w:t>
      </w:r>
      <w:r w:rsidR="00FF0347">
        <w:t>Task Force</w:t>
      </w:r>
      <w:r w:rsidRPr="007E18B5">
        <w:t xml:space="preserve"> also consulted with representatives of the Consumer Financial Protection Bureau with expertise in the presentation of consumer disclosures in the financial industry (e.g., credit cards, mortgages, prepaid cards) to gain insight into issues s</w:t>
      </w:r>
      <w:r w:rsidR="00B428B5">
        <w:t>uch as formatting and text size.</w:t>
      </w:r>
      <w:r w:rsidR="00D23E08">
        <w:t xml:space="preserve"> </w:t>
      </w:r>
      <w:r w:rsidR="00D23E08">
        <w:rPr>
          <w:lang w:eastAsia="ja-JP"/>
        </w:rPr>
        <w:t>In</w:t>
      </w:r>
      <w:r w:rsidR="00D23E08" w:rsidRPr="00D23E08">
        <w:rPr>
          <w:lang w:eastAsia="ja-JP"/>
        </w:rPr>
        <w:t xml:space="preserve"> the attached disclosure documents</w:t>
      </w:r>
      <w:r w:rsidR="00D23E08">
        <w:rPr>
          <w:lang w:eastAsia="ja-JP"/>
        </w:rPr>
        <w:t>,</w:t>
      </w:r>
      <w:r w:rsidR="00D23E08" w:rsidRPr="00D23E08">
        <w:rPr>
          <w:lang w:eastAsia="ja-JP"/>
        </w:rPr>
        <w:t xml:space="preserve"> </w:t>
      </w:r>
      <w:r w:rsidR="00D23E08">
        <w:rPr>
          <w:lang w:eastAsia="ja-JP"/>
        </w:rPr>
        <w:t>w</w:t>
      </w:r>
      <w:r w:rsidR="00D23E08" w:rsidRPr="00D23E08">
        <w:rPr>
          <w:lang w:eastAsia="ja-JP"/>
        </w:rPr>
        <w:t>e incorporated recommendations from the CFPB, including use of a simple typeface, legible font size, and ample white space. While we do not prescribe specific format requirements, we expect participating providers to follow these general principles in designing the Broadband Consumer Disclosure.</w:t>
      </w:r>
    </w:p>
    <w:p w14:paraId="4D02EDFB" w14:textId="2F07CCE1" w:rsidR="008947B1" w:rsidRPr="007E18B5" w:rsidRDefault="0048486F" w:rsidP="008947B1">
      <w:pPr>
        <w:pStyle w:val="NormalWeb"/>
        <w:rPr>
          <w:rFonts w:ascii="Times New Roman" w:hAnsi="Times New Roman"/>
          <w:sz w:val="24"/>
          <w:szCs w:val="24"/>
          <w:u w:val="single"/>
        </w:rPr>
      </w:pPr>
      <w:r>
        <w:rPr>
          <w:rFonts w:ascii="Times New Roman" w:hAnsi="Times New Roman"/>
          <w:b/>
          <w:sz w:val="24"/>
          <w:szCs w:val="24"/>
          <w:u w:val="single"/>
        </w:rPr>
        <w:t xml:space="preserve">Section V. </w:t>
      </w:r>
      <w:r w:rsidR="008947B1" w:rsidRPr="007E18B5">
        <w:rPr>
          <w:rFonts w:ascii="Times New Roman" w:hAnsi="Times New Roman"/>
          <w:b/>
          <w:sz w:val="24"/>
          <w:szCs w:val="24"/>
          <w:u w:val="single"/>
        </w:rPr>
        <w:t>Disability Access</w:t>
      </w:r>
    </w:p>
    <w:p w14:paraId="747B7F1F" w14:textId="7CAA89C2" w:rsidR="005C23DD" w:rsidRPr="005C23DD" w:rsidRDefault="005C23DD" w:rsidP="005C23DD">
      <w:pPr>
        <w:widowControl w:val="0"/>
        <w:autoSpaceDE w:val="0"/>
        <w:autoSpaceDN w:val="0"/>
        <w:adjustRightInd w:val="0"/>
        <w:rPr>
          <w:lang w:eastAsia="ja-JP"/>
        </w:rPr>
      </w:pPr>
      <w:r w:rsidRPr="005C23DD">
        <w:rPr>
          <w:lang w:eastAsia="ja-JP"/>
        </w:rPr>
        <w:t>To be eligible for the safe harbor, the OIO requires the Broadband Consumer Disclosure to be accessible to people with disabilities. Participating providers can best ensure accessibility to printed and online information by relying on well-established legal requirements included in the Americans with Disabilities Act and by following the guidance developed by the  Web Accessibility Initiative</w:t>
      </w:r>
      <w:r>
        <w:rPr>
          <w:lang w:eastAsia="ja-JP"/>
        </w:rPr>
        <w:t>, as described below</w:t>
      </w:r>
      <w:r w:rsidRPr="005C23DD">
        <w:rPr>
          <w:lang w:eastAsia="ja-JP"/>
        </w:rPr>
        <w:t>. Relying on these approaches provides the best likelihood of ensuring that consumers with disabilities will be able to access the information about broadband services.</w:t>
      </w:r>
    </w:p>
    <w:p w14:paraId="40C8AFE3" w14:textId="77777777" w:rsidR="005C23DD" w:rsidRPr="005C23DD" w:rsidRDefault="005C23DD" w:rsidP="005C23DD">
      <w:pPr>
        <w:widowControl w:val="0"/>
        <w:autoSpaceDE w:val="0"/>
        <w:autoSpaceDN w:val="0"/>
        <w:adjustRightInd w:val="0"/>
        <w:rPr>
          <w:lang w:eastAsia="ja-JP"/>
        </w:rPr>
      </w:pPr>
      <w:r w:rsidRPr="005C23DD">
        <w:rPr>
          <w:lang w:eastAsia="ja-JP"/>
        </w:rPr>
        <w:t> </w:t>
      </w:r>
    </w:p>
    <w:p w14:paraId="6E107965" w14:textId="77777777" w:rsidR="005C23DD" w:rsidRPr="005C23DD" w:rsidRDefault="005C23DD" w:rsidP="005C23DD">
      <w:pPr>
        <w:widowControl w:val="0"/>
        <w:autoSpaceDE w:val="0"/>
        <w:autoSpaceDN w:val="0"/>
        <w:adjustRightInd w:val="0"/>
        <w:rPr>
          <w:lang w:eastAsia="ja-JP"/>
        </w:rPr>
      </w:pPr>
      <w:r w:rsidRPr="005C23DD">
        <w:rPr>
          <w:lang w:eastAsia="ja-JP"/>
        </w:rPr>
        <w:t>For information distributed in print:</w:t>
      </w:r>
    </w:p>
    <w:p w14:paraId="090E010B" w14:textId="77777777" w:rsidR="005C23DD" w:rsidRPr="005C23DD" w:rsidRDefault="005C23DD" w:rsidP="005C23DD">
      <w:pPr>
        <w:widowControl w:val="0"/>
        <w:autoSpaceDE w:val="0"/>
        <w:autoSpaceDN w:val="0"/>
        <w:adjustRightInd w:val="0"/>
        <w:rPr>
          <w:lang w:eastAsia="ja-JP"/>
        </w:rPr>
      </w:pPr>
      <w:r w:rsidRPr="005C23DD">
        <w:rPr>
          <w:lang w:eastAsia="ja-JP"/>
        </w:rPr>
        <w:t> </w:t>
      </w:r>
    </w:p>
    <w:p w14:paraId="3890BC42" w14:textId="0498ED45" w:rsidR="005C23DD" w:rsidRDefault="005554C9" w:rsidP="005C23DD">
      <w:pPr>
        <w:widowControl w:val="0"/>
        <w:autoSpaceDE w:val="0"/>
        <w:autoSpaceDN w:val="0"/>
        <w:adjustRightInd w:val="0"/>
        <w:ind w:left="960"/>
        <w:rPr>
          <w:lang w:eastAsia="ja-JP"/>
        </w:rPr>
      </w:pPr>
      <w:r w:rsidRPr="005C23DD">
        <w:rPr>
          <w:lang w:eastAsia="ja-JP"/>
        </w:rPr>
        <w:t xml:space="preserve">The Americans with Disabilities Act (ADA) requires public accommodations to provide auxiliary aids and services when necessary to ensure effective communication.  When providing the Broadband Consumer Disclosure in print form at retail locations, participating broadband providers are expected to </w:t>
      </w:r>
      <w:r>
        <w:rPr>
          <w:lang w:eastAsia="ja-JP"/>
        </w:rPr>
        <w:t xml:space="preserve">follow </w:t>
      </w:r>
      <w:r w:rsidRPr="005C23DD">
        <w:rPr>
          <w:lang w:eastAsia="ja-JP"/>
        </w:rPr>
        <w:t xml:space="preserve">the ADA and associated guidance provided by the Department of Justice, including giving primary consideration to the individual’s choice of </w:t>
      </w:r>
      <w:r>
        <w:rPr>
          <w:lang w:eastAsia="ja-JP"/>
        </w:rPr>
        <w:t>alternate format, including “q</w:t>
      </w:r>
      <w:r w:rsidRPr="005C23DD">
        <w:rPr>
          <w:lang w:eastAsia="ja-JP"/>
        </w:rPr>
        <w:t>ualified readers, taped texts, audio recordings, Brailled materials, large print materials, or other effective methods of making visually delivered materials available to individuals with visual impairments.”</w:t>
      </w:r>
      <w:r>
        <w:rPr>
          <w:lang w:eastAsia="ja-JP"/>
        </w:rPr>
        <w:t xml:space="preserve"> </w:t>
      </w:r>
      <w:r w:rsidRPr="005C23DD">
        <w:rPr>
          <w:lang w:eastAsia="ja-JP"/>
        </w:rPr>
        <w:t>28 CFR Sec.</w:t>
      </w:r>
      <w:r>
        <w:rPr>
          <w:lang w:eastAsia="ja-JP"/>
        </w:rPr>
        <w:t xml:space="preserve"> </w:t>
      </w:r>
      <w:r w:rsidRPr="005C23DD">
        <w:rPr>
          <w:lang w:eastAsia="ja-JP"/>
        </w:rPr>
        <w:t>36.303</w:t>
      </w:r>
      <w:r>
        <w:rPr>
          <w:lang w:eastAsia="ja-JP"/>
        </w:rPr>
        <w:t xml:space="preserve">, at </w:t>
      </w:r>
      <w:hyperlink r:id="rId8" w:history="1">
        <w:r w:rsidRPr="005C23DD">
          <w:rPr>
            <w:color w:val="0B4CB4"/>
            <w:lang w:eastAsia="ja-JP"/>
          </w:rPr>
          <w:t>http://www.ada.gov/reg3a.html</w:t>
        </w:r>
      </w:hyperlink>
      <w:r w:rsidRPr="003B672F">
        <w:rPr>
          <w:lang w:eastAsia="ja-JP"/>
        </w:rPr>
        <w:t xml:space="preserve">.  A provider may deliver printed materials to a consumer by e-mail </w:t>
      </w:r>
      <w:r>
        <w:rPr>
          <w:lang w:eastAsia="ja-JP"/>
        </w:rPr>
        <w:t>if</w:t>
      </w:r>
      <w:r w:rsidRPr="003B672F">
        <w:rPr>
          <w:lang w:eastAsia="ja-JP"/>
        </w:rPr>
        <w:t xml:space="preserve"> such an approach is acceptable to the consumer.</w:t>
      </w:r>
      <w:r w:rsidR="005C23DD" w:rsidRPr="005C23DD">
        <w:rPr>
          <w:lang w:eastAsia="ja-JP"/>
        </w:rPr>
        <w:t> </w:t>
      </w:r>
    </w:p>
    <w:p w14:paraId="158FA369" w14:textId="77777777" w:rsidR="005554C9" w:rsidRPr="005C23DD" w:rsidRDefault="005554C9" w:rsidP="005C23DD">
      <w:pPr>
        <w:widowControl w:val="0"/>
        <w:autoSpaceDE w:val="0"/>
        <w:autoSpaceDN w:val="0"/>
        <w:adjustRightInd w:val="0"/>
        <w:ind w:left="960"/>
        <w:rPr>
          <w:lang w:eastAsia="ja-JP"/>
        </w:rPr>
      </w:pPr>
    </w:p>
    <w:p w14:paraId="23930C11" w14:textId="2FED777E" w:rsidR="005C23DD" w:rsidRPr="005C23DD" w:rsidRDefault="005C23DD" w:rsidP="005C23DD">
      <w:pPr>
        <w:widowControl w:val="0"/>
        <w:autoSpaceDE w:val="0"/>
        <w:autoSpaceDN w:val="0"/>
        <w:adjustRightInd w:val="0"/>
        <w:ind w:left="960"/>
        <w:rPr>
          <w:lang w:eastAsia="ja-JP"/>
        </w:rPr>
      </w:pPr>
      <w:r w:rsidRPr="005C23DD">
        <w:rPr>
          <w:lang w:eastAsia="ja-JP"/>
        </w:rPr>
        <w:t xml:space="preserve">The American Printing House for the Blind’s (APH) print guidelines are the most concise and relevant set of recommendations for readable design: </w:t>
      </w:r>
      <w:hyperlink r:id="rId9" w:history="1">
        <w:r w:rsidRPr="005C23DD">
          <w:rPr>
            <w:color w:val="0B4CB4"/>
            <w:lang w:eastAsia="ja-JP"/>
          </w:rPr>
          <w:t>http://www.aph.org/research/design-guidelines/</w:t>
        </w:r>
      </w:hyperlink>
      <w:r w:rsidRPr="005C23DD">
        <w:rPr>
          <w:lang w:eastAsia="ja-JP"/>
        </w:rPr>
        <w:t>  The APH Guidelines cover the effective usage of whitespace, heading elements, tables, and more.</w:t>
      </w:r>
    </w:p>
    <w:p w14:paraId="5B42A4B7" w14:textId="77777777" w:rsidR="005C23DD" w:rsidRPr="005C23DD" w:rsidRDefault="005C23DD" w:rsidP="005C23DD">
      <w:pPr>
        <w:widowControl w:val="0"/>
        <w:autoSpaceDE w:val="0"/>
        <w:autoSpaceDN w:val="0"/>
        <w:adjustRightInd w:val="0"/>
        <w:ind w:left="960"/>
        <w:rPr>
          <w:lang w:eastAsia="ja-JP"/>
        </w:rPr>
      </w:pPr>
      <w:r w:rsidRPr="005C23DD">
        <w:rPr>
          <w:lang w:eastAsia="ja-JP"/>
        </w:rPr>
        <w:t> </w:t>
      </w:r>
    </w:p>
    <w:p w14:paraId="26B5F7B1" w14:textId="7D4D8961" w:rsidR="005C23DD" w:rsidRPr="005C23DD" w:rsidRDefault="005C23DD" w:rsidP="005C23DD">
      <w:pPr>
        <w:widowControl w:val="0"/>
        <w:autoSpaceDE w:val="0"/>
        <w:autoSpaceDN w:val="0"/>
        <w:adjustRightInd w:val="0"/>
        <w:ind w:left="960"/>
        <w:rPr>
          <w:lang w:eastAsia="ja-JP"/>
        </w:rPr>
      </w:pPr>
      <w:r w:rsidRPr="005C23DD">
        <w:rPr>
          <w:lang w:eastAsia="ja-JP"/>
        </w:rPr>
        <w:t xml:space="preserve">The National Federation of the Blind has helpful information about preparing documents in braille at </w:t>
      </w:r>
      <w:hyperlink r:id="rId10" w:history="1">
        <w:r w:rsidRPr="005C23DD">
          <w:rPr>
            <w:color w:val="0B4CB4"/>
            <w:lang w:eastAsia="ja-JP"/>
          </w:rPr>
          <w:t>https://nfb.org/braille-resources</w:t>
        </w:r>
      </w:hyperlink>
    </w:p>
    <w:p w14:paraId="2DEC1AC4" w14:textId="77777777" w:rsidR="005C23DD" w:rsidRPr="005C23DD" w:rsidRDefault="005C23DD" w:rsidP="005C23DD">
      <w:pPr>
        <w:widowControl w:val="0"/>
        <w:autoSpaceDE w:val="0"/>
        <w:autoSpaceDN w:val="0"/>
        <w:adjustRightInd w:val="0"/>
        <w:spacing w:after="320"/>
        <w:rPr>
          <w:lang w:eastAsia="ja-JP"/>
        </w:rPr>
      </w:pPr>
      <w:r w:rsidRPr="005C23DD">
        <w:rPr>
          <w:lang w:eastAsia="ja-JP"/>
        </w:rPr>
        <w:t> </w:t>
      </w:r>
    </w:p>
    <w:p w14:paraId="55CBA665" w14:textId="77777777" w:rsidR="005C23DD" w:rsidRPr="005C23DD" w:rsidRDefault="005C23DD" w:rsidP="005C23DD">
      <w:pPr>
        <w:widowControl w:val="0"/>
        <w:autoSpaceDE w:val="0"/>
        <w:autoSpaceDN w:val="0"/>
        <w:adjustRightInd w:val="0"/>
        <w:rPr>
          <w:lang w:eastAsia="ja-JP"/>
        </w:rPr>
      </w:pPr>
      <w:r w:rsidRPr="005C23DD">
        <w:rPr>
          <w:lang w:eastAsia="ja-JP"/>
        </w:rPr>
        <w:t>For Web-based Information:</w:t>
      </w:r>
    </w:p>
    <w:p w14:paraId="00BB5EB1" w14:textId="77777777" w:rsidR="005C23DD" w:rsidRPr="005C23DD" w:rsidRDefault="005C23DD" w:rsidP="005C23DD">
      <w:pPr>
        <w:widowControl w:val="0"/>
        <w:autoSpaceDE w:val="0"/>
        <w:autoSpaceDN w:val="0"/>
        <w:adjustRightInd w:val="0"/>
        <w:rPr>
          <w:lang w:eastAsia="ja-JP"/>
        </w:rPr>
      </w:pPr>
      <w:r w:rsidRPr="005C23DD">
        <w:rPr>
          <w:lang w:eastAsia="ja-JP"/>
        </w:rPr>
        <w:t> </w:t>
      </w:r>
    </w:p>
    <w:p w14:paraId="2F2C524A" w14:textId="77777777" w:rsidR="005C23DD" w:rsidRPr="005C23DD" w:rsidRDefault="005C23DD" w:rsidP="005C23DD">
      <w:pPr>
        <w:widowControl w:val="0"/>
        <w:autoSpaceDE w:val="0"/>
        <w:autoSpaceDN w:val="0"/>
        <w:adjustRightInd w:val="0"/>
        <w:ind w:left="960"/>
        <w:rPr>
          <w:lang w:eastAsia="ja-JP"/>
        </w:rPr>
      </w:pPr>
      <w:r w:rsidRPr="005C23DD">
        <w:rPr>
          <w:lang w:eastAsia="ja-JP"/>
        </w:rPr>
        <w:t>The World Wide Web Consortium (W3C) has established the Web Content Accessibility Guidelines (WCAG 2.0). These guidelines are intended to serve as a standard for web content accessibility that meets the needs of individuals, organizations, and governments internationally. Participating providers are strongly encouraged to consult WCAG 2.0 for guidance on presentation of the Broadband Consumer Disclosure on their web sites.</w:t>
      </w:r>
    </w:p>
    <w:p w14:paraId="525DBE3E" w14:textId="77777777" w:rsidR="005C23DD" w:rsidRPr="005C23DD" w:rsidRDefault="005C23DD" w:rsidP="005C23DD">
      <w:pPr>
        <w:widowControl w:val="0"/>
        <w:autoSpaceDE w:val="0"/>
        <w:autoSpaceDN w:val="0"/>
        <w:adjustRightInd w:val="0"/>
        <w:ind w:left="960"/>
        <w:rPr>
          <w:lang w:eastAsia="ja-JP"/>
        </w:rPr>
      </w:pPr>
      <w:r w:rsidRPr="005C23DD">
        <w:rPr>
          <w:lang w:eastAsia="ja-JP"/>
        </w:rPr>
        <w:t> </w:t>
      </w:r>
    </w:p>
    <w:p w14:paraId="7158424D" w14:textId="0A8DF5AC" w:rsidR="005C23DD" w:rsidRPr="005C23DD" w:rsidRDefault="005C23DD" w:rsidP="005C23DD">
      <w:pPr>
        <w:widowControl w:val="0"/>
        <w:autoSpaceDE w:val="0"/>
        <w:autoSpaceDN w:val="0"/>
        <w:adjustRightInd w:val="0"/>
        <w:ind w:left="960"/>
        <w:rPr>
          <w:lang w:eastAsia="ja-JP"/>
        </w:rPr>
      </w:pPr>
      <w:r w:rsidRPr="005C23DD">
        <w:rPr>
          <w:lang w:eastAsia="ja-JP"/>
        </w:rPr>
        <w:t xml:space="preserve">For non-interactive content, the most relevant guidelines fall under the principles 1. Perceivable and 2. Operable. The WCAG overview is found here: </w:t>
      </w:r>
      <w:hyperlink r:id="rId11" w:history="1">
        <w:r w:rsidRPr="005C23DD">
          <w:rPr>
            <w:color w:val="0B4CB4"/>
            <w:lang w:eastAsia="ja-JP"/>
          </w:rPr>
          <w:t>http://www.w3.org/TR/WCAG20/</w:t>
        </w:r>
      </w:hyperlink>
    </w:p>
    <w:p w14:paraId="61F46A2C" w14:textId="77777777" w:rsidR="005C23DD" w:rsidRPr="005C23DD" w:rsidRDefault="005C23DD" w:rsidP="005C23DD">
      <w:pPr>
        <w:widowControl w:val="0"/>
        <w:autoSpaceDE w:val="0"/>
        <w:autoSpaceDN w:val="0"/>
        <w:adjustRightInd w:val="0"/>
        <w:ind w:left="960"/>
        <w:rPr>
          <w:lang w:eastAsia="ja-JP"/>
        </w:rPr>
      </w:pPr>
      <w:r w:rsidRPr="005C23DD">
        <w:rPr>
          <w:lang w:eastAsia="ja-JP"/>
        </w:rPr>
        <w:t> </w:t>
      </w:r>
    </w:p>
    <w:p w14:paraId="789A10E4" w14:textId="77777777" w:rsidR="005C23DD" w:rsidRPr="005C23DD" w:rsidRDefault="005C23DD" w:rsidP="005C23DD">
      <w:pPr>
        <w:widowControl w:val="0"/>
        <w:autoSpaceDE w:val="0"/>
        <w:autoSpaceDN w:val="0"/>
        <w:adjustRightInd w:val="0"/>
        <w:ind w:left="960"/>
        <w:rPr>
          <w:lang w:eastAsia="ja-JP"/>
        </w:rPr>
      </w:pPr>
      <w:r w:rsidRPr="005C23DD">
        <w:rPr>
          <w:lang w:eastAsia="ja-JP"/>
        </w:rPr>
        <w:t>The following guidelines are specifically relevant in roughly descending priority:</w:t>
      </w:r>
    </w:p>
    <w:p w14:paraId="49870525" w14:textId="77777777" w:rsidR="005C23DD" w:rsidRPr="005C23DD" w:rsidRDefault="005C23DD" w:rsidP="005C23DD">
      <w:pPr>
        <w:widowControl w:val="0"/>
        <w:autoSpaceDE w:val="0"/>
        <w:autoSpaceDN w:val="0"/>
        <w:adjustRightInd w:val="0"/>
        <w:ind w:left="960"/>
        <w:rPr>
          <w:lang w:eastAsia="ja-JP"/>
        </w:rPr>
      </w:pPr>
      <w:r w:rsidRPr="005C23DD">
        <w:rPr>
          <w:lang w:eastAsia="ja-JP"/>
        </w:rPr>
        <w:t> </w:t>
      </w:r>
    </w:p>
    <w:p w14:paraId="5BDD4245" w14:textId="77777777" w:rsidR="005C23DD" w:rsidRPr="005C23DD" w:rsidRDefault="005C23DD" w:rsidP="005C23DD">
      <w:pPr>
        <w:widowControl w:val="0"/>
        <w:autoSpaceDE w:val="0"/>
        <w:autoSpaceDN w:val="0"/>
        <w:adjustRightInd w:val="0"/>
        <w:ind w:left="960"/>
        <w:rPr>
          <w:lang w:eastAsia="ja-JP"/>
        </w:rPr>
      </w:pPr>
      <w:r w:rsidRPr="005C23DD">
        <w:rPr>
          <w:lang w:eastAsia="ja-JP"/>
        </w:rPr>
        <w:t>Guideline 1.1 Text Alternatives: Provide text alternatives for any non-text content so that it can be changed into other forms people need, such as large print, braille, speech, symbols or simpler language.</w:t>
      </w:r>
    </w:p>
    <w:p w14:paraId="52442523" w14:textId="77777777" w:rsidR="005C23DD" w:rsidRPr="005C23DD" w:rsidRDefault="005C23DD" w:rsidP="005C23DD">
      <w:pPr>
        <w:widowControl w:val="0"/>
        <w:autoSpaceDE w:val="0"/>
        <w:autoSpaceDN w:val="0"/>
        <w:adjustRightInd w:val="0"/>
        <w:ind w:left="960"/>
        <w:rPr>
          <w:lang w:eastAsia="ja-JP"/>
        </w:rPr>
      </w:pPr>
      <w:r w:rsidRPr="005C23DD">
        <w:rPr>
          <w:lang w:eastAsia="ja-JP"/>
        </w:rPr>
        <w:t> </w:t>
      </w:r>
    </w:p>
    <w:p w14:paraId="1B5181EA" w14:textId="77777777" w:rsidR="005C23DD" w:rsidRPr="005C23DD" w:rsidRDefault="005C23DD" w:rsidP="005C23DD">
      <w:pPr>
        <w:widowControl w:val="0"/>
        <w:autoSpaceDE w:val="0"/>
        <w:autoSpaceDN w:val="0"/>
        <w:adjustRightInd w:val="0"/>
        <w:ind w:left="960"/>
        <w:rPr>
          <w:lang w:eastAsia="ja-JP"/>
        </w:rPr>
      </w:pPr>
      <w:r w:rsidRPr="005C23DD">
        <w:rPr>
          <w:lang w:eastAsia="ja-JP"/>
        </w:rPr>
        <w:t>Guideline 1.4 Distinguishable: Make it easier for users to see and hear content including separating foreground from background.</w:t>
      </w:r>
    </w:p>
    <w:p w14:paraId="20F1AB74" w14:textId="77777777" w:rsidR="005C23DD" w:rsidRPr="005C23DD" w:rsidRDefault="005C23DD" w:rsidP="005C23DD">
      <w:pPr>
        <w:widowControl w:val="0"/>
        <w:autoSpaceDE w:val="0"/>
        <w:autoSpaceDN w:val="0"/>
        <w:adjustRightInd w:val="0"/>
        <w:ind w:left="960"/>
        <w:rPr>
          <w:lang w:eastAsia="ja-JP"/>
        </w:rPr>
      </w:pPr>
      <w:r w:rsidRPr="005C23DD">
        <w:rPr>
          <w:lang w:eastAsia="ja-JP"/>
        </w:rPr>
        <w:t> </w:t>
      </w:r>
    </w:p>
    <w:p w14:paraId="49DDE6B1" w14:textId="044BE6E3" w:rsidR="005C23DD" w:rsidRPr="005C23DD" w:rsidRDefault="005C23DD" w:rsidP="00323499">
      <w:pPr>
        <w:widowControl w:val="0"/>
        <w:autoSpaceDE w:val="0"/>
        <w:autoSpaceDN w:val="0"/>
        <w:adjustRightInd w:val="0"/>
        <w:ind w:left="960"/>
        <w:rPr>
          <w:lang w:eastAsia="ja-JP"/>
        </w:rPr>
      </w:pPr>
      <w:r w:rsidRPr="005C23DD">
        <w:rPr>
          <w:lang w:eastAsia="ja-JP"/>
        </w:rPr>
        <w:t>Guideline 2.4 Navigable: Provide ways to help users navigate, find content, and determine where they are. </w:t>
      </w:r>
    </w:p>
    <w:p w14:paraId="3CA7ACC0" w14:textId="77777777" w:rsidR="005C23DD" w:rsidRPr="005C23DD" w:rsidRDefault="005C23DD" w:rsidP="005C23DD">
      <w:pPr>
        <w:pStyle w:val="NormalWeb"/>
        <w:rPr>
          <w:rFonts w:ascii="Times New Roman" w:hAnsi="Times New Roman"/>
          <w:sz w:val="24"/>
          <w:szCs w:val="24"/>
          <w:lang w:eastAsia="ja-JP"/>
        </w:rPr>
      </w:pPr>
      <w:r w:rsidRPr="005C23DD">
        <w:rPr>
          <w:rFonts w:ascii="Times New Roman" w:hAnsi="Times New Roman"/>
          <w:sz w:val="24"/>
          <w:szCs w:val="24"/>
          <w:lang w:eastAsia="ja-JP"/>
        </w:rPr>
        <w:t>Specific guidance, success criteria, and advisory techniques can be located under the heading for those top-level guidelines.</w:t>
      </w:r>
    </w:p>
    <w:p w14:paraId="51D30958" w14:textId="079B1B25" w:rsidR="00EB3003" w:rsidRPr="007E18B5" w:rsidRDefault="008C5A7D" w:rsidP="005C23DD">
      <w:pPr>
        <w:pStyle w:val="NormalWeb"/>
        <w:rPr>
          <w:rFonts w:ascii="Times New Roman" w:hAnsi="Times New Roman"/>
          <w:b/>
          <w:sz w:val="24"/>
          <w:szCs w:val="24"/>
          <w:u w:val="single"/>
        </w:rPr>
      </w:pPr>
      <w:r>
        <w:rPr>
          <w:rFonts w:ascii="Times New Roman" w:hAnsi="Times New Roman"/>
          <w:b/>
          <w:sz w:val="24"/>
          <w:szCs w:val="24"/>
          <w:u w:val="single"/>
        </w:rPr>
        <w:t xml:space="preserve">Section VI. </w:t>
      </w:r>
      <w:r w:rsidR="00745A51" w:rsidRPr="007E18B5">
        <w:rPr>
          <w:rFonts w:ascii="Times New Roman" w:hAnsi="Times New Roman"/>
          <w:b/>
          <w:sz w:val="24"/>
          <w:szCs w:val="24"/>
          <w:u w:val="single"/>
        </w:rPr>
        <w:t>A</w:t>
      </w:r>
      <w:r w:rsidR="00EB3003" w:rsidRPr="007E18B5">
        <w:rPr>
          <w:rFonts w:ascii="Times New Roman" w:hAnsi="Times New Roman"/>
          <w:b/>
          <w:sz w:val="24"/>
          <w:szCs w:val="24"/>
          <w:u w:val="single"/>
        </w:rPr>
        <w:t>dditional Recommendations</w:t>
      </w:r>
    </w:p>
    <w:p w14:paraId="281A5B3F" w14:textId="6ECFA82A" w:rsidR="00A65F20" w:rsidRDefault="00FF0347" w:rsidP="004C5E8F">
      <w:pPr>
        <w:pStyle w:val="NormalWeb"/>
        <w:rPr>
          <w:rFonts w:ascii="Times New Roman" w:hAnsi="Times New Roman"/>
          <w:sz w:val="24"/>
          <w:szCs w:val="24"/>
        </w:rPr>
      </w:pPr>
      <w:r>
        <w:rPr>
          <w:rFonts w:ascii="Times New Roman" w:hAnsi="Times New Roman"/>
          <w:sz w:val="24"/>
          <w:szCs w:val="24"/>
        </w:rPr>
        <w:t>The CAC</w:t>
      </w:r>
      <w:r w:rsidR="00D84908">
        <w:rPr>
          <w:rFonts w:ascii="Times New Roman" w:hAnsi="Times New Roman"/>
          <w:sz w:val="24"/>
          <w:szCs w:val="24"/>
        </w:rPr>
        <w:t xml:space="preserve"> further recommend</w:t>
      </w:r>
      <w:r>
        <w:rPr>
          <w:rFonts w:ascii="Times New Roman" w:hAnsi="Times New Roman"/>
          <w:sz w:val="24"/>
          <w:szCs w:val="24"/>
        </w:rPr>
        <w:t>s</w:t>
      </w:r>
      <w:r w:rsidR="00D84908">
        <w:rPr>
          <w:rFonts w:ascii="Times New Roman" w:hAnsi="Times New Roman"/>
          <w:sz w:val="24"/>
          <w:szCs w:val="24"/>
        </w:rPr>
        <w:t xml:space="preserve"> that t</w:t>
      </w:r>
      <w:r w:rsidR="00CB55F0">
        <w:rPr>
          <w:rFonts w:ascii="Times New Roman" w:hAnsi="Times New Roman"/>
          <w:sz w:val="24"/>
          <w:szCs w:val="24"/>
        </w:rPr>
        <w:t>he FCC create a website that</w:t>
      </w:r>
      <w:r w:rsidR="00A65F20" w:rsidRPr="007E18B5">
        <w:rPr>
          <w:rFonts w:ascii="Times New Roman" w:hAnsi="Times New Roman"/>
          <w:sz w:val="24"/>
          <w:szCs w:val="24"/>
        </w:rPr>
        <w:t xml:space="preserve"> contain</w:t>
      </w:r>
      <w:r w:rsidR="00CB55F0">
        <w:rPr>
          <w:rFonts w:ascii="Times New Roman" w:hAnsi="Times New Roman"/>
          <w:sz w:val="24"/>
          <w:szCs w:val="24"/>
        </w:rPr>
        <w:t>s</w:t>
      </w:r>
      <w:r w:rsidR="00A65F20" w:rsidRPr="007E18B5">
        <w:rPr>
          <w:rFonts w:ascii="Times New Roman" w:hAnsi="Times New Roman"/>
          <w:sz w:val="24"/>
          <w:szCs w:val="24"/>
        </w:rPr>
        <w:t xml:space="preserve"> clear definitions of terms used in the disclosure formats.  Consumers will be able to link to the terms on the disclosures for more information to help them understand some complicated </w:t>
      </w:r>
      <w:r w:rsidR="00BC78DA">
        <w:rPr>
          <w:rFonts w:ascii="Times New Roman" w:hAnsi="Times New Roman"/>
          <w:sz w:val="24"/>
          <w:szCs w:val="24"/>
        </w:rPr>
        <w:t>broadband</w:t>
      </w:r>
      <w:r w:rsidR="00A65F20" w:rsidRPr="007E18B5">
        <w:rPr>
          <w:rFonts w:ascii="Times New Roman" w:hAnsi="Times New Roman"/>
          <w:sz w:val="24"/>
          <w:szCs w:val="24"/>
        </w:rPr>
        <w:t xml:space="preserve"> terminology that would take too much space on the form</w:t>
      </w:r>
      <w:r w:rsidR="00323499">
        <w:rPr>
          <w:rFonts w:ascii="Times New Roman" w:hAnsi="Times New Roman"/>
          <w:sz w:val="24"/>
          <w:szCs w:val="24"/>
        </w:rPr>
        <w:t>s</w:t>
      </w:r>
      <w:r w:rsidR="00A65F20" w:rsidRPr="007E18B5">
        <w:rPr>
          <w:rFonts w:ascii="Times New Roman" w:hAnsi="Times New Roman"/>
          <w:sz w:val="24"/>
          <w:szCs w:val="24"/>
        </w:rPr>
        <w:t xml:space="preserve"> to explain (for example, latency). </w:t>
      </w:r>
    </w:p>
    <w:p w14:paraId="35869585" w14:textId="6CE961BE" w:rsidR="00C41FAC" w:rsidRPr="007E18B5" w:rsidRDefault="00C41FAC" w:rsidP="004C5E8F">
      <w:pPr>
        <w:pStyle w:val="NormalWeb"/>
        <w:rPr>
          <w:rFonts w:ascii="Times New Roman" w:hAnsi="Times New Roman"/>
          <w:sz w:val="24"/>
          <w:szCs w:val="24"/>
        </w:rPr>
      </w:pPr>
      <w:r>
        <w:rPr>
          <w:rFonts w:ascii="Times New Roman" w:hAnsi="Times New Roman"/>
          <w:sz w:val="24"/>
          <w:szCs w:val="24"/>
        </w:rPr>
        <w:t>The CAC recommends that the FCC maintain neutral information about average data sizes for movies, TV shows, emails and other items. This information would empower consumers to better evaluate their monthly data usage needs. This could be included on the above recommended definitions page or in a more interactive stand alone page that would be linked to from the definitions page.</w:t>
      </w:r>
    </w:p>
    <w:p w14:paraId="162B5768" w14:textId="09D067F7" w:rsidR="008A50B8" w:rsidRDefault="00EB3003" w:rsidP="004C5E8F">
      <w:pPr>
        <w:pStyle w:val="NormalWeb"/>
        <w:rPr>
          <w:rFonts w:ascii="Times New Roman" w:hAnsi="Times New Roman"/>
          <w:sz w:val="24"/>
          <w:szCs w:val="24"/>
        </w:rPr>
      </w:pPr>
      <w:r w:rsidRPr="007E18B5">
        <w:rPr>
          <w:rFonts w:ascii="Times New Roman" w:hAnsi="Times New Roman"/>
          <w:sz w:val="24"/>
          <w:szCs w:val="24"/>
        </w:rPr>
        <w:t>The CAC recommends that the FCC conduct a periodic review</w:t>
      </w:r>
      <w:r w:rsidR="00D84908">
        <w:rPr>
          <w:rFonts w:ascii="Times New Roman" w:hAnsi="Times New Roman"/>
          <w:sz w:val="24"/>
          <w:szCs w:val="24"/>
        </w:rPr>
        <w:t>,</w:t>
      </w:r>
      <w:r w:rsidRPr="007E18B5">
        <w:rPr>
          <w:rFonts w:ascii="Times New Roman" w:hAnsi="Times New Roman"/>
          <w:sz w:val="24"/>
          <w:szCs w:val="24"/>
        </w:rPr>
        <w:t xml:space="preserve"> no less than every two years</w:t>
      </w:r>
      <w:r w:rsidR="00D84908">
        <w:rPr>
          <w:rFonts w:ascii="Times New Roman" w:hAnsi="Times New Roman"/>
          <w:sz w:val="24"/>
          <w:szCs w:val="24"/>
        </w:rPr>
        <w:t>,</w:t>
      </w:r>
      <w:r w:rsidRPr="007E18B5">
        <w:rPr>
          <w:rFonts w:ascii="Times New Roman" w:hAnsi="Times New Roman"/>
          <w:sz w:val="24"/>
          <w:szCs w:val="24"/>
        </w:rPr>
        <w:t xml:space="preserve"> of the disclosure formats.  In conducting these reviews, we recommend that the FCC first seek the advice of the existing CAC for an initial review of the disclosure, to make any initial recommendations for updates to the FCC within a reasonable amount of tim</w:t>
      </w:r>
      <w:r w:rsidR="008A50B8" w:rsidRPr="007E18B5">
        <w:rPr>
          <w:rFonts w:ascii="Times New Roman" w:hAnsi="Times New Roman"/>
          <w:sz w:val="24"/>
          <w:szCs w:val="24"/>
        </w:rPr>
        <w:t>e (to be determined by the FCC).</w:t>
      </w:r>
    </w:p>
    <w:p w14:paraId="7560246A" w14:textId="67CD190F" w:rsidR="005D393E" w:rsidRPr="005A2746" w:rsidRDefault="00B428B5" w:rsidP="005A2746">
      <w:pPr>
        <w:pStyle w:val="NormalWeb"/>
        <w:rPr>
          <w:rFonts w:ascii="Times New Roman" w:hAnsi="Times New Roman"/>
          <w:sz w:val="24"/>
          <w:szCs w:val="24"/>
        </w:rPr>
      </w:pPr>
      <w:r>
        <w:rPr>
          <w:rFonts w:ascii="Times New Roman" w:hAnsi="Times New Roman"/>
          <w:sz w:val="24"/>
          <w:szCs w:val="24"/>
        </w:rPr>
        <w:t>The CAC recommends that the FCC consult with an expert in graphic design to make sure the Broadband Consumer Disclosures are as consumer friendly as possible.</w:t>
      </w:r>
    </w:p>
    <w:p w14:paraId="785B7F4D" w14:textId="77777777" w:rsidR="00075E5F" w:rsidRPr="007E18B5" w:rsidRDefault="00075E5F" w:rsidP="00075E5F">
      <w:pPr>
        <w:rPr>
          <w:b/>
          <w:u w:val="single"/>
        </w:rPr>
      </w:pPr>
      <w:r w:rsidRPr="007E18B5">
        <w:rPr>
          <w:b/>
          <w:u w:val="single"/>
        </w:rPr>
        <w:t>Conclusion</w:t>
      </w:r>
    </w:p>
    <w:p w14:paraId="692F95F2" w14:textId="54E28A6E" w:rsidR="00075E5F" w:rsidRPr="007E18B5" w:rsidRDefault="00075E5F" w:rsidP="00075E5F">
      <w:pPr>
        <w:pStyle w:val="NormalWeb"/>
        <w:rPr>
          <w:rFonts w:ascii="Times New Roman" w:hAnsi="Times New Roman"/>
          <w:sz w:val="24"/>
          <w:szCs w:val="24"/>
        </w:rPr>
      </w:pPr>
      <w:r w:rsidRPr="007E18B5">
        <w:rPr>
          <w:rFonts w:ascii="Times New Roman" w:hAnsi="Times New Roman"/>
          <w:sz w:val="24"/>
          <w:szCs w:val="24"/>
        </w:rPr>
        <w:t xml:space="preserve">Developing a disclosure format that provides consumers with relevant information sufficient to compare offerings across different broadband providers is a challenging task given the significant variation in company offerings and practices.  Based on the thorough review undertaken by the </w:t>
      </w:r>
      <w:r w:rsidR="00C25E1C">
        <w:rPr>
          <w:rFonts w:ascii="Times New Roman" w:hAnsi="Times New Roman"/>
          <w:sz w:val="24"/>
          <w:szCs w:val="24"/>
        </w:rPr>
        <w:t>Task Force, the CAC</w:t>
      </w:r>
      <w:r w:rsidRPr="007E18B5">
        <w:rPr>
          <w:rFonts w:ascii="Times New Roman" w:hAnsi="Times New Roman"/>
          <w:sz w:val="24"/>
          <w:szCs w:val="24"/>
        </w:rPr>
        <w:t xml:space="preserve"> believe</w:t>
      </w:r>
      <w:r w:rsidR="00C25E1C">
        <w:rPr>
          <w:rFonts w:ascii="Times New Roman" w:hAnsi="Times New Roman"/>
          <w:sz w:val="24"/>
          <w:szCs w:val="24"/>
        </w:rPr>
        <w:t>s</w:t>
      </w:r>
      <w:r w:rsidRPr="007E18B5">
        <w:rPr>
          <w:rFonts w:ascii="Times New Roman" w:hAnsi="Times New Roman"/>
          <w:sz w:val="24"/>
          <w:szCs w:val="24"/>
        </w:rPr>
        <w:t xml:space="preserve"> the disclosure fo</w:t>
      </w:r>
      <w:r w:rsidR="00D84908">
        <w:rPr>
          <w:rFonts w:ascii="Times New Roman" w:hAnsi="Times New Roman"/>
          <w:sz w:val="24"/>
          <w:szCs w:val="24"/>
        </w:rPr>
        <w:t>rmats we are recommending offer</w:t>
      </w:r>
      <w:r w:rsidRPr="007E18B5">
        <w:rPr>
          <w:rFonts w:ascii="Times New Roman" w:hAnsi="Times New Roman"/>
          <w:sz w:val="24"/>
          <w:szCs w:val="24"/>
        </w:rPr>
        <w:t xml:space="preserve"> </w:t>
      </w:r>
      <w:r w:rsidR="00D84908">
        <w:rPr>
          <w:rFonts w:ascii="Times New Roman" w:hAnsi="Times New Roman"/>
          <w:sz w:val="24"/>
          <w:szCs w:val="24"/>
        </w:rPr>
        <w:t>consumers</w:t>
      </w:r>
      <w:r w:rsidRPr="007E18B5">
        <w:rPr>
          <w:rFonts w:ascii="Times New Roman" w:hAnsi="Times New Roman"/>
          <w:sz w:val="24"/>
          <w:szCs w:val="24"/>
        </w:rPr>
        <w:t xml:space="preserve"> meaningful information to enable a comparison of providers without imposing significant new burdens on broadband providers.  </w:t>
      </w:r>
    </w:p>
    <w:p w14:paraId="6198512F" w14:textId="77777777" w:rsidR="00075E5F" w:rsidRPr="007E18B5" w:rsidRDefault="00075E5F" w:rsidP="004C5E8F">
      <w:pPr>
        <w:pStyle w:val="NormalWeb"/>
        <w:rPr>
          <w:rFonts w:ascii="Times New Roman" w:hAnsi="Times New Roman"/>
          <w:sz w:val="24"/>
          <w:szCs w:val="24"/>
        </w:rPr>
      </w:pPr>
    </w:p>
    <w:p w14:paraId="6B5B1083" w14:textId="49E4449F" w:rsidR="008A50B8" w:rsidRPr="007E18B5" w:rsidRDefault="00C25E1C" w:rsidP="004C5E8F">
      <w:pPr>
        <w:pStyle w:val="NormalWeb"/>
        <w:rPr>
          <w:rFonts w:ascii="Times New Roman" w:hAnsi="Times New Roman"/>
          <w:sz w:val="24"/>
          <w:szCs w:val="24"/>
        </w:rPr>
      </w:pPr>
      <w:r>
        <w:rPr>
          <w:rFonts w:ascii="Times New Roman" w:hAnsi="Times New Roman"/>
          <w:sz w:val="24"/>
          <w:szCs w:val="24"/>
        </w:rPr>
        <w:t>Unanimously a</w:t>
      </w:r>
      <w:r w:rsidR="00B84560" w:rsidRPr="007E18B5">
        <w:rPr>
          <w:rFonts w:ascii="Times New Roman" w:hAnsi="Times New Roman"/>
          <w:sz w:val="24"/>
          <w:szCs w:val="24"/>
        </w:rPr>
        <w:t>dopted</w:t>
      </w:r>
      <w:r>
        <w:rPr>
          <w:rFonts w:ascii="Times New Roman" w:hAnsi="Times New Roman"/>
          <w:sz w:val="24"/>
          <w:szCs w:val="24"/>
        </w:rPr>
        <w:t>,</w:t>
      </w:r>
      <w:r w:rsidR="00B84560" w:rsidRPr="007E18B5">
        <w:rPr>
          <w:rFonts w:ascii="Times New Roman" w:hAnsi="Times New Roman"/>
          <w:sz w:val="24"/>
          <w:szCs w:val="24"/>
        </w:rPr>
        <w:t xml:space="preserve"> October 26, 2015</w:t>
      </w:r>
    </w:p>
    <w:p w14:paraId="1F954F41" w14:textId="77777777" w:rsidR="00D43F8A" w:rsidRPr="007E18B5" w:rsidRDefault="00D43F8A" w:rsidP="004C5E8F">
      <w:pPr>
        <w:pStyle w:val="NormalWeb"/>
        <w:rPr>
          <w:rFonts w:ascii="Times New Roman" w:hAnsi="Times New Roman"/>
          <w:sz w:val="24"/>
          <w:szCs w:val="24"/>
        </w:rPr>
      </w:pPr>
    </w:p>
    <w:p w14:paraId="3E0E2630" w14:textId="77777777" w:rsidR="008A50B8" w:rsidRPr="007E18B5" w:rsidRDefault="00B84560" w:rsidP="004C5E8F">
      <w:pPr>
        <w:pStyle w:val="NormalWeb"/>
        <w:rPr>
          <w:rFonts w:ascii="Times New Roman" w:hAnsi="Times New Roman"/>
          <w:sz w:val="24"/>
          <w:szCs w:val="24"/>
        </w:rPr>
      </w:pPr>
      <w:r w:rsidRPr="007E18B5">
        <w:rPr>
          <w:rFonts w:ascii="Times New Roman" w:hAnsi="Times New Roman"/>
          <w:sz w:val="24"/>
          <w:szCs w:val="24"/>
        </w:rPr>
        <w:t>Respectfully Submitted:</w:t>
      </w:r>
    </w:p>
    <w:p w14:paraId="755EBD80" w14:textId="13BA4293" w:rsidR="00B428B5" w:rsidRDefault="00B84560" w:rsidP="004C5E8F">
      <w:pPr>
        <w:pStyle w:val="NormalWeb"/>
        <w:rPr>
          <w:rFonts w:ascii="Times New Roman" w:hAnsi="Times New Roman"/>
          <w:sz w:val="24"/>
          <w:szCs w:val="24"/>
        </w:rPr>
      </w:pPr>
      <w:r w:rsidRPr="007E18B5">
        <w:rPr>
          <w:rFonts w:ascii="Times New Roman" w:hAnsi="Times New Roman"/>
          <w:sz w:val="24"/>
          <w:szCs w:val="24"/>
        </w:rPr>
        <w:t xml:space="preserve">Debra </w:t>
      </w:r>
      <w:r w:rsidR="00C25E1C">
        <w:rPr>
          <w:rFonts w:ascii="Times New Roman" w:hAnsi="Times New Roman"/>
          <w:sz w:val="24"/>
          <w:szCs w:val="24"/>
        </w:rPr>
        <w:t xml:space="preserve">R. </w:t>
      </w:r>
      <w:r w:rsidRPr="007E18B5">
        <w:rPr>
          <w:rFonts w:ascii="Times New Roman" w:hAnsi="Times New Roman"/>
          <w:sz w:val="24"/>
          <w:szCs w:val="24"/>
        </w:rPr>
        <w:t>Berlyn, Chairperson</w:t>
      </w:r>
    </w:p>
    <w:p w14:paraId="47F3ADBA" w14:textId="2805708D" w:rsidR="00EB3003" w:rsidRPr="007E18B5" w:rsidRDefault="008A50B8" w:rsidP="004C5E8F">
      <w:pPr>
        <w:pStyle w:val="NormalWeb"/>
        <w:rPr>
          <w:rFonts w:ascii="Times New Roman" w:hAnsi="Times New Roman"/>
          <w:sz w:val="24"/>
          <w:szCs w:val="24"/>
        </w:rPr>
      </w:pPr>
      <w:r w:rsidRPr="007E18B5">
        <w:rPr>
          <w:rFonts w:ascii="Times New Roman" w:hAnsi="Times New Roman"/>
          <w:sz w:val="24"/>
          <w:szCs w:val="24"/>
        </w:rPr>
        <w:t>F</w:t>
      </w:r>
      <w:r w:rsidR="00B84560" w:rsidRPr="007E18B5">
        <w:rPr>
          <w:rFonts w:ascii="Times New Roman" w:hAnsi="Times New Roman"/>
          <w:sz w:val="24"/>
          <w:szCs w:val="24"/>
        </w:rPr>
        <w:t>CC Consumer Advisory Committee</w:t>
      </w:r>
    </w:p>
    <w:p w14:paraId="1AF1F790" w14:textId="77777777" w:rsidR="000700BA" w:rsidRPr="000700BA" w:rsidRDefault="000700BA" w:rsidP="000700BA">
      <w:pPr>
        <w:widowControl w:val="0"/>
        <w:autoSpaceDE w:val="0"/>
        <w:autoSpaceDN w:val="0"/>
        <w:adjustRightInd w:val="0"/>
        <w:rPr>
          <w:rFonts w:ascii="Helvetica" w:hAnsi="Helvetica" w:cs="Helvetica"/>
          <w:lang w:eastAsia="ja-JP"/>
        </w:rPr>
      </w:pPr>
      <w:r w:rsidRPr="000700BA">
        <w:rPr>
          <w:rFonts w:ascii="Times" w:hAnsi="Times" w:cs="Times"/>
          <w:u w:val="single"/>
          <w:lang w:eastAsia="ja-JP"/>
        </w:rPr>
        <w:t>Attachments:</w:t>
      </w:r>
    </w:p>
    <w:p w14:paraId="4FB309AE" w14:textId="77777777" w:rsidR="000700BA" w:rsidRPr="000700BA" w:rsidRDefault="000700BA" w:rsidP="000700BA">
      <w:pPr>
        <w:widowControl w:val="0"/>
        <w:autoSpaceDE w:val="0"/>
        <w:autoSpaceDN w:val="0"/>
        <w:adjustRightInd w:val="0"/>
        <w:rPr>
          <w:lang w:eastAsia="ja-JP"/>
        </w:rPr>
      </w:pPr>
      <w:r w:rsidRPr="000700BA">
        <w:rPr>
          <w:lang w:eastAsia="ja-JP"/>
        </w:rPr>
        <w:t>Fixed Broadband Consumer Disclosure – Sample</w:t>
      </w:r>
    </w:p>
    <w:p w14:paraId="22874529" w14:textId="77777777" w:rsidR="000700BA" w:rsidRPr="000700BA" w:rsidRDefault="000700BA" w:rsidP="000700BA">
      <w:pPr>
        <w:widowControl w:val="0"/>
        <w:autoSpaceDE w:val="0"/>
        <w:autoSpaceDN w:val="0"/>
        <w:adjustRightInd w:val="0"/>
        <w:rPr>
          <w:lang w:eastAsia="ja-JP"/>
        </w:rPr>
      </w:pPr>
      <w:r w:rsidRPr="000700BA">
        <w:rPr>
          <w:lang w:eastAsia="ja-JP"/>
        </w:rPr>
        <w:t>Fixed Broadband Consumer Disclosure – Instructions</w:t>
      </w:r>
    </w:p>
    <w:p w14:paraId="3A74ED6B" w14:textId="77777777" w:rsidR="000700BA" w:rsidRPr="000700BA" w:rsidRDefault="000700BA" w:rsidP="000700BA">
      <w:pPr>
        <w:widowControl w:val="0"/>
        <w:autoSpaceDE w:val="0"/>
        <w:autoSpaceDN w:val="0"/>
        <w:adjustRightInd w:val="0"/>
        <w:rPr>
          <w:lang w:eastAsia="ja-JP"/>
        </w:rPr>
      </w:pPr>
      <w:r w:rsidRPr="000700BA">
        <w:rPr>
          <w:lang w:eastAsia="ja-JP"/>
        </w:rPr>
        <w:t>Fixed Broadband Consumer Disclosure – Blank</w:t>
      </w:r>
    </w:p>
    <w:p w14:paraId="32C4EC33" w14:textId="77777777" w:rsidR="000700BA" w:rsidRPr="000700BA" w:rsidRDefault="000700BA" w:rsidP="000700BA">
      <w:pPr>
        <w:widowControl w:val="0"/>
        <w:autoSpaceDE w:val="0"/>
        <w:autoSpaceDN w:val="0"/>
        <w:adjustRightInd w:val="0"/>
        <w:rPr>
          <w:lang w:eastAsia="ja-JP"/>
        </w:rPr>
      </w:pPr>
      <w:r w:rsidRPr="000700BA">
        <w:rPr>
          <w:lang w:eastAsia="ja-JP"/>
        </w:rPr>
        <w:t>Mobile Broadband Consumer Disclosure – Sample</w:t>
      </w:r>
    </w:p>
    <w:p w14:paraId="47A6418F" w14:textId="77777777" w:rsidR="000700BA" w:rsidRPr="000700BA" w:rsidRDefault="000700BA" w:rsidP="000700BA">
      <w:pPr>
        <w:widowControl w:val="0"/>
        <w:autoSpaceDE w:val="0"/>
        <w:autoSpaceDN w:val="0"/>
        <w:adjustRightInd w:val="0"/>
        <w:rPr>
          <w:lang w:eastAsia="ja-JP"/>
        </w:rPr>
      </w:pPr>
      <w:r w:rsidRPr="000700BA">
        <w:rPr>
          <w:lang w:eastAsia="ja-JP"/>
        </w:rPr>
        <w:t>Mobile Broadband Consumer Disclosure – Instructions</w:t>
      </w:r>
    </w:p>
    <w:p w14:paraId="502DED68" w14:textId="77777777" w:rsidR="000700BA" w:rsidRPr="000700BA" w:rsidRDefault="000700BA" w:rsidP="000700BA">
      <w:pPr>
        <w:widowControl w:val="0"/>
        <w:autoSpaceDE w:val="0"/>
        <w:autoSpaceDN w:val="0"/>
        <w:adjustRightInd w:val="0"/>
        <w:rPr>
          <w:lang w:eastAsia="ja-JP"/>
        </w:rPr>
      </w:pPr>
      <w:r w:rsidRPr="000700BA">
        <w:rPr>
          <w:lang w:eastAsia="ja-JP"/>
        </w:rPr>
        <w:t>Mobile Broadband Consumer Disclosure – Blank</w:t>
      </w:r>
    </w:p>
    <w:p w14:paraId="6843F9A5" w14:textId="47968ADD" w:rsidR="008A50B8" w:rsidRPr="000700BA" w:rsidRDefault="000700BA" w:rsidP="000700BA">
      <w:pPr>
        <w:pStyle w:val="NormalWeb"/>
        <w:spacing w:before="0" w:beforeAutospacing="0" w:after="0" w:afterAutospacing="0"/>
        <w:rPr>
          <w:rFonts w:ascii="Times New Roman" w:hAnsi="Times New Roman"/>
          <w:sz w:val="24"/>
          <w:szCs w:val="24"/>
        </w:rPr>
      </w:pPr>
      <w:r w:rsidRPr="000700BA">
        <w:rPr>
          <w:rFonts w:ascii="Times New Roman" w:hAnsi="Times New Roman"/>
          <w:sz w:val="24"/>
          <w:szCs w:val="24"/>
          <w:lang w:eastAsia="ja-JP"/>
        </w:rPr>
        <w:t>Questions and Answers About the Disclosure</w:t>
      </w:r>
    </w:p>
    <w:p w14:paraId="5F552CA3" w14:textId="77777777" w:rsidR="006F5990" w:rsidRPr="007E18B5" w:rsidRDefault="006F5990"/>
    <w:sectPr w:rsidR="006F5990" w:rsidRPr="007E18B5" w:rsidSect="00017DF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50A88" w14:textId="77777777" w:rsidR="00B0695F" w:rsidRDefault="00B0695F" w:rsidP="007702E5">
      <w:r>
        <w:separator/>
      </w:r>
    </w:p>
  </w:endnote>
  <w:endnote w:type="continuationSeparator" w:id="0">
    <w:p w14:paraId="5F0CDB47" w14:textId="77777777" w:rsidR="00B0695F" w:rsidRDefault="00B0695F" w:rsidP="0077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04B0" w14:textId="77777777" w:rsidR="00B0773A" w:rsidRDefault="00B0773A" w:rsidP="007E4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334A0" w14:textId="77777777" w:rsidR="00B0773A" w:rsidRDefault="00B07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BA37" w14:textId="77777777" w:rsidR="00B0773A" w:rsidRDefault="00B0773A" w:rsidP="007E4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DAE">
      <w:rPr>
        <w:rStyle w:val="PageNumber"/>
        <w:noProof/>
      </w:rPr>
      <w:t>1</w:t>
    </w:r>
    <w:r>
      <w:rPr>
        <w:rStyle w:val="PageNumber"/>
      </w:rPr>
      <w:fldChar w:fldCharType="end"/>
    </w:r>
  </w:p>
  <w:p w14:paraId="23EF1B78" w14:textId="77777777" w:rsidR="00B0773A" w:rsidRDefault="00B07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51C9" w14:textId="77777777" w:rsidR="00FF5DC0" w:rsidRDefault="00FF5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2797" w14:textId="77777777" w:rsidR="00B0695F" w:rsidRDefault="00B0695F" w:rsidP="007702E5">
      <w:r>
        <w:separator/>
      </w:r>
    </w:p>
  </w:footnote>
  <w:footnote w:type="continuationSeparator" w:id="0">
    <w:p w14:paraId="158A0392" w14:textId="77777777" w:rsidR="00B0695F" w:rsidRDefault="00B0695F" w:rsidP="0077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13E6" w14:textId="77777777" w:rsidR="00FF5DC0" w:rsidRDefault="00FF5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D90D1" w14:textId="77777777" w:rsidR="00FF5DC0" w:rsidRDefault="00FF5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D8A2" w14:textId="77777777" w:rsidR="00FF5DC0" w:rsidRDefault="00FF5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D33"/>
    <w:multiLevelType w:val="hybridMultilevel"/>
    <w:tmpl w:val="B26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75413"/>
    <w:multiLevelType w:val="hybridMultilevel"/>
    <w:tmpl w:val="2F6C9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951A93"/>
    <w:multiLevelType w:val="hybridMultilevel"/>
    <w:tmpl w:val="F0A6BE80"/>
    <w:lvl w:ilvl="0" w:tplc="1682F71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C11A5"/>
    <w:multiLevelType w:val="hybridMultilevel"/>
    <w:tmpl w:val="5A62F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4"/>
    <w:rsid w:val="00017DF3"/>
    <w:rsid w:val="000700BA"/>
    <w:rsid w:val="00075E5F"/>
    <w:rsid w:val="000A33C3"/>
    <w:rsid w:val="00130E63"/>
    <w:rsid w:val="00181184"/>
    <w:rsid w:val="001A3FAE"/>
    <w:rsid w:val="001C274C"/>
    <w:rsid w:val="001E3B25"/>
    <w:rsid w:val="002406D5"/>
    <w:rsid w:val="00240921"/>
    <w:rsid w:val="002A6B0E"/>
    <w:rsid w:val="002C6848"/>
    <w:rsid w:val="002D494F"/>
    <w:rsid w:val="002E4927"/>
    <w:rsid w:val="00323499"/>
    <w:rsid w:val="00336233"/>
    <w:rsid w:val="003376B7"/>
    <w:rsid w:val="003738BD"/>
    <w:rsid w:val="00376AE9"/>
    <w:rsid w:val="00392FF9"/>
    <w:rsid w:val="003C3493"/>
    <w:rsid w:val="00477554"/>
    <w:rsid w:val="0048486F"/>
    <w:rsid w:val="004C5E8F"/>
    <w:rsid w:val="004E642F"/>
    <w:rsid w:val="005554C9"/>
    <w:rsid w:val="005A2746"/>
    <w:rsid w:val="005B742C"/>
    <w:rsid w:val="005C23DD"/>
    <w:rsid w:val="005D393E"/>
    <w:rsid w:val="00626FB5"/>
    <w:rsid w:val="0063449B"/>
    <w:rsid w:val="006559A6"/>
    <w:rsid w:val="006958E2"/>
    <w:rsid w:val="006F5990"/>
    <w:rsid w:val="00745A51"/>
    <w:rsid w:val="007702E5"/>
    <w:rsid w:val="007B4681"/>
    <w:rsid w:val="007E18B5"/>
    <w:rsid w:val="007E4855"/>
    <w:rsid w:val="007F340C"/>
    <w:rsid w:val="00833C0D"/>
    <w:rsid w:val="008947B1"/>
    <w:rsid w:val="008A50B8"/>
    <w:rsid w:val="008B419B"/>
    <w:rsid w:val="008C5A7D"/>
    <w:rsid w:val="008D119F"/>
    <w:rsid w:val="0094245C"/>
    <w:rsid w:val="00987634"/>
    <w:rsid w:val="00A31249"/>
    <w:rsid w:val="00A65F20"/>
    <w:rsid w:val="00A71AE7"/>
    <w:rsid w:val="00A87D78"/>
    <w:rsid w:val="00AA1F9C"/>
    <w:rsid w:val="00AB1DAE"/>
    <w:rsid w:val="00AE041D"/>
    <w:rsid w:val="00B0695F"/>
    <w:rsid w:val="00B0773A"/>
    <w:rsid w:val="00B36660"/>
    <w:rsid w:val="00B428B5"/>
    <w:rsid w:val="00B75CC8"/>
    <w:rsid w:val="00B82922"/>
    <w:rsid w:val="00B84560"/>
    <w:rsid w:val="00B96CC9"/>
    <w:rsid w:val="00BB0658"/>
    <w:rsid w:val="00BC78DA"/>
    <w:rsid w:val="00BD14E9"/>
    <w:rsid w:val="00BF591A"/>
    <w:rsid w:val="00C25E1C"/>
    <w:rsid w:val="00C41FAC"/>
    <w:rsid w:val="00C93CD5"/>
    <w:rsid w:val="00CA4459"/>
    <w:rsid w:val="00CB55F0"/>
    <w:rsid w:val="00CE3E38"/>
    <w:rsid w:val="00D23E08"/>
    <w:rsid w:val="00D43F8A"/>
    <w:rsid w:val="00D84908"/>
    <w:rsid w:val="00DD18E0"/>
    <w:rsid w:val="00DD4095"/>
    <w:rsid w:val="00DD436D"/>
    <w:rsid w:val="00DD5AEE"/>
    <w:rsid w:val="00E245EB"/>
    <w:rsid w:val="00E31291"/>
    <w:rsid w:val="00E513FE"/>
    <w:rsid w:val="00E73705"/>
    <w:rsid w:val="00E81F4B"/>
    <w:rsid w:val="00E92BDD"/>
    <w:rsid w:val="00E97756"/>
    <w:rsid w:val="00EB3003"/>
    <w:rsid w:val="00EC767A"/>
    <w:rsid w:val="00F4300A"/>
    <w:rsid w:val="00F879E1"/>
    <w:rsid w:val="00FF0347"/>
    <w:rsid w:val="00FF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074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990"/>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7702E5"/>
    <w:pPr>
      <w:tabs>
        <w:tab w:val="center" w:pos="4680"/>
        <w:tab w:val="right" w:pos="9360"/>
      </w:tabs>
    </w:pPr>
  </w:style>
  <w:style w:type="character" w:customStyle="1" w:styleId="HeaderChar">
    <w:name w:val="Header Char"/>
    <w:basedOn w:val="DefaultParagraphFont"/>
    <w:link w:val="Header"/>
    <w:uiPriority w:val="99"/>
    <w:rsid w:val="007702E5"/>
    <w:rPr>
      <w:sz w:val="24"/>
      <w:szCs w:val="24"/>
      <w:lang w:eastAsia="en-US"/>
    </w:rPr>
  </w:style>
  <w:style w:type="paragraph" w:styleId="Footer">
    <w:name w:val="footer"/>
    <w:basedOn w:val="Normal"/>
    <w:link w:val="FooterChar"/>
    <w:uiPriority w:val="99"/>
    <w:unhideWhenUsed/>
    <w:rsid w:val="007702E5"/>
    <w:pPr>
      <w:tabs>
        <w:tab w:val="center" w:pos="4680"/>
        <w:tab w:val="right" w:pos="9360"/>
      </w:tabs>
    </w:pPr>
  </w:style>
  <w:style w:type="character" w:customStyle="1" w:styleId="FooterChar">
    <w:name w:val="Footer Char"/>
    <w:basedOn w:val="DefaultParagraphFont"/>
    <w:link w:val="Footer"/>
    <w:uiPriority w:val="99"/>
    <w:rsid w:val="007702E5"/>
    <w:rPr>
      <w:sz w:val="24"/>
      <w:szCs w:val="24"/>
      <w:lang w:eastAsia="en-US"/>
    </w:rPr>
  </w:style>
  <w:style w:type="character" w:styleId="Hyperlink">
    <w:name w:val="Hyperlink"/>
    <w:basedOn w:val="DefaultParagraphFont"/>
    <w:uiPriority w:val="99"/>
    <w:unhideWhenUsed/>
    <w:rsid w:val="008947B1"/>
    <w:rPr>
      <w:color w:val="0000FF" w:themeColor="hyperlink"/>
      <w:u w:val="single"/>
    </w:rPr>
  </w:style>
  <w:style w:type="paragraph" w:styleId="Title">
    <w:name w:val="Title"/>
    <w:basedOn w:val="Normal"/>
    <w:next w:val="Normal"/>
    <w:link w:val="TitleChar"/>
    <w:uiPriority w:val="10"/>
    <w:qFormat/>
    <w:rsid w:val="008947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7B1"/>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3C3493"/>
    <w:pPr>
      <w:ind w:left="720"/>
      <w:contextualSpacing/>
    </w:pPr>
  </w:style>
  <w:style w:type="character" w:styleId="PageNumber">
    <w:name w:val="page number"/>
    <w:basedOn w:val="DefaultParagraphFont"/>
    <w:uiPriority w:val="99"/>
    <w:semiHidden/>
    <w:unhideWhenUsed/>
    <w:rsid w:val="00B4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990"/>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7702E5"/>
    <w:pPr>
      <w:tabs>
        <w:tab w:val="center" w:pos="4680"/>
        <w:tab w:val="right" w:pos="9360"/>
      </w:tabs>
    </w:pPr>
  </w:style>
  <w:style w:type="character" w:customStyle="1" w:styleId="HeaderChar">
    <w:name w:val="Header Char"/>
    <w:basedOn w:val="DefaultParagraphFont"/>
    <w:link w:val="Header"/>
    <w:uiPriority w:val="99"/>
    <w:rsid w:val="007702E5"/>
    <w:rPr>
      <w:sz w:val="24"/>
      <w:szCs w:val="24"/>
      <w:lang w:eastAsia="en-US"/>
    </w:rPr>
  </w:style>
  <w:style w:type="paragraph" w:styleId="Footer">
    <w:name w:val="footer"/>
    <w:basedOn w:val="Normal"/>
    <w:link w:val="FooterChar"/>
    <w:uiPriority w:val="99"/>
    <w:unhideWhenUsed/>
    <w:rsid w:val="007702E5"/>
    <w:pPr>
      <w:tabs>
        <w:tab w:val="center" w:pos="4680"/>
        <w:tab w:val="right" w:pos="9360"/>
      </w:tabs>
    </w:pPr>
  </w:style>
  <w:style w:type="character" w:customStyle="1" w:styleId="FooterChar">
    <w:name w:val="Footer Char"/>
    <w:basedOn w:val="DefaultParagraphFont"/>
    <w:link w:val="Footer"/>
    <w:uiPriority w:val="99"/>
    <w:rsid w:val="007702E5"/>
    <w:rPr>
      <w:sz w:val="24"/>
      <w:szCs w:val="24"/>
      <w:lang w:eastAsia="en-US"/>
    </w:rPr>
  </w:style>
  <w:style w:type="character" w:styleId="Hyperlink">
    <w:name w:val="Hyperlink"/>
    <w:basedOn w:val="DefaultParagraphFont"/>
    <w:uiPriority w:val="99"/>
    <w:unhideWhenUsed/>
    <w:rsid w:val="008947B1"/>
    <w:rPr>
      <w:color w:val="0000FF" w:themeColor="hyperlink"/>
      <w:u w:val="single"/>
    </w:rPr>
  </w:style>
  <w:style w:type="paragraph" w:styleId="Title">
    <w:name w:val="Title"/>
    <w:basedOn w:val="Normal"/>
    <w:next w:val="Normal"/>
    <w:link w:val="TitleChar"/>
    <w:uiPriority w:val="10"/>
    <w:qFormat/>
    <w:rsid w:val="008947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7B1"/>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3C3493"/>
    <w:pPr>
      <w:ind w:left="720"/>
      <w:contextualSpacing/>
    </w:pPr>
  </w:style>
  <w:style w:type="character" w:styleId="PageNumber">
    <w:name w:val="page number"/>
    <w:basedOn w:val="DefaultParagraphFont"/>
    <w:uiPriority w:val="99"/>
    <w:semiHidden/>
    <w:unhideWhenUsed/>
    <w:rsid w:val="00B4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51506">
      <w:bodyDiv w:val="1"/>
      <w:marLeft w:val="0"/>
      <w:marRight w:val="0"/>
      <w:marTop w:val="0"/>
      <w:marBottom w:val="0"/>
      <w:divBdr>
        <w:top w:val="none" w:sz="0" w:space="0" w:color="auto"/>
        <w:left w:val="none" w:sz="0" w:space="0" w:color="auto"/>
        <w:bottom w:val="none" w:sz="0" w:space="0" w:color="auto"/>
        <w:right w:val="none" w:sz="0" w:space="0" w:color="auto"/>
      </w:divBdr>
    </w:div>
    <w:div w:id="1691101436">
      <w:bodyDiv w:val="1"/>
      <w:marLeft w:val="0"/>
      <w:marRight w:val="0"/>
      <w:marTop w:val="0"/>
      <w:marBottom w:val="0"/>
      <w:divBdr>
        <w:top w:val="none" w:sz="0" w:space="0" w:color="auto"/>
        <w:left w:val="none" w:sz="0" w:space="0" w:color="auto"/>
        <w:bottom w:val="none" w:sz="0" w:space="0" w:color="auto"/>
        <w:right w:val="none" w:sz="0" w:space="0" w:color="auto"/>
      </w:divBdr>
      <w:divsChild>
        <w:div w:id="17220542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reg3a.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fb.org/braille-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h.org/research/design-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2820</Words>
  <Characters>16157</Characters>
  <Application>Microsoft Office Word</Application>
  <DocSecurity>0</DocSecurity>
  <Lines>337</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2015-11-03T17:49:00Z</dcterms:created>
  <dcterms:modified xsi:type="dcterms:W3CDTF">2015-11-03T17:49:00Z</dcterms:modified>
  <cp:category> </cp:category>
  <cp:contentStatus> </cp:contentStatus>
</cp:coreProperties>
</file>