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8"/>
        <w:gridCol w:w="3667"/>
        <w:gridCol w:w="2245"/>
        <w:gridCol w:w="1890"/>
        <w:gridCol w:w="2332"/>
        <w:gridCol w:w="26"/>
      </w:tblGrid>
      <w:tr w:rsidR="002C7CB5" w:rsidRPr="002B3BB7" w14:paraId="583F0CB3" w14:textId="77777777" w:rsidTr="002C7CB5">
        <w:trPr>
          <w:gridAfter w:val="1"/>
          <w:wAfter w:w="26" w:type="dxa"/>
          <w:trHeight w:val="287"/>
        </w:trPr>
        <w:tc>
          <w:tcPr>
            <w:tcW w:w="10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100FE8" w14:textId="77777777" w:rsidR="002C7CB5" w:rsidRPr="002B3BB7" w:rsidRDefault="002C7CB5" w:rsidP="005F12AC">
            <w:pPr>
              <w:spacing w:before="60" w:after="60"/>
              <w:rPr>
                <w:rFonts w:ascii="Arial" w:eastAsia="Times New Roman" w:hAnsi="Arial" w:cs="Arial"/>
                <w:color w:val="000000" w:themeColor="text1"/>
              </w:rPr>
            </w:pPr>
            <w:bookmarkStart w:id="0" w:name="_GoBack"/>
            <w:bookmarkEnd w:id="0"/>
            <w:r w:rsidRPr="002B3BB7">
              <w:rPr>
                <w:rFonts w:ascii="Arial" w:eastAsia="Times New Roman" w:hAnsi="Arial" w:cs="Arial"/>
                <w:b/>
                <w:color w:val="000000" w:themeColor="text1"/>
              </w:rPr>
              <w:t>Price/Commercial Terms</w:t>
            </w:r>
          </w:p>
        </w:tc>
      </w:tr>
      <w:tr w:rsidR="00E40555" w:rsidRPr="00E40555" w14:paraId="255BECC1" w14:textId="77777777" w:rsidTr="002C7CB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1"/>
          <w:wBefore w:w="18" w:type="dxa"/>
        </w:trPr>
        <w:tc>
          <w:tcPr>
            <w:tcW w:w="3667" w:type="dxa"/>
          </w:tcPr>
          <w:p w14:paraId="529662B5" w14:textId="32D2273A" w:rsidR="00E40555" w:rsidRPr="00E40555" w:rsidRDefault="002C7CB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C526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onthly </w:t>
            </w:r>
            <w:r w:rsidR="00E40555"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Allowance</w:t>
            </w:r>
          </w:p>
          <w:p w14:paraId="49F21E6B" w14:textId="77777777" w:rsidR="00E40555" w:rsidRPr="00E40555" w:rsidRDefault="00E40555" w:rsidP="001F48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6885C03E" w14:textId="1AE4AE4D" w:rsidR="00E40555" w:rsidRPr="008B1011" w:rsidRDefault="008B1011" w:rsidP="008B1011">
            <w:pPr>
              <w:spacing w:before="60" w:after="60"/>
              <w:jc w:val="center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8B101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[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identify the monthly data allowance associated with one of your most popular plans]</w:t>
            </w:r>
          </w:p>
        </w:tc>
        <w:tc>
          <w:tcPr>
            <w:tcW w:w="1890" w:type="dxa"/>
          </w:tcPr>
          <w:p w14:paraId="6E2D0567" w14:textId="5F4483BA" w:rsidR="00E40555" w:rsidRPr="00E40555" w:rsidRDefault="008B1011" w:rsidP="001F4815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01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[identify the monthly data allowance associated with one of your most popular plans]</w:t>
            </w:r>
          </w:p>
        </w:tc>
        <w:tc>
          <w:tcPr>
            <w:tcW w:w="2358" w:type="dxa"/>
            <w:gridSpan w:val="2"/>
          </w:tcPr>
          <w:p w14:paraId="50353C6C" w14:textId="4082CE33" w:rsidR="00E40555" w:rsidRPr="00E40555" w:rsidRDefault="008B10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01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[identify the monthly data allowance associated with one of your most popular plans]</w:t>
            </w:r>
          </w:p>
        </w:tc>
      </w:tr>
      <w:tr w:rsidR="00E40555" w:rsidRPr="00E40555" w14:paraId="563B7671" w14:textId="77777777" w:rsidTr="002C7CB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1"/>
          <w:wBefore w:w="18" w:type="dxa"/>
        </w:trPr>
        <w:tc>
          <w:tcPr>
            <w:tcW w:w="3667" w:type="dxa"/>
          </w:tcPr>
          <w:p w14:paraId="423BA23F" w14:textId="53B42276" w:rsid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Monthly </w:t>
            </w:r>
            <w:r w:rsidR="008964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Plan </w:t>
            </w:r>
            <w:r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C5264D">
              <w:rPr>
                <w:rFonts w:ascii="Arial" w:hAnsi="Arial" w:cs="Arial"/>
                <w:color w:val="000000" w:themeColor="text1"/>
                <w:sz w:val="22"/>
                <w:szCs w:val="22"/>
              </w:rPr>
              <w:t>harge</w:t>
            </w:r>
          </w:p>
          <w:p w14:paraId="60CCDBD5" w14:textId="2E1A5292" w:rsidR="0041113C" w:rsidRPr="0041113C" w:rsidRDefault="0041113C" w:rsidP="006B755A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(May not/does not include device)</w:t>
            </w:r>
          </w:p>
          <w:p w14:paraId="336677E9" w14:textId="77777777"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245" w:type="dxa"/>
          </w:tcPr>
          <w:p w14:paraId="7D12F8A9" w14:textId="27CACD32" w:rsidR="00E40555" w:rsidRPr="00E40555" w:rsidRDefault="008B1011" w:rsidP="008B10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011">
              <w:rPr>
                <w:rFonts w:ascii="Arial" w:eastAsia="Calibri" w:hAnsi="Arial" w:cs="Arial"/>
                <w:i/>
                <w:sz w:val="22"/>
                <w:szCs w:val="22"/>
              </w:rPr>
              <w:t xml:space="preserve">[provide non-promotional price of </w:t>
            </w:r>
            <w:r>
              <w:rPr>
                <w:rFonts w:ascii="Arial" w:eastAsia="Calibri" w:hAnsi="Arial" w:cs="Arial"/>
                <w:i/>
                <w:sz w:val="22"/>
                <w:szCs w:val="22"/>
              </w:rPr>
              <w:t xml:space="preserve">the plan </w:t>
            </w:r>
            <w:r w:rsidRPr="008B1011">
              <w:rPr>
                <w:rFonts w:ascii="Arial" w:eastAsia="Calibri" w:hAnsi="Arial" w:cs="Arial"/>
                <w:i/>
                <w:sz w:val="22"/>
                <w:szCs w:val="22"/>
              </w:rPr>
              <w:t>on a month-to-month basis]</w:t>
            </w:r>
          </w:p>
        </w:tc>
        <w:tc>
          <w:tcPr>
            <w:tcW w:w="1890" w:type="dxa"/>
          </w:tcPr>
          <w:p w14:paraId="5BDA757C" w14:textId="5AE1C4FB" w:rsidR="00E40555" w:rsidRPr="00E40555" w:rsidRDefault="008B1011" w:rsidP="001F4815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01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[provide non-promotional price of the plan on a month-to-month basis]</w:t>
            </w:r>
          </w:p>
        </w:tc>
        <w:tc>
          <w:tcPr>
            <w:tcW w:w="2358" w:type="dxa"/>
            <w:gridSpan w:val="2"/>
          </w:tcPr>
          <w:p w14:paraId="66DA0D41" w14:textId="75307297" w:rsidR="00E40555" w:rsidRPr="00E40555" w:rsidRDefault="008B101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011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[provide non-promotional price of the plan on a month-to-month basis]</w:t>
            </w:r>
          </w:p>
        </w:tc>
      </w:tr>
      <w:tr w:rsidR="00E40555" w14:paraId="5BE6AC9A" w14:textId="77777777" w:rsidTr="002C7CB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1"/>
          <w:wBefore w:w="18" w:type="dxa"/>
        </w:trPr>
        <w:tc>
          <w:tcPr>
            <w:tcW w:w="3667" w:type="dxa"/>
          </w:tcPr>
          <w:p w14:paraId="3B787BD8" w14:textId="5B936E5F"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>When you exceed data allowance</w:t>
            </w:r>
          </w:p>
          <w:p w14:paraId="4758B1E2" w14:textId="77777777"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93" w:type="dxa"/>
            <w:gridSpan w:val="4"/>
          </w:tcPr>
          <w:p w14:paraId="798958E0" w14:textId="08EEA5C3" w:rsidR="00E40555" w:rsidRPr="00E40555" w:rsidRDefault="008B1011" w:rsidP="008B1011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101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[if applicable, identify additional charges or other outcomes if the monthly data allowance is exceeded]</w:t>
            </w:r>
          </w:p>
        </w:tc>
      </w:tr>
      <w:tr w:rsidR="00E40555" w14:paraId="7894A62C" w14:textId="77777777" w:rsidTr="002C7CB5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1"/>
          <w:wBefore w:w="18" w:type="dxa"/>
        </w:trPr>
        <w:tc>
          <w:tcPr>
            <w:tcW w:w="3667" w:type="dxa"/>
          </w:tcPr>
          <w:p w14:paraId="79B7E43C" w14:textId="77777777"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Included Services/Features:</w:t>
            </w:r>
          </w:p>
          <w:p w14:paraId="71687C89" w14:textId="77777777"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493" w:type="dxa"/>
            <w:gridSpan w:val="4"/>
          </w:tcPr>
          <w:p w14:paraId="22B7AC84" w14:textId="3B561D82" w:rsidR="00E40555" w:rsidRPr="008B1011" w:rsidRDefault="008B1011" w:rsidP="008B1011">
            <w:pPr>
              <w:spacing w:before="60" w:after="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[if applicable, describe other included services and features such as voice and text</w:t>
            </w:r>
            <w:r w:rsidR="008245A4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or tethering and hot spots.</w:t>
            </w: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]</w:t>
            </w:r>
          </w:p>
        </w:tc>
      </w:tr>
    </w:tbl>
    <w:p w14:paraId="490A6AC1" w14:textId="75B9A605" w:rsidR="009C6052" w:rsidRDefault="009C6052" w:rsidP="001F4815">
      <w:pPr>
        <w:spacing w:before="60" w:after="60"/>
        <w:rPr>
          <w:rFonts w:ascii="Arial" w:eastAsia="Times New Roman" w:hAnsi="Arial" w:cs="Arial"/>
          <w:color w:val="538DD5"/>
          <w:sz w:val="22"/>
          <w:szCs w:val="22"/>
          <w:u w:val="single"/>
        </w:rPr>
      </w:pPr>
      <w:r>
        <w:tab/>
      </w:r>
      <w:r w:rsidRPr="005845E4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Additional pricing options</w:t>
      </w:r>
      <w:r w:rsidR="005F6782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, plan</w:t>
      </w:r>
      <w:r w:rsidRPr="005845E4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 xml:space="preserve"> and promotions can be found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51"/>
      </w:tblGrid>
      <w:tr w:rsidR="00A23A53" w14:paraId="6BAFF9EB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1407997" w14:textId="77777777" w:rsidR="0089649D" w:rsidRDefault="0089649D" w:rsidP="0089649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</w:p>
          <w:p w14:paraId="2FAE4901" w14:textId="07235E06" w:rsidR="00A23A53" w:rsidRDefault="00A23A53" w:rsidP="0089649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>Other C</w:t>
            </w:r>
            <w:r w:rsidR="00C5264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>harge</w:t>
            </w:r>
            <w:r w:rsidR="0089649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>s</w:t>
            </w:r>
            <w:r w:rsidR="0079066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 xml:space="preserve"> &amp; Terms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4C336B80" w14:textId="77777777" w:rsidR="00A23A53" w:rsidRDefault="00A23A53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A23A53" w14:paraId="50012A53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913A634" w14:textId="3DF485A1" w:rsidR="00A23A53" w:rsidRPr="00A23A53" w:rsidRDefault="00FB2128" w:rsidP="00AD3C2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Other monthly </w:t>
            </w:r>
            <w:r w:rsidR="0089649D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fees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3353AD04" w14:textId="7962F2C7" w:rsidR="00A23A53" w:rsidRPr="008B1011" w:rsidRDefault="008B1011" w:rsidP="00B51FEF">
            <w:pPr>
              <w:spacing w:before="60" w:after="60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</w:t>
            </w:r>
            <w:r w:rsidR="00A0582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identify </w:t>
            </w:r>
            <w:r w:rsidRPr="008B101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any monthly fees that the company chooses to impose in connection with the </w:t>
            </w:r>
            <w:r w:rsidR="00A0582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customer’s plan (</w:t>
            </w:r>
            <w:r w:rsidR="0010102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e.g., </w:t>
            </w:r>
            <w:r w:rsidR="00A0582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a regulatory recovery fee) and </w:t>
            </w:r>
            <w:r w:rsidR="00A0582F" w:rsidRPr="00A0582F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for which all customers are charged the same fixed amount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</w:p>
          <w:p w14:paraId="61DC0037" w14:textId="6E183EA2" w:rsidR="00971E1B" w:rsidRPr="00A23A53" w:rsidRDefault="00971E1B" w:rsidP="00B51FE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6525BF75" w14:textId="7D48CA9E" w:rsidR="0089649D" w:rsidRPr="00FC7983" w:rsidRDefault="00FC7983">
      <w:pPr>
        <w:rPr>
          <w:rFonts w:ascii="Arial" w:hAnsi="Arial" w:cs="Arial"/>
          <w:i/>
          <w:sz w:val="22"/>
          <w:szCs w:val="22"/>
        </w:rPr>
      </w:pPr>
      <w:r w:rsidRPr="00FC7983">
        <w:rPr>
          <w:rFonts w:ascii="Arial" w:hAnsi="Arial" w:cs="Arial"/>
          <w:sz w:val="22"/>
          <w:szCs w:val="22"/>
        </w:rPr>
        <w:t>Government taxes and fees, and other carrier surcharges may also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51"/>
      </w:tblGrid>
      <w:tr w:rsidR="00A23A53" w14:paraId="698624C8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1857DDB" w14:textId="77777777" w:rsidR="0089649D" w:rsidRDefault="0089649D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57C1A504" w14:textId="42E84ED9" w:rsidR="00A23A53" w:rsidRPr="00A23A53" w:rsidRDefault="003C500A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One-time fees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165D6D12" w14:textId="77777777" w:rsidR="00A23A53" w:rsidRDefault="00A23A53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  <w:p w14:paraId="3AE475C0" w14:textId="5A98C2AF" w:rsidR="003A565E" w:rsidRPr="00A23A53" w:rsidRDefault="003A565E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A56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[identify any one-time fees that the company chooses to impose in connection with the purchase of broadband service, e.g.,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activation</w:t>
            </w:r>
            <w:r w:rsidRPr="003A56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fees</w:t>
            </w:r>
            <w:r w:rsidR="00FC798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; if applicable, also include a statement such as: “</w:t>
            </w:r>
            <w:r w:rsidR="00FC7983" w:rsidRPr="00FC798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Based on credit history or other factors a deposit may be required</w:t>
            </w:r>
            <w:r w:rsidR="00FC798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”</w:t>
            </w:r>
            <w:r w:rsidRPr="003A565E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]</w:t>
            </w:r>
          </w:p>
        </w:tc>
      </w:tr>
      <w:tr w:rsidR="00A23A53" w14:paraId="5A78AF3B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077D0F49" w14:textId="3BA37F4D" w:rsidR="00A23A53" w:rsidRPr="00A23A53" w:rsidRDefault="003C500A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Service contract term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63C011D3" w14:textId="0F47FE58" w:rsidR="00A23A53" w:rsidRPr="003A565E" w:rsidRDefault="003A565E" w:rsidP="003A565E">
            <w:pPr>
              <w:spacing w:before="60" w:after="60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[identify the length in months of the term of the service contract; if there is no service contract term, then state “None.”]</w:t>
            </w:r>
          </w:p>
        </w:tc>
      </w:tr>
      <w:tr w:rsidR="00A23A53" w14:paraId="23D67A89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F804897" w14:textId="7EA586F7" w:rsidR="00A23A53" w:rsidRPr="00A23A53" w:rsidRDefault="00A23A53" w:rsidP="00403EEE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Early termination fee 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576DA16B" w14:textId="3B013315" w:rsidR="00A23A53" w:rsidRPr="00A23A53" w:rsidRDefault="003A565E" w:rsidP="00BC248E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3A565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see </w:t>
            </w:r>
            <w:r w:rsidRPr="003A565E">
              <w:rPr>
                <w:rFonts w:ascii="Arial" w:eastAsia="Times New Roman" w:hAnsi="Arial" w:cs="Arial"/>
                <w:color w:val="5B9BD5"/>
                <w:sz w:val="22"/>
                <w:szCs w:val="22"/>
                <w:u w:val="single"/>
              </w:rPr>
              <w:t xml:space="preserve">link for complete terms </w:t>
            </w:r>
            <w:r w:rsidRPr="003A565E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[if applicable, identify any fees that will be imposed if the customer cancels 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the plan </w:t>
            </w:r>
            <w:r w:rsidRPr="003A565E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before the end of </w:t>
            </w:r>
            <w:r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 xml:space="preserve">the service </w:t>
            </w:r>
            <w:r w:rsidRPr="003A565E">
              <w:rPr>
                <w:rFonts w:ascii="Arial" w:eastAsia="Times New Roman" w:hAnsi="Arial" w:cs="Arial"/>
                <w:i/>
                <w:sz w:val="22"/>
                <w:szCs w:val="22"/>
                <w:u w:val="single"/>
              </w:rPr>
              <w:t>contract and provide a link to a full explanation of when such fees would be triggered]</w:t>
            </w:r>
          </w:p>
        </w:tc>
      </w:tr>
      <w:tr w:rsidR="002319CC" w14:paraId="25F5E9B3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0C37B6C0" w14:textId="636A830B" w:rsidR="002319CC" w:rsidRDefault="002319CC" w:rsidP="002319CC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Bring your own device Y/N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6C80D571" w14:textId="77777777" w:rsidR="003A565E" w:rsidRDefault="002319CC" w:rsidP="00C5264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If yes see provider for more details</w:t>
            </w:r>
            <w:r w:rsidR="003A565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45EAE26D" w14:textId="25895008" w:rsidR="00375D23" w:rsidRPr="003A565E" w:rsidRDefault="003A565E" w:rsidP="00C5264D">
            <w:pPr>
              <w:spacing w:before="60" w:after="60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[state “Yes” and provide a link if company allows customers to bring their own devices; state “No” if company does not allow customers to bring their own devices.]</w:t>
            </w:r>
          </w:p>
          <w:p w14:paraId="506AA2D7" w14:textId="7775E58C" w:rsidR="003A565E" w:rsidRPr="00A23A53" w:rsidRDefault="003A565E" w:rsidP="00C5264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E694FE5" w14:textId="77777777" w:rsidR="00C5264D" w:rsidRDefault="00C5264D" w:rsidP="00C5264D">
      <w:pPr>
        <w:rPr>
          <w:rFonts w:eastAsia="Calibri"/>
          <w:color w:val="0070C0"/>
          <w:u w:val="single"/>
        </w:rPr>
      </w:pPr>
      <w:r w:rsidRPr="00C5264D">
        <w:rPr>
          <w:rFonts w:eastAsia="Calibri"/>
        </w:rPr>
        <w:tab/>
      </w:r>
      <w:r w:rsidRPr="00C5264D">
        <w:rPr>
          <w:rFonts w:eastAsia="Calibri"/>
          <w:color w:val="0070C0"/>
          <w:u w:val="single"/>
        </w:rPr>
        <w:t>link to customer agreement</w:t>
      </w:r>
    </w:p>
    <w:p w14:paraId="31718DB7" w14:textId="77777777" w:rsidR="00FC7983" w:rsidRDefault="00FC7983" w:rsidP="00C5264D">
      <w:pPr>
        <w:rPr>
          <w:rFonts w:eastAsia="Calibri"/>
          <w:u w:val="single"/>
        </w:rPr>
      </w:pPr>
    </w:p>
    <w:p w14:paraId="45D38BF0" w14:textId="77777777" w:rsidR="003A1C6A" w:rsidRPr="00C5264D" w:rsidRDefault="003A1C6A" w:rsidP="00C5264D">
      <w:pPr>
        <w:rPr>
          <w:rFonts w:eastAsia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083"/>
        <w:gridCol w:w="3968"/>
      </w:tblGrid>
      <w:tr w:rsidR="00A23A53" w14:paraId="0BDD72D3" w14:textId="77777777" w:rsidTr="00846E00">
        <w:trPr>
          <w:trHeight w:val="28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627AC7D" w14:textId="4119A1B6" w:rsidR="00A23A53" w:rsidRPr="005845E4" w:rsidRDefault="005845E4" w:rsidP="001F4815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5845E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Performance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1125A1" w14:textId="77777777" w:rsidR="00A23A53" w:rsidRPr="00A23A53" w:rsidRDefault="00A23A53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D528E" w14:paraId="5C05B363" w14:textId="77777777" w:rsidTr="00895799">
        <w:trPr>
          <w:trHeight w:val="440"/>
        </w:trPr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3960F" w14:textId="77777777" w:rsidR="00AD528E" w:rsidRDefault="00AD528E" w:rsidP="001F4815">
            <w:pPr>
              <w:spacing w:before="60" w:after="60"/>
            </w:pP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08322" w14:textId="1688DCB4" w:rsidR="00AD528E" w:rsidRPr="00AD528E" w:rsidRDefault="00AD528E" w:rsidP="00AD528E">
            <w:pPr>
              <w:spacing w:before="60" w:after="60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</w:pPr>
            <w:r w:rsidRPr="00AD528E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[identify the primary network technology for the plan (e.g. 4G, 3G)]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38659" w14:textId="6DF8B99F" w:rsidR="00AD528E" w:rsidRPr="00AD528E" w:rsidRDefault="00AD528E" w:rsidP="00AD528E">
            <w:pPr>
              <w:spacing w:before="60" w:after="60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</w:pPr>
            <w:r w:rsidRPr="00AD528E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[identify other network technologies for the plan (e.g. 4G, 3G)]</w:t>
            </w:r>
          </w:p>
        </w:tc>
      </w:tr>
      <w:tr w:rsidR="00547805" w14:paraId="2BABB269" w14:textId="43F0E704" w:rsidTr="00895799">
        <w:trPr>
          <w:trHeight w:val="44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498ABA54" w14:textId="1190DE9C" w:rsidR="00547805" w:rsidRPr="00A23A53" w:rsidRDefault="00547805" w:rsidP="00AD528E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br w:type="page"/>
            </w:r>
            <w:r w:rsidR="00971E1B" w:rsidRPr="00D05F69">
              <w:rPr>
                <w:rFonts w:ascii="Arial" w:hAnsi="Arial" w:cs="Arial"/>
                <w:sz w:val="22"/>
                <w:szCs w:val="22"/>
              </w:rPr>
              <w:t>Typical</w:t>
            </w:r>
            <w:r w:rsidR="00971E1B"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Speed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23188E35" w14:textId="176F0F8F" w:rsidR="00547805" w:rsidRPr="00A23A53" w:rsidRDefault="00895799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[identify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typical </w:t>
            </w:r>
            <w:r w:rsidRPr="0089579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peak period download and upload speeds for this 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network technology </w:t>
            </w:r>
            <w:r w:rsidRPr="0089579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based on results from the Measuring Broadband America program, internal testing, or any other measurement of past performance for this </w:t>
            </w:r>
            <w:r w:rsidR="00FC798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network technology</w:t>
            </w:r>
            <w:r w:rsidRPr="0089579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that is consistent with FCC guidance]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6653FF96" w14:textId="2281486B" w:rsidR="00547805" w:rsidRPr="00A23A53" w:rsidRDefault="00895799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[identify typical peak period download and upload speeds for this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network </w:t>
            </w:r>
            <w:r w:rsidRPr="0089579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technology based on results from the Measuring Broadband America program, internal testing, or any other measurement of past performance for this </w:t>
            </w:r>
            <w:r w:rsidR="00FC79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network technology</w:t>
            </w:r>
            <w:r w:rsidRPr="0089579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that is consistent with FCC guidance]</w:t>
            </w:r>
          </w:p>
        </w:tc>
      </w:tr>
      <w:tr w:rsidR="00547805" w14:paraId="4ACC15E0" w14:textId="77DA4AA4" w:rsidTr="00547805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4E82B60" w14:textId="1A3370AE" w:rsidR="00547805" w:rsidRPr="00A23A53" w:rsidRDefault="00971E1B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Typical </w:t>
            </w:r>
            <w:r w:rsidR="0054780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Latency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14:paraId="25A1CCA3" w14:textId="0619437E" w:rsidR="00547805" w:rsidRPr="00A23A53" w:rsidRDefault="00895799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[identify typical peak period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latency</w:t>
            </w:r>
            <w:r w:rsidRPr="0089579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for this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network </w:t>
            </w:r>
            <w:r w:rsidRPr="0089579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technology based on results from the Measuring Broadband America program, internal testing, or any other measurement of past performance for this </w:t>
            </w:r>
            <w:r w:rsidR="00FC79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network technology</w:t>
            </w:r>
            <w:r w:rsidRPr="0089579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that is consistent with FCC guidance]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14:paraId="31A8DF05" w14:textId="1D1D0E92" w:rsidR="00547805" w:rsidRPr="00A23A53" w:rsidRDefault="00895799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[identify typical peak period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latency </w:t>
            </w:r>
            <w:r w:rsidRPr="0089579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for this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network </w:t>
            </w:r>
            <w:r w:rsidRPr="0089579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technology based on results from the Measuring Broadband America program, internal testing, or any other measurement of past performance for this </w:t>
            </w:r>
            <w:r w:rsidR="00FC7983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network technology</w:t>
            </w:r>
            <w:r w:rsidRPr="0089579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that is consistent with FCC guidance]</w:t>
            </w:r>
          </w:p>
        </w:tc>
      </w:tr>
      <w:tr w:rsidR="00A23A53" w14:paraId="64DCB8FF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484A38E8" w14:textId="77777777" w:rsidR="00A23A53" w:rsidRPr="00A23A53" w:rsidRDefault="00A23A53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6064E" w14:textId="77AE4CD9" w:rsidR="00A23A53" w:rsidRPr="00A23A53" w:rsidRDefault="002319CC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Coverage Map link</w:t>
            </w:r>
          </w:p>
        </w:tc>
      </w:tr>
    </w:tbl>
    <w:p w14:paraId="69BCD937" w14:textId="43EB2F8E" w:rsidR="002319CC" w:rsidRPr="00FC7983" w:rsidRDefault="002319CC">
      <w:pPr>
        <w:rPr>
          <w:rFonts w:ascii="Arial" w:hAnsi="Arial" w:cs="Arial"/>
          <w:sz w:val="22"/>
          <w:szCs w:val="22"/>
        </w:rPr>
      </w:pPr>
      <w:r>
        <w:tab/>
      </w:r>
      <w:r w:rsidR="00971E1B" w:rsidRPr="00FC7983">
        <w:rPr>
          <w:rFonts w:ascii="Arial" w:hAnsi="Arial" w:cs="Arial"/>
          <w:sz w:val="22"/>
          <w:szCs w:val="22"/>
        </w:rPr>
        <w:t xml:space="preserve">Individual experience may vary, </w:t>
      </w:r>
      <w:r w:rsidR="00971E1B" w:rsidRPr="00FC7983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see link for more details.</w:t>
      </w:r>
    </w:p>
    <w:p w14:paraId="71046E25" w14:textId="62741FEB" w:rsidR="002319CC" w:rsidRDefault="002319CC">
      <w:pPr>
        <w:rPr>
          <w:rFonts w:ascii="Arial" w:hAnsi="Arial" w:cs="Arial"/>
          <w:sz w:val="22"/>
          <w:szCs w:val="22"/>
        </w:rPr>
      </w:pPr>
      <w:r w:rsidRPr="00FC7983">
        <w:rPr>
          <w:rFonts w:ascii="Arial" w:hAnsi="Arial" w:cs="Arial"/>
          <w:sz w:val="22"/>
          <w:szCs w:val="22"/>
        </w:rPr>
        <w:tab/>
        <w:t>Disclosure if carrier offers specialized services that could impact spe</w:t>
      </w:r>
      <w:r w:rsidR="00895799" w:rsidRPr="00FC7983">
        <w:rPr>
          <w:rFonts w:ascii="Arial" w:hAnsi="Arial" w:cs="Arial"/>
          <w:sz w:val="22"/>
          <w:szCs w:val="22"/>
        </w:rPr>
        <w:t>e</w:t>
      </w:r>
      <w:r w:rsidRPr="00FC7983">
        <w:rPr>
          <w:rFonts w:ascii="Arial" w:hAnsi="Arial" w:cs="Arial"/>
          <w:sz w:val="22"/>
          <w:szCs w:val="22"/>
        </w:rPr>
        <w:t>d with linkable statement</w:t>
      </w:r>
    </w:p>
    <w:p w14:paraId="2ACE9126" w14:textId="77777777" w:rsidR="00FC7983" w:rsidRPr="00FC7983" w:rsidRDefault="00FC798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51"/>
      </w:tblGrid>
      <w:tr w:rsidR="00A23A53" w:rsidRPr="00D465F7" w14:paraId="67D6E22D" w14:textId="77777777" w:rsidTr="00846E00">
        <w:trPr>
          <w:trHeight w:val="29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3AA1E7E" w14:textId="77777777" w:rsidR="00A23A53" w:rsidRPr="00D465F7" w:rsidRDefault="00D465F7" w:rsidP="001F4815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D465F7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Network Management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60ACEE" w14:textId="77777777" w:rsidR="00A23A53" w:rsidRPr="00D465F7" w:rsidRDefault="00A23A53" w:rsidP="001F4815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23A53" w14:paraId="033D7399" w14:textId="77777777" w:rsidTr="00D465F7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FCFA2" w14:textId="77777777" w:rsidR="00D465F7" w:rsidRPr="00A23A53" w:rsidRDefault="00D465F7" w:rsidP="00AD3C2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Application-specific network management practices?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D5A49" w14:textId="2CC3BFB4" w:rsidR="00A23A53" w:rsidRPr="00A23A53" w:rsidRDefault="00895799" w:rsidP="00B51FE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[answer yes or no; if yes, provide a link to a full discussion that identifies application-specific network management practices, when such practices are triggered, and the effect such practices could have on performance]</w:t>
            </w:r>
          </w:p>
        </w:tc>
      </w:tr>
      <w:tr w:rsidR="00D465F7" w14:paraId="3D7BF8AD" w14:textId="77777777" w:rsidTr="00C22B20">
        <w:trPr>
          <w:trHeight w:val="909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67885639" w14:textId="77777777" w:rsidR="00D465F7" w:rsidRPr="00A23A53" w:rsidRDefault="00C22B20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Subscriber-triggered network management practices?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7460B7E6" w14:textId="6DAED2FF" w:rsidR="00D465F7" w:rsidRPr="00A23A53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[answer yes or no; if yes, provide a link to a full discussion that identifies subscriber-triggered network management practices, when such practices are triggered, and the effect such practices could have on performance]</w:t>
            </w:r>
          </w:p>
        </w:tc>
      </w:tr>
      <w:tr w:rsidR="00C22B20" w14:paraId="0EDDCE4D" w14:textId="77777777" w:rsidTr="008F7A61"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FE415" w14:textId="073D2680" w:rsidR="00C22B20" w:rsidRPr="00A23A53" w:rsidRDefault="00942368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</w:t>
            </w:r>
            <w:r w:rsidR="00C22B2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ee </w:t>
            </w:r>
            <w:r w:rsidR="00C22B20" w:rsidRPr="00C22B20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detailed disclosure of Network Practices</w:t>
            </w:r>
            <w:r w:rsidR="00895799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 xml:space="preserve"> </w:t>
            </w:r>
            <w:r w:rsidR="00895799" w:rsidRPr="00895799">
              <w:rPr>
                <w:rFonts w:ascii="Arial" w:eastAsia="Times New Roman" w:hAnsi="Arial" w:cs="Arial"/>
                <w:i/>
                <w:color w:val="5B9BD5" w:themeColor="accent1"/>
                <w:sz w:val="22"/>
                <w:szCs w:val="22"/>
                <w:u w:val="single"/>
              </w:rPr>
              <w:t>[provide a link to the company’s full disclosure of network management practices]</w:t>
            </w:r>
          </w:p>
        </w:tc>
      </w:tr>
      <w:tr w:rsidR="00D465F7" w14:paraId="760E7EF3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6E401D30" w14:textId="77777777" w:rsidR="00D465F7" w:rsidRPr="00A23A53" w:rsidRDefault="00C22B20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Privacy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2CACA3A3" w14:textId="43F39544" w:rsidR="00D465F7" w:rsidRPr="00C22B20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895799">
              <w:rPr>
                <w:rFonts w:ascii="Arial" w:eastAsia="Times New Roman" w:hAnsi="Arial" w:cs="Arial"/>
                <w:i/>
                <w:color w:val="5B9BD5" w:themeColor="accent1"/>
                <w:sz w:val="22"/>
                <w:szCs w:val="22"/>
                <w:u w:val="single"/>
              </w:rPr>
              <w:t>[provide a link to the company’s privacy policy for broadband services]</w:t>
            </w:r>
          </w:p>
        </w:tc>
      </w:tr>
      <w:tr w:rsidR="00D465F7" w14:paraId="2C14240D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5292F35" w14:textId="2862CD2B" w:rsidR="00D465F7" w:rsidRPr="00A23A53" w:rsidRDefault="0089649D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Complaints/Inquiries</w:t>
            </w:r>
            <w:r w:rsidR="00C22B2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3804D2B4" w14:textId="41CD3261" w:rsidR="00D465F7" w:rsidRPr="00A23A53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5B9BD5"/>
                <w:sz w:val="22"/>
                <w:szCs w:val="22"/>
                <w:u w:val="single"/>
              </w:rPr>
              <w:t>[provide a phone number for the company’s customer service center and link to the primary customer service web page]</w:t>
            </w:r>
          </w:p>
        </w:tc>
      </w:tr>
      <w:tr w:rsidR="00D465F7" w14:paraId="71296834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1BB7C657" w14:textId="77777777" w:rsidR="00D465F7" w:rsidRPr="00A23A53" w:rsidRDefault="00D465F7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7440B33F" w14:textId="617E4771" w:rsidR="00D465F7" w:rsidRPr="00A23A53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5B9BD5"/>
                <w:sz w:val="22"/>
                <w:szCs w:val="22"/>
                <w:u w:val="single"/>
              </w:rPr>
              <w:t>[provide the phone number and a link for the FCC’s complaint center]</w:t>
            </w:r>
          </w:p>
        </w:tc>
      </w:tr>
      <w:tr w:rsidR="00732B4A" w14:paraId="06E90110" w14:textId="77777777" w:rsidTr="00D47D01"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3779A" w14:textId="77777777" w:rsidR="00732B4A" w:rsidRDefault="00732B4A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32B4A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Link to FCC site</w:t>
            </w:r>
            <w:r w:rsidRPr="00732B4A">
              <w:rPr>
                <w:rFonts w:ascii="Arial" w:eastAsia="Times New Roman" w:hAnsi="Arial" w:cs="Arial"/>
                <w:color w:val="5B9BD5" w:themeColor="accent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explaining terms used and the Open Internet Order items relevant to consumers</w:t>
            </w:r>
          </w:p>
          <w:p w14:paraId="5C8F7785" w14:textId="24503646" w:rsidR="00895799" w:rsidRPr="00A23A53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[provide a link to a page on the FCC web site [TBD] that provides a glossary of terms and other </w:t>
            </w:r>
            <w:r w:rsidRPr="00895799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lastRenderedPageBreak/>
              <w:t>relevant information regarding the Open Internet Order]</w:t>
            </w:r>
          </w:p>
        </w:tc>
      </w:tr>
    </w:tbl>
    <w:p w14:paraId="1B541871" w14:textId="77777777" w:rsidR="004C3EA4" w:rsidRPr="004C3EA4" w:rsidRDefault="004C3EA4" w:rsidP="004C3EA4">
      <w:pPr>
        <w:spacing w:before="60" w:after="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C3EA4">
        <w:rPr>
          <w:rFonts w:ascii="Arial" w:eastAsia="Times New Roman" w:hAnsi="Arial" w:cs="Arial"/>
          <w:color w:val="000000" w:themeColor="text1"/>
          <w:sz w:val="22"/>
          <w:szCs w:val="22"/>
        </w:rPr>
        <w:lastRenderedPageBreak/>
        <w:t>NOTE: service may not be available to all locations</w:t>
      </w:r>
    </w:p>
    <w:p w14:paraId="33DA6AD3" w14:textId="77777777" w:rsidR="009C6052" w:rsidRPr="009C6052" w:rsidRDefault="009C6052" w:rsidP="0089649D">
      <w:pPr>
        <w:spacing w:before="60" w:after="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sectPr w:rsidR="009C6052" w:rsidRPr="009C6052" w:rsidSect="00732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ADA2E" w14:textId="77777777" w:rsidR="003D6116" w:rsidRDefault="003D6116" w:rsidP="009C6052">
      <w:r>
        <w:separator/>
      </w:r>
    </w:p>
  </w:endnote>
  <w:endnote w:type="continuationSeparator" w:id="0">
    <w:p w14:paraId="6D3171A3" w14:textId="77777777" w:rsidR="003D6116" w:rsidRDefault="003D6116" w:rsidP="009C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2A604" w14:textId="77777777" w:rsidR="00DB7CE1" w:rsidRDefault="00DB7C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3B1E3" w14:textId="77777777" w:rsidR="00541F1E" w:rsidRDefault="00541F1E" w:rsidP="00541F1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9781" w14:textId="77777777" w:rsidR="00DB7CE1" w:rsidRDefault="00DB7C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711A4" w14:textId="77777777" w:rsidR="003D6116" w:rsidRDefault="003D6116" w:rsidP="009C6052">
      <w:r>
        <w:separator/>
      </w:r>
    </w:p>
  </w:footnote>
  <w:footnote w:type="continuationSeparator" w:id="0">
    <w:p w14:paraId="33E88C58" w14:textId="77777777" w:rsidR="003D6116" w:rsidRDefault="003D6116" w:rsidP="009C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82A7" w14:textId="77777777" w:rsidR="00DB7CE1" w:rsidRDefault="00DB7C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E68C" w14:textId="1BADD407" w:rsidR="009C6052" w:rsidRDefault="008E6FB4" w:rsidP="009C605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MOBILE BROADBAND CONSUMER DISCLOSURE</w:t>
    </w:r>
  </w:p>
  <w:p w14:paraId="1BB30F26" w14:textId="504B3E5C" w:rsidR="008E6FB4" w:rsidRDefault="008E6FB4" w:rsidP="009C605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INSTRUCTIONS</w:t>
    </w:r>
  </w:p>
  <w:p w14:paraId="755C1D32" w14:textId="77777777" w:rsidR="004642B2" w:rsidRPr="009C6052" w:rsidRDefault="004642B2" w:rsidP="009C6052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714FD" w14:textId="77777777" w:rsidR="00DB7CE1" w:rsidRDefault="00DB7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62018"/>
    <w:rsid w:val="000916E4"/>
    <w:rsid w:val="00101025"/>
    <w:rsid w:val="00106DC3"/>
    <w:rsid w:val="001F4815"/>
    <w:rsid w:val="002319CC"/>
    <w:rsid w:val="002C7CB5"/>
    <w:rsid w:val="003633BD"/>
    <w:rsid w:val="00375D23"/>
    <w:rsid w:val="003A1C6A"/>
    <w:rsid w:val="003A565E"/>
    <w:rsid w:val="003C500A"/>
    <w:rsid w:val="003D6116"/>
    <w:rsid w:val="00403EEE"/>
    <w:rsid w:val="0041113C"/>
    <w:rsid w:val="004642B2"/>
    <w:rsid w:val="004C3EA4"/>
    <w:rsid w:val="004C70E5"/>
    <w:rsid w:val="004E37D7"/>
    <w:rsid w:val="00541F1E"/>
    <w:rsid w:val="00542BB2"/>
    <w:rsid w:val="00547805"/>
    <w:rsid w:val="00571AFA"/>
    <w:rsid w:val="005845E4"/>
    <w:rsid w:val="005B5373"/>
    <w:rsid w:val="005C7019"/>
    <w:rsid w:val="005F6782"/>
    <w:rsid w:val="00732B4A"/>
    <w:rsid w:val="0074441E"/>
    <w:rsid w:val="00790665"/>
    <w:rsid w:val="007F4780"/>
    <w:rsid w:val="008245A4"/>
    <w:rsid w:val="00846E00"/>
    <w:rsid w:val="00895799"/>
    <w:rsid w:val="0089649D"/>
    <w:rsid w:val="008B1011"/>
    <w:rsid w:val="008C30B5"/>
    <w:rsid w:val="008E6FB4"/>
    <w:rsid w:val="00930BB5"/>
    <w:rsid w:val="00942368"/>
    <w:rsid w:val="009469D0"/>
    <w:rsid w:val="00971E1B"/>
    <w:rsid w:val="009C6052"/>
    <w:rsid w:val="00A0582F"/>
    <w:rsid w:val="00A100B6"/>
    <w:rsid w:val="00A23A53"/>
    <w:rsid w:val="00AD3C2D"/>
    <w:rsid w:val="00AD528E"/>
    <w:rsid w:val="00B51FEF"/>
    <w:rsid w:val="00BC248E"/>
    <w:rsid w:val="00BE3A8D"/>
    <w:rsid w:val="00C22B20"/>
    <w:rsid w:val="00C5264D"/>
    <w:rsid w:val="00D05F69"/>
    <w:rsid w:val="00D465F7"/>
    <w:rsid w:val="00DB7CE1"/>
    <w:rsid w:val="00DF5B3B"/>
    <w:rsid w:val="00E40555"/>
    <w:rsid w:val="00E67496"/>
    <w:rsid w:val="00EF550F"/>
    <w:rsid w:val="00F90018"/>
    <w:rsid w:val="00FB2128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DB2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6052"/>
  </w:style>
  <w:style w:type="paragraph" w:styleId="Footer">
    <w:name w:val="footer"/>
    <w:basedOn w:val="Normal"/>
    <w:link w:val="Foot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6052"/>
  </w:style>
  <w:style w:type="table" w:styleId="TableGrid">
    <w:name w:val="Table Grid"/>
    <w:basedOn w:val="TableNormal"/>
    <w:uiPriority w:val="39"/>
    <w:rsid w:val="009C6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055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6052"/>
  </w:style>
  <w:style w:type="paragraph" w:styleId="Footer">
    <w:name w:val="footer"/>
    <w:basedOn w:val="Normal"/>
    <w:link w:val="Foot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6052"/>
  </w:style>
  <w:style w:type="table" w:styleId="TableGrid">
    <w:name w:val="Table Grid"/>
    <w:basedOn w:val="TableNormal"/>
    <w:uiPriority w:val="39"/>
    <w:rsid w:val="009C6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055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4121</Characters>
  <Application>Microsoft Office Word</Application>
  <DocSecurity>0</DocSecurity>
  <Lines>159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4808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2015-10-16T15:45:00Z</cp:lastPrinted>
  <dcterms:created xsi:type="dcterms:W3CDTF">2015-11-03T17:55:00Z</dcterms:created>
  <dcterms:modified xsi:type="dcterms:W3CDTF">2015-11-03T17:55:00Z</dcterms:modified>
  <cp:category> </cp:category>
  <cp:contentStatus> </cp:contentStatus>
</cp:coreProperties>
</file>