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63193153" w14:textId="77777777" w:rsidTr="006D5D22">
        <w:trPr>
          <w:trHeight w:val="2181"/>
        </w:trPr>
        <w:tc>
          <w:tcPr>
            <w:tcW w:w="8856" w:type="dxa"/>
          </w:tcPr>
          <w:p w14:paraId="16CAB9C2" w14:textId="77777777" w:rsidR="00FF232D" w:rsidRDefault="00C81D88" w:rsidP="006A7D75">
            <w:pPr>
              <w:jc w:val="center"/>
              <w:rPr>
                <w:b/>
              </w:rPr>
            </w:pPr>
            <w:bookmarkStart w:id="0" w:name="_GoBack"/>
            <w:bookmarkEnd w:id="0"/>
            <w:r>
              <w:rPr>
                <w:b/>
                <w:i/>
                <w:noProof/>
                <w:sz w:val="28"/>
                <w:szCs w:val="28"/>
              </w:rPr>
              <w:drawing>
                <wp:inline distT="0" distB="0" distL="0" distR="0" wp14:anchorId="204F86A1" wp14:editId="25EC9D04">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7A451313" w14:textId="77777777" w:rsidR="00426518" w:rsidRDefault="00426518" w:rsidP="00B57131">
            <w:pPr>
              <w:rPr>
                <w:b/>
                <w:bCs/>
              </w:rPr>
            </w:pPr>
          </w:p>
          <w:p w14:paraId="46F9CAAB" w14:textId="77777777" w:rsidR="007A44F8" w:rsidRPr="008A3940" w:rsidRDefault="007A44F8" w:rsidP="00BB4E29">
            <w:pPr>
              <w:rPr>
                <w:b/>
                <w:bCs/>
                <w:sz w:val="22"/>
                <w:szCs w:val="22"/>
              </w:rPr>
            </w:pPr>
            <w:r w:rsidRPr="008A3940">
              <w:rPr>
                <w:b/>
                <w:bCs/>
                <w:sz w:val="22"/>
                <w:szCs w:val="22"/>
              </w:rPr>
              <w:t xml:space="preserve">Media Contact: </w:t>
            </w:r>
          </w:p>
          <w:p w14:paraId="77E0EB3E" w14:textId="77777777"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14:paraId="0AADA3A9" w14:textId="77777777" w:rsidR="00FF232D" w:rsidRPr="008A3940" w:rsidRDefault="007A44F8" w:rsidP="00BB4E29">
            <w:pPr>
              <w:rPr>
                <w:bCs/>
                <w:sz w:val="22"/>
                <w:szCs w:val="22"/>
              </w:rPr>
            </w:pPr>
            <w:r w:rsidRPr="008A3940">
              <w:rPr>
                <w:bCs/>
                <w:sz w:val="22"/>
                <w:szCs w:val="22"/>
              </w:rPr>
              <w:t>will.wiquist@fcc.gov</w:t>
            </w:r>
          </w:p>
          <w:p w14:paraId="426C40DE" w14:textId="77777777" w:rsidR="007A44F8" w:rsidRPr="008A3940" w:rsidRDefault="007A44F8" w:rsidP="00BB4E29">
            <w:pPr>
              <w:rPr>
                <w:bCs/>
                <w:sz w:val="22"/>
                <w:szCs w:val="22"/>
              </w:rPr>
            </w:pPr>
          </w:p>
          <w:p w14:paraId="4E016083" w14:textId="77777777" w:rsidR="007A44F8" w:rsidRPr="008A3940" w:rsidRDefault="007A44F8" w:rsidP="00BB4E29">
            <w:pPr>
              <w:rPr>
                <w:b/>
                <w:sz w:val="22"/>
                <w:szCs w:val="22"/>
              </w:rPr>
            </w:pPr>
            <w:r w:rsidRPr="008A3940">
              <w:rPr>
                <w:b/>
                <w:sz w:val="22"/>
                <w:szCs w:val="22"/>
              </w:rPr>
              <w:t>For Immediate Release</w:t>
            </w:r>
          </w:p>
          <w:p w14:paraId="25E04F98" w14:textId="77777777" w:rsidR="007A44F8" w:rsidRDefault="007A44F8" w:rsidP="00BB4E29">
            <w:pPr>
              <w:jc w:val="center"/>
              <w:rPr>
                <w:b/>
                <w:bCs/>
                <w:sz w:val="32"/>
                <w:szCs w:val="32"/>
              </w:rPr>
            </w:pPr>
          </w:p>
          <w:p w14:paraId="04193185" w14:textId="187BC10F" w:rsidR="0021734D" w:rsidRPr="007A661D" w:rsidRDefault="0021734D" w:rsidP="00570197">
            <w:pPr>
              <w:jc w:val="center"/>
              <w:rPr>
                <w:b/>
                <w:bCs/>
                <w:sz w:val="26"/>
                <w:szCs w:val="26"/>
              </w:rPr>
            </w:pPr>
            <w:r>
              <w:rPr>
                <w:b/>
                <w:bCs/>
                <w:sz w:val="26"/>
                <w:szCs w:val="26"/>
              </w:rPr>
              <w:t>COX COMMUNICATIONS TO PAY $595,000</w:t>
            </w:r>
            <w:r w:rsidRPr="007A661D">
              <w:rPr>
                <w:b/>
                <w:bCs/>
                <w:sz w:val="26"/>
                <w:szCs w:val="26"/>
              </w:rPr>
              <w:t xml:space="preserve"> </w:t>
            </w:r>
            <w:r w:rsidR="00977ABB">
              <w:rPr>
                <w:b/>
                <w:bCs/>
                <w:sz w:val="26"/>
                <w:szCs w:val="26"/>
              </w:rPr>
              <w:t xml:space="preserve">TO SETTLE </w:t>
            </w:r>
            <w:r w:rsidR="00570197">
              <w:rPr>
                <w:b/>
                <w:bCs/>
                <w:sz w:val="26"/>
                <w:szCs w:val="26"/>
              </w:rPr>
              <w:t xml:space="preserve">DATA BREACH </w:t>
            </w:r>
            <w:r w:rsidR="00977ABB">
              <w:rPr>
                <w:b/>
                <w:bCs/>
                <w:sz w:val="26"/>
                <w:szCs w:val="26"/>
              </w:rPr>
              <w:t xml:space="preserve">INVESTIGATION </w:t>
            </w:r>
          </w:p>
          <w:p w14:paraId="2EC34934" w14:textId="5056DC6C" w:rsidR="0021734D" w:rsidRPr="00C11BF5" w:rsidRDefault="00436192" w:rsidP="0021734D">
            <w:pPr>
              <w:jc w:val="center"/>
              <w:rPr>
                <w:b/>
                <w:bCs/>
                <w:i/>
                <w:sz w:val="22"/>
                <w:szCs w:val="22"/>
              </w:rPr>
            </w:pPr>
            <w:r>
              <w:rPr>
                <w:b/>
                <w:bCs/>
                <w:i/>
                <w:sz w:val="22"/>
                <w:szCs w:val="22"/>
              </w:rPr>
              <w:t>Cable Company’s Data Protections Failed to Prevent Hacker From Obtaining Private Consumer Info</w:t>
            </w:r>
          </w:p>
          <w:p w14:paraId="14DC16A0" w14:textId="77777777"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5A5CBD95" w14:textId="1E4B57A9" w:rsidR="0021734D" w:rsidRPr="008E19E3" w:rsidRDefault="00FF1C0B" w:rsidP="0021734D">
            <w:pPr>
              <w:rPr>
                <w:sz w:val="22"/>
                <w:szCs w:val="22"/>
              </w:rPr>
            </w:pPr>
            <w:r w:rsidRPr="008E19E3">
              <w:rPr>
                <w:sz w:val="22"/>
                <w:szCs w:val="22"/>
              </w:rPr>
              <w:t xml:space="preserve">WASHINGTON, </w:t>
            </w:r>
            <w:r w:rsidR="00882BCF" w:rsidRPr="00A701AA">
              <w:rPr>
                <w:sz w:val="22"/>
                <w:szCs w:val="22"/>
              </w:rPr>
              <w:t>November 5</w:t>
            </w:r>
            <w:r w:rsidR="00CC5E08" w:rsidRPr="00A701AA">
              <w:rPr>
                <w:sz w:val="22"/>
                <w:szCs w:val="22"/>
              </w:rPr>
              <w:t>,</w:t>
            </w:r>
            <w:r w:rsidR="00CC5E08" w:rsidRPr="008E19E3">
              <w:rPr>
                <w:sz w:val="22"/>
                <w:szCs w:val="22"/>
              </w:rPr>
              <w:t xml:space="preserve"> </w:t>
            </w:r>
            <w:r w:rsidR="0021734D" w:rsidRPr="008E19E3">
              <w:rPr>
                <w:sz w:val="22"/>
                <w:szCs w:val="22"/>
              </w:rPr>
              <w:t>2015</w:t>
            </w:r>
            <w:r w:rsidR="002B1013" w:rsidRPr="008E19E3">
              <w:rPr>
                <w:sz w:val="22"/>
                <w:szCs w:val="22"/>
              </w:rPr>
              <w:t xml:space="preserve"> – </w:t>
            </w:r>
            <w:r w:rsidR="0021734D" w:rsidRPr="008E19E3">
              <w:rPr>
                <w:sz w:val="22"/>
                <w:szCs w:val="22"/>
              </w:rPr>
              <w:t xml:space="preserve">The Federal Communications Commission’s Enforcement Bureau has entered into a $595,000 settlement with Cox Communications to resolve an investigation into whether the company failed to properly protect </w:t>
            </w:r>
            <w:r w:rsidR="00622324" w:rsidRPr="008E19E3">
              <w:rPr>
                <w:sz w:val="22"/>
                <w:szCs w:val="22"/>
              </w:rPr>
              <w:t xml:space="preserve">its </w:t>
            </w:r>
            <w:r w:rsidR="0021734D" w:rsidRPr="008E19E3">
              <w:rPr>
                <w:sz w:val="22"/>
                <w:szCs w:val="22"/>
              </w:rPr>
              <w:t>customers</w:t>
            </w:r>
            <w:r w:rsidR="00CD69EF" w:rsidRPr="008E19E3">
              <w:rPr>
                <w:sz w:val="22"/>
                <w:szCs w:val="22"/>
              </w:rPr>
              <w:t xml:space="preserve">’ personal </w:t>
            </w:r>
            <w:r w:rsidR="000D1EF3">
              <w:rPr>
                <w:sz w:val="22"/>
                <w:szCs w:val="22"/>
              </w:rPr>
              <w:t>information</w:t>
            </w:r>
            <w:r w:rsidR="000D1EF3" w:rsidRPr="008E19E3">
              <w:rPr>
                <w:sz w:val="22"/>
                <w:szCs w:val="22"/>
              </w:rPr>
              <w:t xml:space="preserve"> </w:t>
            </w:r>
            <w:r w:rsidR="00CD69EF" w:rsidRPr="008E19E3">
              <w:rPr>
                <w:sz w:val="22"/>
                <w:szCs w:val="22"/>
              </w:rPr>
              <w:t xml:space="preserve">when </w:t>
            </w:r>
            <w:r w:rsidR="00CD69EF" w:rsidRPr="000D6580">
              <w:rPr>
                <w:sz w:val="22"/>
                <w:szCs w:val="22"/>
              </w:rPr>
              <w:t xml:space="preserve">the company’s electronic data systems were breached </w:t>
            </w:r>
            <w:r w:rsidR="00570197">
              <w:rPr>
                <w:sz w:val="22"/>
                <w:szCs w:val="22"/>
              </w:rPr>
              <w:t>in 2014.</w:t>
            </w:r>
            <w:r w:rsidR="008E1F7B">
              <w:rPr>
                <w:sz w:val="22"/>
                <w:szCs w:val="22"/>
              </w:rPr>
              <w:t xml:space="preserve"> </w:t>
            </w:r>
            <w:r w:rsidR="003E1BDB">
              <w:rPr>
                <w:sz w:val="22"/>
                <w:szCs w:val="22"/>
              </w:rPr>
              <w:t xml:space="preserve"> As a result,</w:t>
            </w:r>
            <w:r w:rsidR="008E1F7B">
              <w:rPr>
                <w:sz w:val="22"/>
                <w:szCs w:val="22"/>
              </w:rPr>
              <w:t xml:space="preserve"> third parties had access to the personal information of Cox’</w:t>
            </w:r>
            <w:r w:rsidR="000D1EF3">
              <w:rPr>
                <w:sz w:val="22"/>
                <w:szCs w:val="22"/>
              </w:rPr>
              <w:t xml:space="preserve">s subscribers.  Cox has approximately </w:t>
            </w:r>
            <w:r w:rsidR="003E1BDB">
              <w:rPr>
                <w:sz w:val="22"/>
                <w:szCs w:val="22"/>
              </w:rPr>
              <w:t>six</w:t>
            </w:r>
            <w:r w:rsidR="000D1EF3">
              <w:rPr>
                <w:sz w:val="22"/>
                <w:szCs w:val="22"/>
              </w:rPr>
              <w:t xml:space="preserve"> million subscribers</w:t>
            </w:r>
            <w:r w:rsidR="00436192">
              <w:rPr>
                <w:sz w:val="22"/>
                <w:szCs w:val="22"/>
              </w:rPr>
              <w:t xml:space="preserve"> nationwide</w:t>
            </w:r>
            <w:r w:rsidR="000D1EF3">
              <w:rPr>
                <w:sz w:val="22"/>
                <w:szCs w:val="22"/>
              </w:rPr>
              <w:t>.</w:t>
            </w:r>
            <w:r w:rsidR="0021734D" w:rsidRPr="008E19E3">
              <w:rPr>
                <w:sz w:val="22"/>
                <w:szCs w:val="22"/>
              </w:rPr>
              <w:t xml:space="preserve">  </w:t>
            </w:r>
            <w:r w:rsidR="00FD2274" w:rsidRPr="008E19E3">
              <w:rPr>
                <w:sz w:val="22"/>
                <w:szCs w:val="22"/>
              </w:rPr>
              <w:t xml:space="preserve">Today’s action represents the </w:t>
            </w:r>
            <w:r w:rsidR="00CD69EF" w:rsidRPr="008E19E3">
              <w:rPr>
                <w:sz w:val="22"/>
                <w:szCs w:val="22"/>
              </w:rPr>
              <w:t xml:space="preserve">FCC’s </w:t>
            </w:r>
            <w:r w:rsidR="00FD2274" w:rsidRPr="008E19E3">
              <w:rPr>
                <w:sz w:val="22"/>
                <w:szCs w:val="22"/>
              </w:rPr>
              <w:t xml:space="preserve">first </w:t>
            </w:r>
            <w:r w:rsidR="00871F68">
              <w:rPr>
                <w:sz w:val="22"/>
                <w:szCs w:val="22"/>
              </w:rPr>
              <w:t xml:space="preserve">privacy and data security </w:t>
            </w:r>
            <w:r w:rsidR="004B3AB6">
              <w:rPr>
                <w:sz w:val="22"/>
                <w:szCs w:val="22"/>
              </w:rPr>
              <w:t xml:space="preserve">enforcement action </w:t>
            </w:r>
            <w:r w:rsidR="00FD2274" w:rsidRPr="008E19E3">
              <w:rPr>
                <w:sz w:val="22"/>
                <w:szCs w:val="22"/>
              </w:rPr>
              <w:t>with a cable operator</w:t>
            </w:r>
            <w:r w:rsidR="00B824C6" w:rsidRPr="008E19E3">
              <w:rPr>
                <w:sz w:val="22"/>
                <w:szCs w:val="22"/>
              </w:rPr>
              <w:t>.</w:t>
            </w:r>
          </w:p>
          <w:p w14:paraId="32E1E594" w14:textId="77777777" w:rsidR="00331E58" w:rsidRDefault="00331E58" w:rsidP="0021734D">
            <w:pPr>
              <w:rPr>
                <w:sz w:val="22"/>
                <w:szCs w:val="22"/>
              </w:rPr>
            </w:pPr>
          </w:p>
          <w:p w14:paraId="3F861646" w14:textId="3DFBEE4D" w:rsidR="000A0818" w:rsidRPr="00992CD8" w:rsidRDefault="00D87799" w:rsidP="000A0818">
            <w:pPr>
              <w:rPr>
                <w:sz w:val="22"/>
                <w:szCs w:val="22"/>
              </w:rPr>
            </w:pPr>
            <w:r w:rsidRPr="00992CD8">
              <w:rPr>
                <w:sz w:val="22"/>
                <w:szCs w:val="22"/>
              </w:rPr>
              <w:t xml:space="preserve">“Cable companies have a wealth of sensitive information about us, from our credit card numbers to our pay-per-view selections,” said Enforcement Bureau Chief Travis LeBlanc. “This investigation shows the real harm that can be done by a digital identity thief with enough information to change your passwords, lock you out of your own accounts, post your personal data on the web, and harass you through social media. We appreciate that Cox will now take </w:t>
            </w:r>
            <w:r w:rsidR="00992CD8" w:rsidRPr="00992CD8">
              <w:rPr>
                <w:sz w:val="22"/>
                <w:szCs w:val="22"/>
              </w:rPr>
              <w:t>robust</w:t>
            </w:r>
            <w:r w:rsidRPr="00992CD8">
              <w:rPr>
                <w:sz w:val="22"/>
                <w:szCs w:val="22"/>
              </w:rPr>
              <w:t xml:space="preserve"> steps to keep their customers</w:t>
            </w:r>
            <w:r w:rsidR="00C804C6" w:rsidRPr="00992CD8">
              <w:rPr>
                <w:sz w:val="22"/>
                <w:szCs w:val="22"/>
              </w:rPr>
              <w:t>’ information</w:t>
            </w:r>
            <w:r w:rsidRPr="00992CD8">
              <w:rPr>
                <w:sz w:val="22"/>
                <w:szCs w:val="22"/>
              </w:rPr>
              <w:t xml:space="preserve"> safe online and off.”</w:t>
            </w:r>
          </w:p>
          <w:p w14:paraId="51018733" w14:textId="77777777" w:rsidR="00A701AA" w:rsidRPr="00992CD8" w:rsidRDefault="00A701AA" w:rsidP="000A0818">
            <w:pPr>
              <w:rPr>
                <w:sz w:val="22"/>
                <w:szCs w:val="22"/>
              </w:rPr>
            </w:pPr>
          </w:p>
          <w:p w14:paraId="161145FC" w14:textId="376D9482" w:rsidR="00331E58" w:rsidRDefault="008E1F7B" w:rsidP="0021734D">
            <w:pPr>
              <w:pStyle w:val="ParaNum"/>
              <w:widowControl/>
              <w:numPr>
                <w:ilvl w:val="0"/>
                <w:numId w:val="0"/>
              </w:numPr>
              <w:tabs>
                <w:tab w:val="left" w:pos="720"/>
              </w:tabs>
              <w:spacing w:after="0"/>
              <w:rPr>
                <w:szCs w:val="22"/>
              </w:rPr>
            </w:pPr>
            <w:r w:rsidRPr="00992CD8">
              <w:rPr>
                <w:szCs w:val="22"/>
              </w:rPr>
              <w:t>The</w:t>
            </w:r>
            <w:r w:rsidR="0021734D" w:rsidRPr="00992CD8">
              <w:rPr>
                <w:szCs w:val="22"/>
              </w:rPr>
              <w:t xml:space="preserve"> Enforcement Bureau</w:t>
            </w:r>
            <w:r w:rsidRPr="00992CD8">
              <w:rPr>
                <w:szCs w:val="22"/>
              </w:rPr>
              <w:t>’s</w:t>
            </w:r>
            <w:r w:rsidR="0021734D" w:rsidRPr="00992CD8">
              <w:rPr>
                <w:szCs w:val="22"/>
              </w:rPr>
              <w:t xml:space="preserve"> investigation found that </w:t>
            </w:r>
            <w:r w:rsidR="001A46B4" w:rsidRPr="00992CD8">
              <w:rPr>
                <w:szCs w:val="22"/>
              </w:rPr>
              <w:t>Cox’s</w:t>
            </w:r>
            <w:r w:rsidR="0021734D" w:rsidRPr="00992CD8">
              <w:rPr>
                <w:szCs w:val="22"/>
              </w:rPr>
              <w:t xml:space="preserve"> </w:t>
            </w:r>
            <w:r w:rsidR="00227006" w:rsidRPr="00992CD8">
              <w:rPr>
                <w:szCs w:val="22"/>
              </w:rPr>
              <w:t xml:space="preserve">electronic data systems </w:t>
            </w:r>
            <w:r w:rsidR="0021734D" w:rsidRPr="00992CD8">
              <w:rPr>
                <w:szCs w:val="22"/>
              </w:rPr>
              <w:t xml:space="preserve">were breached </w:t>
            </w:r>
            <w:r w:rsidR="00EA0BFF" w:rsidRPr="00992CD8">
              <w:rPr>
                <w:szCs w:val="22"/>
              </w:rPr>
              <w:t>in</w:t>
            </w:r>
            <w:r w:rsidR="00227006" w:rsidRPr="00992CD8">
              <w:rPr>
                <w:szCs w:val="22"/>
              </w:rPr>
              <w:t xml:space="preserve"> August 2014 by </w:t>
            </w:r>
            <w:r w:rsidR="00622324" w:rsidRPr="00992CD8">
              <w:rPr>
                <w:szCs w:val="22"/>
              </w:rPr>
              <w:t xml:space="preserve">a </w:t>
            </w:r>
            <w:r w:rsidR="000D1EF3" w:rsidRPr="00992CD8">
              <w:rPr>
                <w:szCs w:val="22"/>
              </w:rPr>
              <w:t>hacker</w:t>
            </w:r>
            <w:r w:rsidR="000D1EF3" w:rsidRPr="000D1EF3">
              <w:rPr>
                <w:szCs w:val="22"/>
              </w:rPr>
              <w:t xml:space="preserve"> using the alias “EvilJordie</w:t>
            </w:r>
            <w:r w:rsidR="000D1EF3">
              <w:rPr>
                <w:szCs w:val="22"/>
              </w:rPr>
              <w:t>,”</w:t>
            </w:r>
            <w:r w:rsidR="000D1EF3" w:rsidRPr="000D1EF3">
              <w:rPr>
                <w:szCs w:val="22"/>
              </w:rPr>
              <w:t xml:space="preserve"> </w:t>
            </w:r>
            <w:r w:rsidR="00EA0BFF">
              <w:rPr>
                <w:szCs w:val="22"/>
              </w:rPr>
              <w:t xml:space="preserve">a </w:t>
            </w:r>
            <w:r w:rsidR="00227006" w:rsidRPr="00882BCF">
              <w:rPr>
                <w:szCs w:val="22"/>
              </w:rPr>
              <w:t>member of the</w:t>
            </w:r>
            <w:r w:rsidR="000D1EF3">
              <w:rPr>
                <w:szCs w:val="22"/>
              </w:rPr>
              <w:t xml:space="preserve"> “</w:t>
            </w:r>
            <w:r w:rsidR="00227006" w:rsidRPr="00882BCF">
              <w:rPr>
                <w:szCs w:val="22"/>
              </w:rPr>
              <w:t>Lizard Squad</w:t>
            </w:r>
            <w:r w:rsidR="000D1EF3">
              <w:rPr>
                <w:szCs w:val="22"/>
              </w:rPr>
              <w:t>”</w:t>
            </w:r>
            <w:r w:rsidR="004B3AB6">
              <w:rPr>
                <w:szCs w:val="22"/>
              </w:rPr>
              <w:t xml:space="preserve"> hacker group.</w:t>
            </w:r>
            <w:r w:rsidR="00642086">
              <w:rPr>
                <w:szCs w:val="22"/>
              </w:rPr>
              <w:t xml:space="preserve"> </w:t>
            </w:r>
            <w:r w:rsidR="00227006" w:rsidRPr="00882BCF">
              <w:rPr>
                <w:szCs w:val="22"/>
              </w:rPr>
              <w:t xml:space="preserve"> </w:t>
            </w:r>
            <w:r w:rsidR="000D1EF3">
              <w:rPr>
                <w:szCs w:val="22"/>
              </w:rPr>
              <w:t>EvilJordie</w:t>
            </w:r>
            <w:r w:rsidR="00227006" w:rsidRPr="00882BCF">
              <w:rPr>
                <w:szCs w:val="22"/>
              </w:rPr>
              <w:t xml:space="preserve"> pretended to be from </w:t>
            </w:r>
            <w:r w:rsidR="00331E58">
              <w:rPr>
                <w:szCs w:val="22"/>
              </w:rPr>
              <w:t>Cox’s</w:t>
            </w:r>
            <w:r w:rsidR="00227006" w:rsidRPr="00882BCF">
              <w:rPr>
                <w:szCs w:val="22"/>
              </w:rPr>
              <w:t xml:space="preserve"> information technology department</w:t>
            </w:r>
            <w:r w:rsidR="008E19E3">
              <w:rPr>
                <w:szCs w:val="22"/>
              </w:rPr>
              <w:t>,</w:t>
            </w:r>
            <w:r w:rsidR="00227006" w:rsidRPr="00882BCF">
              <w:rPr>
                <w:szCs w:val="22"/>
              </w:rPr>
              <w:t xml:space="preserve"> and convinced both a </w:t>
            </w:r>
            <w:r w:rsidR="009F1233">
              <w:rPr>
                <w:szCs w:val="22"/>
              </w:rPr>
              <w:t xml:space="preserve">Cox </w:t>
            </w:r>
            <w:r w:rsidR="000D1EF3">
              <w:rPr>
                <w:szCs w:val="22"/>
              </w:rPr>
              <w:t>customer service representative</w:t>
            </w:r>
            <w:r w:rsidR="00227006" w:rsidRPr="00882BCF">
              <w:rPr>
                <w:szCs w:val="22"/>
              </w:rPr>
              <w:t xml:space="preserve"> and </w:t>
            </w:r>
            <w:r w:rsidR="009F1233">
              <w:rPr>
                <w:szCs w:val="22"/>
              </w:rPr>
              <w:t xml:space="preserve">Cox </w:t>
            </w:r>
            <w:r w:rsidR="000D1EF3">
              <w:rPr>
                <w:szCs w:val="22"/>
              </w:rPr>
              <w:t>contractor</w:t>
            </w:r>
            <w:r w:rsidR="00227006" w:rsidRPr="00882BCF">
              <w:rPr>
                <w:szCs w:val="22"/>
              </w:rPr>
              <w:t xml:space="preserve"> to enter their account IDs and passwords into a fake, or “phishing,” website.</w:t>
            </w:r>
          </w:p>
          <w:p w14:paraId="2FB6A41F" w14:textId="77777777" w:rsidR="00331E58" w:rsidRDefault="00331E58" w:rsidP="0021734D">
            <w:pPr>
              <w:pStyle w:val="ParaNum"/>
              <w:widowControl/>
              <w:numPr>
                <w:ilvl w:val="0"/>
                <w:numId w:val="0"/>
              </w:numPr>
              <w:tabs>
                <w:tab w:val="left" w:pos="720"/>
              </w:tabs>
              <w:spacing w:after="0"/>
              <w:rPr>
                <w:szCs w:val="22"/>
              </w:rPr>
            </w:pPr>
          </w:p>
          <w:p w14:paraId="0CC30F5C" w14:textId="630D3353" w:rsidR="00227006" w:rsidRPr="00882BCF" w:rsidRDefault="00A30636" w:rsidP="0021734D">
            <w:pPr>
              <w:pStyle w:val="ParaNum"/>
              <w:widowControl/>
              <w:numPr>
                <w:ilvl w:val="0"/>
                <w:numId w:val="0"/>
              </w:numPr>
              <w:tabs>
                <w:tab w:val="left" w:pos="720"/>
              </w:tabs>
              <w:spacing w:after="0"/>
              <w:rPr>
                <w:szCs w:val="22"/>
              </w:rPr>
            </w:pPr>
            <w:r w:rsidRPr="00A30636">
              <w:rPr>
                <w:szCs w:val="22"/>
              </w:rPr>
              <w:t>With those credentials, the hacker gained unauthorized access to Cox customers’ persona</w:t>
            </w:r>
            <w:r w:rsidR="00C804C6">
              <w:rPr>
                <w:szCs w:val="22"/>
              </w:rPr>
              <w:t>l</w:t>
            </w:r>
            <w:r w:rsidRPr="00A30636">
              <w:rPr>
                <w:szCs w:val="22"/>
              </w:rPr>
              <w:t>l</w:t>
            </w:r>
            <w:r w:rsidR="00C804C6">
              <w:rPr>
                <w:szCs w:val="22"/>
              </w:rPr>
              <w:t>y identifiable</w:t>
            </w:r>
            <w:r w:rsidRPr="00A30636">
              <w:rPr>
                <w:szCs w:val="22"/>
              </w:rPr>
              <w:t xml:space="preserve"> information, which included names, addresses, email addresses, secret questions/answers, PIN, and in some cases partial Social Security and driver’s license numbers of Cox’s cable customers, as well as Customer Proprietary Network Information (CPNI) of the company’s telephone customers.</w:t>
            </w:r>
            <w:r w:rsidRPr="00A30636" w:rsidDel="00A30636">
              <w:rPr>
                <w:szCs w:val="22"/>
              </w:rPr>
              <w:t xml:space="preserve"> </w:t>
            </w:r>
            <w:r w:rsidR="00331E58" w:rsidRPr="008E19E3">
              <w:rPr>
                <w:szCs w:val="22"/>
              </w:rPr>
              <w:t>T</w:t>
            </w:r>
            <w:r w:rsidR="00642086" w:rsidRPr="008E19E3">
              <w:rPr>
                <w:szCs w:val="22"/>
              </w:rPr>
              <w:t xml:space="preserve">he hacker </w:t>
            </w:r>
            <w:r w:rsidR="0046549E" w:rsidRPr="008E19E3">
              <w:rPr>
                <w:szCs w:val="22"/>
              </w:rPr>
              <w:t>then</w:t>
            </w:r>
            <w:r w:rsidR="00642086" w:rsidRPr="008E19E3">
              <w:rPr>
                <w:szCs w:val="22"/>
              </w:rPr>
              <w:t xml:space="preserve"> post</w:t>
            </w:r>
            <w:r w:rsidR="0046549E" w:rsidRPr="008E19E3">
              <w:rPr>
                <w:szCs w:val="22"/>
              </w:rPr>
              <w:t>ed</w:t>
            </w:r>
            <w:r w:rsidR="00642086" w:rsidRPr="008E19E3">
              <w:rPr>
                <w:szCs w:val="22"/>
              </w:rPr>
              <w:t xml:space="preserve"> </w:t>
            </w:r>
            <w:r w:rsidR="00322A1C">
              <w:rPr>
                <w:szCs w:val="22"/>
              </w:rPr>
              <w:t>some</w:t>
            </w:r>
            <w:r w:rsidR="00322A1C" w:rsidRPr="008E19E3">
              <w:rPr>
                <w:szCs w:val="22"/>
              </w:rPr>
              <w:t xml:space="preserve"> </w:t>
            </w:r>
            <w:r w:rsidR="00642086" w:rsidRPr="008E19E3">
              <w:rPr>
                <w:szCs w:val="22"/>
              </w:rPr>
              <w:t>customers’ information on</w:t>
            </w:r>
            <w:r w:rsidR="00322A1C">
              <w:rPr>
                <w:szCs w:val="22"/>
              </w:rPr>
              <w:t xml:space="preserve"> </w:t>
            </w:r>
            <w:r w:rsidR="00642086" w:rsidRPr="008E19E3">
              <w:rPr>
                <w:szCs w:val="22"/>
              </w:rPr>
              <w:t>social media site</w:t>
            </w:r>
            <w:r w:rsidR="00A82512">
              <w:rPr>
                <w:szCs w:val="22"/>
              </w:rPr>
              <w:t>s</w:t>
            </w:r>
            <w:r w:rsidR="00642086" w:rsidRPr="008E19E3">
              <w:rPr>
                <w:szCs w:val="22"/>
              </w:rPr>
              <w:t>, change</w:t>
            </w:r>
            <w:r w:rsidR="0046549E" w:rsidRPr="008E19E3">
              <w:rPr>
                <w:szCs w:val="22"/>
              </w:rPr>
              <w:t>d</w:t>
            </w:r>
            <w:r w:rsidR="00642086" w:rsidRPr="008E19E3">
              <w:rPr>
                <w:szCs w:val="22"/>
              </w:rPr>
              <w:t xml:space="preserve"> some customers’ account passwords, and share</w:t>
            </w:r>
            <w:r w:rsidR="0046549E" w:rsidRPr="008E19E3">
              <w:rPr>
                <w:szCs w:val="22"/>
              </w:rPr>
              <w:t>d</w:t>
            </w:r>
            <w:r w:rsidR="00642086" w:rsidRPr="008E19E3">
              <w:rPr>
                <w:szCs w:val="22"/>
              </w:rPr>
              <w:t xml:space="preserve"> </w:t>
            </w:r>
            <w:r w:rsidR="008E19E3" w:rsidRPr="008E19E3">
              <w:rPr>
                <w:szCs w:val="22"/>
              </w:rPr>
              <w:t xml:space="preserve">the compromised account credentials </w:t>
            </w:r>
            <w:r w:rsidR="00642086" w:rsidRPr="008E19E3">
              <w:rPr>
                <w:szCs w:val="22"/>
              </w:rPr>
              <w:t xml:space="preserve">with another alleged member of </w:t>
            </w:r>
            <w:r w:rsidR="009B0CCA" w:rsidRPr="008E19E3">
              <w:rPr>
                <w:szCs w:val="22"/>
              </w:rPr>
              <w:t xml:space="preserve">the </w:t>
            </w:r>
            <w:r w:rsidR="00642086" w:rsidRPr="008E19E3">
              <w:rPr>
                <w:szCs w:val="22"/>
              </w:rPr>
              <w:t>Lizard Squad</w:t>
            </w:r>
            <w:r w:rsidR="00642086">
              <w:rPr>
                <w:szCs w:val="22"/>
              </w:rPr>
              <w:t xml:space="preserve">.  </w:t>
            </w:r>
          </w:p>
          <w:p w14:paraId="3230E496" w14:textId="77777777" w:rsidR="00F66FE9" w:rsidRDefault="00F66FE9" w:rsidP="000A0818">
            <w:pPr>
              <w:rPr>
                <w:sz w:val="22"/>
                <w:szCs w:val="22"/>
              </w:rPr>
            </w:pPr>
          </w:p>
          <w:p w14:paraId="18BE0FC2" w14:textId="51BFDF9F" w:rsidR="0046549E" w:rsidRPr="00882BCF" w:rsidRDefault="00A82512" w:rsidP="008D6CBB">
            <w:pPr>
              <w:pStyle w:val="ParaNum"/>
              <w:widowControl/>
              <w:numPr>
                <w:ilvl w:val="0"/>
                <w:numId w:val="0"/>
              </w:numPr>
              <w:tabs>
                <w:tab w:val="left" w:pos="720"/>
              </w:tabs>
              <w:spacing w:after="0"/>
              <w:rPr>
                <w:szCs w:val="22"/>
              </w:rPr>
            </w:pPr>
            <w:r>
              <w:rPr>
                <w:szCs w:val="22"/>
              </w:rPr>
              <w:t>The Communications Act requires that a ca</w:t>
            </w:r>
            <w:r w:rsidRPr="00A82512">
              <w:rPr>
                <w:szCs w:val="22"/>
              </w:rPr>
              <w:t xml:space="preserve">ble operator </w:t>
            </w:r>
            <w:r>
              <w:rPr>
                <w:szCs w:val="22"/>
              </w:rPr>
              <w:t>shall not disclose</w:t>
            </w:r>
            <w:r w:rsidRPr="00A82512">
              <w:rPr>
                <w:szCs w:val="22"/>
              </w:rPr>
              <w:t xml:space="preserve"> personally identifiable information concerning any subscriber without the prior written or electronic consent of the subscriber concerned and shall take such actions as are necessary to prevent unauthorized access to such information by a person other than the subscriber or cable operator.</w:t>
            </w:r>
            <w:r>
              <w:rPr>
                <w:szCs w:val="22"/>
              </w:rPr>
              <w:t xml:space="preserve">  The Enforcement </w:t>
            </w:r>
            <w:r>
              <w:rPr>
                <w:szCs w:val="22"/>
              </w:rPr>
              <w:lastRenderedPageBreak/>
              <w:t>Bureau’s investigation found that</w:t>
            </w:r>
            <w:r w:rsidR="009D462E">
              <w:rPr>
                <w:szCs w:val="22"/>
              </w:rPr>
              <w:t>,</w:t>
            </w:r>
            <w:r>
              <w:rPr>
                <w:szCs w:val="22"/>
              </w:rPr>
              <w:t xml:space="preserve"> a</w:t>
            </w:r>
            <w:r w:rsidR="0046549E">
              <w:rPr>
                <w:szCs w:val="22"/>
              </w:rPr>
              <w:t xml:space="preserve">t the time of the breach, Cox’s relevant data security systems did not include </w:t>
            </w:r>
            <w:r w:rsidR="003D5DE3">
              <w:rPr>
                <w:szCs w:val="22"/>
              </w:rPr>
              <w:t xml:space="preserve">readily available </w:t>
            </w:r>
            <w:r w:rsidR="0046549E">
              <w:rPr>
                <w:szCs w:val="22"/>
              </w:rPr>
              <w:t>measures</w:t>
            </w:r>
            <w:r w:rsidR="000A0A2E">
              <w:rPr>
                <w:szCs w:val="22"/>
              </w:rPr>
              <w:t xml:space="preserve"> </w:t>
            </w:r>
            <w:r w:rsidR="009D462E">
              <w:rPr>
                <w:szCs w:val="22"/>
              </w:rPr>
              <w:t xml:space="preserve">for all of its employees or contractors </w:t>
            </w:r>
            <w:r w:rsidR="0046549E">
              <w:rPr>
                <w:szCs w:val="22"/>
              </w:rPr>
              <w:t xml:space="preserve">that might have prevented the use of the compromised credentials. </w:t>
            </w:r>
            <w:r w:rsidR="008E19E3">
              <w:rPr>
                <w:szCs w:val="22"/>
              </w:rPr>
              <w:t xml:space="preserve"> Moreover, t</w:t>
            </w:r>
            <w:r w:rsidR="0046549E">
              <w:rPr>
                <w:szCs w:val="22"/>
              </w:rPr>
              <w:t>he company never reported the breach to the FCC</w:t>
            </w:r>
            <w:r w:rsidR="00CB316A">
              <w:rPr>
                <w:szCs w:val="22"/>
              </w:rPr>
              <w:t>’s data breach portal</w:t>
            </w:r>
            <w:r w:rsidR="00F5348A">
              <w:rPr>
                <w:szCs w:val="22"/>
              </w:rPr>
              <w:t>,</w:t>
            </w:r>
            <w:r w:rsidR="0046549E">
              <w:rPr>
                <w:szCs w:val="22"/>
              </w:rPr>
              <w:t xml:space="preserve"> as required by law.</w:t>
            </w:r>
            <w:r w:rsidR="009D462E">
              <w:rPr>
                <w:szCs w:val="22"/>
              </w:rPr>
              <w:t xml:space="preserve"> </w:t>
            </w:r>
          </w:p>
          <w:p w14:paraId="4E6F40F8" w14:textId="77777777" w:rsidR="000A0818" w:rsidRPr="00882BCF" w:rsidRDefault="000A0818" w:rsidP="000A0818">
            <w:pPr>
              <w:rPr>
                <w:sz w:val="22"/>
                <w:szCs w:val="22"/>
              </w:rPr>
            </w:pPr>
          </w:p>
          <w:p w14:paraId="125427DE" w14:textId="1175EF1C" w:rsidR="00871F68" w:rsidRPr="00882BCF" w:rsidRDefault="008D6CBB" w:rsidP="003F6BBB">
            <w:pPr>
              <w:rPr>
                <w:sz w:val="22"/>
                <w:szCs w:val="22"/>
              </w:rPr>
            </w:pPr>
            <w:r w:rsidRPr="00882BCF">
              <w:rPr>
                <w:sz w:val="22"/>
                <w:szCs w:val="22"/>
              </w:rPr>
              <w:t xml:space="preserve">As a condition of settlement, </w:t>
            </w:r>
            <w:r w:rsidR="0046549E">
              <w:rPr>
                <w:sz w:val="22"/>
                <w:szCs w:val="22"/>
              </w:rPr>
              <w:t>Cox</w:t>
            </w:r>
            <w:r w:rsidRPr="00882BCF">
              <w:rPr>
                <w:sz w:val="22"/>
                <w:szCs w:val="22"/>
              </w:rPr>
              <w:t xml:space="preserve"> will pay a $595,000 civil penalty. </w:t>
            </w:r>
            <w:r w:rsidR="00871F68">
              <w:rPr>
                <w:sz w:val="22"/>
                <w:szCs w:val="22"/>
              </w:rPr>
              <w:t xml:space="preserve">The settlement also requires Cox to identify all affected customers, notify them of the breach, and provide them one year of free credit monitoring. </w:t>
            </w:r>
            <w:r w:rsidR="004B3AB6">
              <w:rPr>
                <w:sz w:val="22"/>
                <w:szCs w:val="22"/>
              </w:rPr>
              <w:t xml:space="preserve">Under the settlement, </w:t>
            </w:r>
            <w:r w:rsidR="00871F68">
              <w:rPr>
                <w:sz w:val="22"/>
                <w:szCs w:val="22"/>
              </w:rPr>
              <w:t>Cox</w:t>
            </w:r>
            <w:r w:rsidRPr="00882BCF">
              <w:rPr>
                <w:sz w:val="22"/>
                <w:szCs w:val="22"/>
              </w:rPr>
              <w:t xml:space="preserve"> will </w:t>
            </w:r>
            <w:r w:rsidR="00871F68">
              <w:rPr>
                <w:sz w:val="22"/>
                <w:szCs w:val="22"/>
              </w:rPr>
              <w:t xml:space="preserve">adopt </w:t>
            </w:r>
            <w:r w:rsidRPr="00882BCF">
              <w:rPr>
                <w:sz w:val="22"/>
                <w:szCs w:val="22"/>
              </w:rPr>
              <w:t xml:space="preserve">a comprehensive compliance plan, which </w:t>
            </w:r>
            <w:r w:rsidR="00882BCF">
              <w:rPr>
                <w:sz w:val="22"/>
                <w:szCs w:val="22"/>
              </w:rPr>
              <w:t>establish</w:t>
            </w:r>
            <w:r w:rsidR="00F5348A">
              <w:rPr>
                <w:sz w:val="22"/>
                <w:szCs w:val="22"/>
              </w:rPr>
              <w:t>es</w:t>
            </w:r>
            <w:r w:rsidR="00882BCF">
              <w:rPr>
                <w:sz w:val="22"/>
                <w:szCs w:val="22"/>
              </w:rPr>
              <w:t xml:space="preserve"> a</w:t>
            </w:r>
            <w:r w:rsidR="003D5DE3">
              <w:rPr>
                <w:sz w:val="22"/>
                <w:szCs w:val="22"/>
              </w:rPr>
              <w:t>n</w:t>
            </w:r>
            <w:r w:rsidR="00882BCF">
              <w:rPr>
                <w:sz w:val="22"/>
                <w:szCs w:val="22"/>
              </w:rPr>
              <w:t xml:space="preserve"> information security program </w:t>
            </w:r>
            <w:r w:rsidR="003D5DE3">
              <w:rPr>
                <w:sz w:val="22"/>
                <w:szCs w:val="22"/>
              </w:rPr>
              <w:t>that</w:t>
            </w:r>
            <w:r w:rsidR="00882BCF">
              <w:rPr>
                <w:sz w:val="22"/>
                <w:szCs w:val="22"/>
              </w:rPr>
              <w:t xml:space="preserve"> include</w:t>
            </w:r>
            <w:r w:rsidR="003D5DE3">
              <w:rPr>
                <w:sz w:val="22"/>
                <w:szCs w:val="22"/>
              </w:rPr>
              <w:t>s</w:t>
            </w:r>
            <w:r w:rsidR="00882BCF">
              <w:rPr>
                <w:sz w:val="22"/>
                <w:szCs w:val="22"/>
              </w:rPr>
              <w:t xml:space="preserve"> annual system audits, internal threat monitoring, penetration testing, and </w:t>
            </w:r>
            <w:r w:rsidRPr="00882BCF">
              <w:rPr>
                <w:sz w:val="22"/>
                <w:szCs w:val="22"/>
              </w:rPr>
              <w:t xml:space="preserve">additional </w:t>
            </w:r>
            <w:r w:rsidR="00882BCF">
              <w:rPr>
                <w:sz w:val="22"/>
                <w:szCs w:val="22"/>
              </w:rPr>
              <w:t>breach notification systems</w:t>
            </w:r>
            <w:r w:rsidRPr="00882BCF">
              <w:rPr>
                <w:sz w:val="22"/>
                <w:szCs w:val="22"/>
              </w:rPr>
              <w:t xml:space="preserve"> and processes to protect customers’ personal information and CPNI.</w:t>
            </w:r>
            <w:r w:rsidR="00871F68">
              <w:rPr>
                <w:sz w:val="22"/>
                <w:szCs w:val="22"/>
              </w:rPr>
              <w:t xml:space="preserve"> </w:t>
            </w:r>
            <w:r w:rsidR="004B3AB6">
              <w:rPr>
                <w:sz w:val="22"/>
                <w:szCs w:val="22"/>
              </w:rPr>
              <w:t xml:space="preserve">The Enforcement Bureau will monitor Cox’s compliance with the consent decree for seven years. </w:t>
            </w:r>
          </w:p>
          <w:p w14:paraId="61AEAAC0" w14:textId="77777777" w:rsidR="008D6CBB" w:rsidRPr="00882BCF" w:rsidRDefault="008D6CBB" w:rsidP="003F6BBB">
            <w:pPr>
              <w:rPr>
                <w:sz w:val="22"/>
                <w:szCs w:val="22"/>
              </w:rPr>
            </w:pPr>
          </w:p>
          <w:p w14:paraId="26C5FE63" w14:textId="7462B666" w:rsidR="000A0818" w:rsidRDefault="00006BCF" w:rsidP="000A0818">
            <w:pPr>
              <w:rPr>
                <w:sz w:val="22"/>
                <w:szCs w:val="22"/>
              </w:rPr>
            </w:pPr>
            <w:r>
              <w:rPr>
                <w:sz w:val="22"/>
                <w:szCs w:val="22"/>
              </w:rPr>
              <w:t>This year,</w:t>
            </w:r>
            <w:r w:rsidR="008D6CBB" w:rsidRPr="00882BCF">
              <w:rPr>
                <w:sz w:val="22"/>
                <w:szCs w:val="22"/>
              </w:rPr>
              <w:t xml:space="preserve"> the Commission has taken three </w:t>
            </w:r>
            <w:r w:rsidR="0058001C" w:rsidRPr="00882BCF">
              <w:rPr>
                <w:sz w:val="22"/>
                <w:szCs w:val="22"/>
              </w:rPr>
              <w:t xml:space="preserve">enforcement actions for </w:t>
            </w:r>
            <w:r w:rsidR="008D6CBB" w:rsidRPr="00882BCF">
              <w:rPr>
                <w:sz w:val="22"/>
                <w:szCs w:val="22"/>
              </w:rPr>
              <w:t>violations of the Communications Act and Commission rules related to protection of customer personal information, resulting over $28 million in penalties.</w:t>
            </w:r>
          </w:p>
          <w:p w14:paraId="64A7F479" w14:textId="77777777" w:rsidR="003E1BDB" w:rsidRPr="00882BCF" w:rsidRDefault="003E1BDB" w:rsidP="000A0818">
            <w:pPr>
              <w:rPr>
                <w:sz w:val="22"/>
                <w:szCs w:val="22"/>
              </w:rPr>
            </w:pPr>
          </w:p>
          <w:p w14:paraId="14BCD5E3" w14:textId="1BDA4EDD" w:rsidR="000A0818" w:rsidRPr="00882BCF" w:rsidRDefault="000A0818" w:rsidP="000A0818">
            <w:pPr>
              <w:rPr>
                <w:sz w:val="22"/>
                <w:szCs w:val="22"/>
              </w:rPr>
            </w:pPr>
            <w:r w:rsidRPr="00882BCF">
              <w:rPr>
                <w:sz w:val="22"/>
                <w:szCs w:val="22"/>
              </w:rPr>
              <w:t xml:space="preserve">To file a complaint with the FCC, go to </w:t>
            </w:r>
            <w:hyperlink r:id="rId9" w:history="1">
              <w:r w:rsidRPr="00882BCF">
                <w:rPr>
                  <w:rStyle w:val="Hyperlink"/>
                  <w:sz w:val="22"/>
                  <w:szCs w:val="22"/>
                </w:rPr>
                <w:t>https://consumercomplaints.fcc.gov/hc/en-us</w:t>
              </w:r>
            </w:hyperlink>
            <w:r w:rsidRPr="00882BCF">
              <w:rPr>
                <w:sz w:val="22"/>
                <w:szCs w:val="22"/>
              </w:rPr>
              <w:t xml:space="preserve"> or contact the FCC’s Consumer Center by calling 1-888-CALL-FCC (1-888-225-5322) voice or 1-888-TELL-FCC (1-888-835-5322) TTY; faxing 1-866-418-0232; or by writing to:</w:t>
            </w:r>
          </w:p>
          <w:p w14:paraId="2B66289A" w14:textId="77777777" w:rsidR="000A0818" w:rsidRPr="00882BCF" w:rsidRDefault="000A0818" w:rsidP="000A0818">
            <w:pPr>
              <w:jc w:val="center"/>
              <w:rPr>
                <w:sz w:val="22"/>
                <w:szCs w:val="22"/>
              </w:rPr>
            </w:pPr>
          </w:p>
          <w:p w14:paraId="09306C32" w14:textId="77777777" w:rsidR="000A0818" w:rsidRPr="00882BCF" w:rsidRDefault="000A0818" w:rsidP="000A0818">
            <w:pPr>
              <w:jc w:val="center"/>
              <w:rPr>
                <w:sz w:val="22"/>
                <w:szCs w:val="22"/>
              </w:rPr>
            </w:pPr>
            <w:r w:rsidRPr="00882BCF">
              <w:rPr>
                <w:sz w:val="22"/>
                <w:szCs w:val="22"/>
              </w:rPr>
              <w:t>Federal Communications Commission</w:t>
            </w:r>
          </w:p>
          <w:p w14:paraId="21B3823F" w14:textId="77777777" w:rsidR="000A0818" w:rsidRPr="00882BCF" w:rsidRDefault="000A0818" w:rsidP="000A0818">
            <w:pPr>
              <w:jc w:val="center"/>
              <w:rPr>
                <w:sz w:val="22"/>
                <w:szCs w:val="22"/>
              </w:rPr>
            </w:pPr>
            <w:r w:rsidRPr="00882BCF">
              <w:rPr>
                <w:sz w:val="22"/>
                <w:szCs w:val="22"/>
              </w:rPr>
              <w:t>Consumer and Governmental Affairs Bureau</w:t>
            </w:r>
          </w:p>
          <w:p w14:paraId="7E987AAF" w14:textId="77777777" w:rsidR="000A0818" w:rsidRPr="00882BCF" w:rsidRDefault="000A0818" w:rsidP="000A0818">
            <w:pPr>
              <w:jc w:val="center"/>
              <w:rPr>
                <w:sz w:val="22"/>
                <w:szCs w:val="22"/>
              </w:rPr>
            </w:pPr>
            <w:r w:rsidRPr="00882BCF">
              <w:rPr>
                <w:sz w:val="22"/>
                <w:szCs w:val="22"/>
              </w:rPr>
              <w:t>Consumer Inquiries and Complaints Division</w:t>
            </w:r>
          </w:p>
          <w:p w14:paraId="3AA77693" w14:textId="77777777" w:rsidR="000A0818" w:rsidRPr="00882BCF" w:rsidRDefault="000A0818" w:rsidP="000A0818">
            <w:pPr>
              <w:jc w:val="center"/>
              <w:rPr>
                <w:sz w:val="22"/>
                <w:szCs w:val="22"/>
              </w:rPr>
            </w:pPr>
            <w:r w:rsidRPr="00882BCF">
              <w:rPr>
                <w:sz w:val="22"/>
                <w:szCs w:val="22"/>
              </w:rPr>
              <w:t>445 12th Street, SW</w:t>
            </w:r>
          </w:p>
          <w:p w14:paraId="457CA790" w14:textId="77777777" w:rsidR="000A0818" w:rsidRPr="00882BCF" w:rsidRDefault="000A0818" w:rsidP="000A0818">
            <w:pPr>
              <w:jc w:val="center"/>
              <w:rPr>
                <w:sz w:val="22"/>
                <w:szCs w:val="22"/>
              </w:rPr>
            </w:pPr>
            <w:r w:rsidRPr="00882BCF">
              <w:rPr>
                <w:sz w:val="22"/>
                <w:szCs w:val="22"/>
              </w:rPr>
              <w:t>Washington, DC 20554</w:t>
            </w:r>
          </w:p>
          <w:p w14:paraId="5A352810" w14:textId="77777777" w:rsidR="000A0818" w:rsidRPr="00882BCF" w:rsidRDefault="000A0818" w:rsidP="000A0818">
            <w:pPr>
              <w:jc w:val="center"/>
              <w:rPr>
                <w:sz w:val="22"/>
                <w:szCs w:val="22"/>
              </w:rPr>
            </w:pPr>
          </w:p>
          <w:p w14:paraId="1CEC67BD" w14:textId="33B9E09D" w:rsidR="000A0818" w:rsidRDefault="000A0818" w:rsidP="00A701AA">
            <w:r w:rsidRPr="00882BCF">
              <w:rPr>
                <w:sz w:val="22"/>
                <w:szCs w:val="22"/>
              </w:rPr>
              <w:t xml:space="preserve">The </w:t>
            </w:r>
            <w:r w:rsidR="0046549E">
              <w:rPr>
                <w:sz w:val="22"/>
                <w:szCs w:val="22"/>
              </w:rPr>
              <w:t>order and consent decree are</w:t>
            </w:r>
            <w:r w:rsidR="00BE7979">
              <w:rPr>
                <w:sz w:val="22"/>
                <w:szCs w:val="22"/>
              </w:rPr>
              <w:t xml:space="preserve"> available at: </w:t>
            </w:r>
            <w:hyperlink r:id="rId10" w:history="1">
              <w:r w:rsidR="00BE7979" w:rsidRPr="00061EBD">
                <w:rPr>
                  <w:rStyle w:val="Hyperlink"/>
                  <w:sz w:val="22"/>
                  <w:szCs w:val="22"/>
                </w:rPr>
                <w:t>https://apps.fcc.gov/edocs_public/attachmatch/DA-15-1241A1.pdf</w:t>
              </w:r>
            </w:hyperlink>
            <w:r w:rsidR="00BE7979">
              <w:rPr>
                <w:sz w:val="22"/>
                <w:szCs w:val="22"/>
              </w:rPr>
              <w:t xml:space="preserve">. </w:t>
            </w:r>
            <w:r w:rsidRPr="00882BCF">
              <w:rPr>
                <w:sz w:val="22"/>
                <w:szCs w:val="22"/>
              </w:rPr>
              <w:t xml:space="preserve">  </w:t>
            </w:r>
          </w:p>
          <w:p w14:paraId="345489B7" w14:textId="77777777" w:rsidR="00BD19E8" w:rsidRPr="001230F2" w:rsidRDefault="00BD19E8" w:rsidP="001230F2">
            <w:pPr>
              <w:rPr>
                <w:rStyle w:val="Hyperlink"/>
              </w:rPr>
            </w:pPr>
          </w:p>
          <w:p w14:paraId="2A33F2F8" w14:textId="77777777" w:rsidR="004F0F1F" w:rsidRPr="008A3940" w:rsidRDefault="00F708E3" w:rsidP="00BB4E29">
            <w:pPr>
              <w:ind w:right="240"/>
              <w:jc w:val="center"/>
              <w:rPr>
                <w:sz w:val="22"/>
                <w:szCs w:val="22"/>
              </w:rPr>
            </w:pPr>
            <w:r w:rsidRPr="008A3940">
              <w:rPr>
                <w:sz w:val="22"/>
                <w:szCs w:val="22"/>
              </w:rPr>
              <w:t>###</w:t>
            </w:r>
          </w:p>
          <w:p w14:paraId="25FCE47E"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71D68BCA"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4EBDB24D" w14:textId="77777777" w:rsidR="00CC5E08" w:rsidRPr="006B0A70" w:rsidRDefault="006A2FC5" w:rsidP="00BB4E29">
            <w:pPr>
              <w:ind w:right="498"/>
              <w:jc w:val="center"/>
              <w:rPr>
                <w:b/>
                <w:bCs/>
                <w:sz w:val="18"/>
                <w:szCs w:val="18"/>
              </w:rPr>
            </w:pPr>
            <w:r>
              <w:rPr>
                <w:b/>
                <w:bCs/>
                <w:sz w:val="18"/>
                <w:szCs w:val="18"/>
              </w:rPr>
              <w:t>Twitter: @FCC</w:t>
            </w:r>
          </w:p>
          <w:p w14:paraId="5E6E1FCB" w14:textId="704DE0B7" w:rsidR="00CC5E08" w:rsidRDefault="00A30AE4" w:rsidP="00BB4E29">
            <w:pPr>
              <w:ind w:right="498"/>
              <w:jc w:val="center"/>
              <w:rPr>
                <w:rStyle w:val="Hyperlink"/>
                <w:b/>
                <w:bCs/>
                <w:color w:val="auto"/>
                <w:sz w:val="18"/>
                <w:szCs w:val="18"/>
              </w:rPr>
            </w:pPr>
            <w:hyperlink r:id="rId11" w:history="1">
              <w:r w:rsidR="00EE0E90" w:rsidRPr="00EE0E90">
                <w:rPr>
                  <w:rStyle w:val="Hyperlink"/>
                  <w:b/>
                  <w:bCs/>
                  <w:color w:val="auto"/>
                  <w:sz w:val="18"/>
                  <w:szCs w:val="18"/>
                </w:rPr>
                <w:t>www.fcc.gov/office-media-relations</w:t>
              </w:r>
            </w:hyperlink>
          </w:p>
          <w:p w14:paraId="41C69732" w14:textId="77777777" w:rsidR="0069420F" w:rsidRPr="00EE0E90" w:rsidRDefault="0069420F" w:rsidP="00BB4E29">
            <w:pPr>
              <w:ind w:right="498"/>
              <w:jc w:val="center"/>
              <w:rPr>
                <w:b/>
                <w:bCs/>
                <w:sz w:val="18"/>
                <w:szCs w:val="18"/>
              </w:rPr>
            </w:pPr>
          </w:p>
          <w:p w14:paraId="7AA33AF1"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2EA2381D" w14:textId="77777777" w:rsidR="0003167F" w:rsidRPr="007528A5" w:rsidRDefault="0003167F">
      <w:pPr>
        <w:rPr>
          <w:b/>
          <w:bCs/>
          <w:sz w:val="2"/>
          <w:szCs w:val="2"/>
        </w:rPr>
      </w:pPr>
    </w:p>
    <w:sectPr w:rsidR="0003167F" w:rsidRPr="007528A5">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CB012" w14:textId="77777777" w:rsidR="00911AA8" w:rsidRDefault="00911AA8" w:rsidP="00733019">
      <w:r>
        <w:separator/>
      </w:r>
    </w:p>
  </w:endnote>
  <w:endnote w:type="continuationSeparator" w:id="0">
    <w:p w14:paraId="23981100" w14:textId="77777777" w:rsidR="00911AA8" w:rsidRDefault="00911AA8" w:rsidP="00733019">
      <w:r>
        <w:continuationSeparator/>
      </w:r>
    </w:p>
  </w:endnote>
  <w:endnote w:type="continuationNotice" w:id="1">
    <w:p w14:paraId="3ACC640A" w14:textId="77777777" w:rsidR="00D57984" w:rsidRDefault="00D57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1AA08" w14:textId="77777777" w:rsidR="00500FAF" w:rsidRDefault="00500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9D92B" w14:textId="77777777" w:rsidR="00500FAF" w:rsidRDefault="00500F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908EE" w14:textId="77777777" w:rsidR="00500FAF" w:rsidRDefault="00500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A7EFB" w14:textId="77777777" w:rsidR="00911AA8" w:rsidRDefault="00911AA8" w:rsidP="00733019">
      <w:r>
        <w:separator/>
      </w:r>
    </w:p>
  </w:footnote>
  <w:footnote w:type="continuationSeparator" w:id="0">
    <w:p w14:paraId="23B151BD" w14:textId="77777777" w:rsidR="00911AA8" w:rsidRDefault="00911AA8" w:rsidP="00733019">
      <w:r>
        <w:continuationSeparator/>
      </w:r>
    </w:p>
  </w:footnote>
  <w:footnote w:type="continuationNotice" w:id="1">
    <w:p w14:paraId="408A4F07" w14:textId="77777777" w:rsidR="00D57984" w:rsidRDefault="00D579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69D72" w14:textId="77777777" w:rsidR="00500FAF" w:rsidRDefault="00500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8F1D6" w14:textId="77777777" w:rsidR="00500FAF" w:rsidRDefault="00500F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BA0F2" w14:textId="77777777" w:rsidR="00500FAF" w:rsidRDefault="00500F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055BE"/>
    <w:rsid w:val="00006BCF"/>
    <w:rsid w:val="0001146A"/>
    <w:rsid w:val="0002500C"/>
    <w:rsid w:val="000311FC"/>
    <w:rsid w:val="0003167F"/>
    <w:rsid w:val="00040127"/>
    <w:rsid w:val="00055B66"/>
    <w:rsid w:val="00071A8D"/>
    <w:rsid w:val="00073473"/>
    <w:rsid w:val="00081232"/>
    <w:rsid w:val="00091E65"/>
    <w:rsid w:val="00096D4A"/>
    <w:rsid w:val="000A0818"/>
    <w:rsid w:val="000A0A2E"/>
    <w:rsid w:val="000A38EA"/>
    <w:rsid w:val="000C1E47"/>
    <w:rsid w:val="000C26F3"/>
    <w:rsid w:val="000D1EF3"/>
    <w:rsid w:val="000D5FF0"/>
    <w:rsid w:val="000D6580"/>
    <w:rsid w:val="000E049E"/>
    <w:rsid w:val="0010799B"/>
    <w:rsid w:val="00117DB2"/>
    <w:rsid w:val="001230F2"/>
    <w:rsid w:val="00123ED2"/>
    <w:rsid w:val="00125BE0"/>
    <w:rsid w:val="00142C13"/>
    <w:rsid w:val="0015254B"/>
    <w:rsid w:val="00152776"/>
    <w:rsid w:val="00152B1D"/>
    <w:rsid w:val="00153222"/>
    <w:rsid w:val="001577D3"/>
    <w:rsid w:val="00170247"/>
    <w:rsid w:val="001733A6"/>
    <w:rsid w:val="0017440D"/>
    <w:rsid w:val="001865A9"/>
    <w:rsid w:val="00187DB2"/>
    <w:rsid w:val="001A46B4"/>
    <w:rsid w:val="001B20BB"/>
    <w:rsid w:val="001B69B9"/>
    <w:rsid w:val="001C435D"/>
    <w:rsid w:val="001C4370"/>
    <w:rsid w:val="001D02B7"/>
    <w:rsid w:val="001D3779"/>
    <w:rsid w:val="001E0F3F"/>
    <w:rsid w:val="001E50A2"/>
    <w:rsid w:val="001F0469"/>
    <w:rsid w:val="00203A98"/>
    <w:rsid w:val="00206EDD"/>
    <w:rsid w:val="0021247E"/>
    <w:rsid w:val="002146F6"/>
    <w:rsid w:val="0021734D"/>
    <w:rsid w:val="00227006"/>
    <w:rsid w:val="00231C32"/>
    <w:rsid w:val="00240345"/>
    <w:rsid w:val="002421F0"/>
    <w:rsid w:val="00247274"/>
    <w:rsid w:val="002474DC"/>
    <w:rsid w:val="00266966"/>
    <w:rsid w:val="002675DF"/>
    <w:rsid w:val="00277CD5"/>
    <w:rsid w:val="0029008E"/>
    <w:rsid w:val="00294C0C"/>
    <w:rsid w:val="002A0934"/>
    <w:rsid w:val="002B1013"/>
    <w:rsid w:val="002B1FAA"/>
    <w:rsid w:val="002C4423"/>
    <w:rsid w:val="002D03E5"/>
    <w:rsid w:val="002E1FA6"/>
    <w:rsid w:val="002E3F1D"/>
    <w:rsid w:val="002F0A1A"/>
    <w:rsid w:val="002F31D0"/>
    <w:rsid w:val="00300359"/>
    <w:rsid w:val="00315495"/>
    <w:rsid w:val="0031773E"/>
    <w:rsid w:val="00322A1C"/>
    <w:rsid w:val="00330741"/>
    <w:rsid w:val="003311BE"/>
    <w:rsid w:val="00331E58"/>
    <w:rsid w:val="003410A7"/>
    <w:rsid w:val="00347716"/>
    <w:rsid w:val="003506E1"/>
    <w:rsid w:val="0035472E"/>
    <w:rsid w:val="00356FDC"/>
    <w:rsid w:val="00370120"/>
    <w:rsid w:val="003727E3"/>
    <w:rsid w:val="00375D9A"/>
    <w:rsid w:val="00377445"/>
    <w:rsid w:val="00385A93"/>
    <w:rsid w:val="00390642"/>
    <w:rsid w:val="0039101B"/>
    <w:rsid w:val="003910F1"/>
    <w:rsid w:val="003A1DB1"/>
    <w:rsid w:val="003D2736"/>
    <w:rsid w:val="003D5DE3"/>
    <w:rsid w:val="003E1BDB"/>
    <w:rsid w:val="003E42FC"/>
    <w:rsid w:val="003E5991"/>
    <w:rsid w:val="003F344A"/>
    <w:rsid w:val="003F4391"/>
    <w:rsid w:val="003F6BBB"/>
    <w:rsid w:val="00403FF0"/>
    <w:rsid w:val="0042046D"/>
    <w:rsid w:val="004247C9"/>
    <w:rsid w:val="004256B4"/>
    <w:rsid w:val="00425AEF"/>
    <w:rsid w:val="00426518"/>
    <w:rsid w:val="00427B06"/>
    <w:rsid w:val="00431640"/>
    <w:rsid w:val="004356AD"/>
    <w:rsid w:val="00436192"/>
    <w:rsid w:val="00441F59"/>
    <w:rsid w:val="00444E07"/>
    <w:rsid w:val="00444FA9"/>
    <w:rsid w:val="004616E3"/>
    <w:rsid w:val="00464876"/>
    <w:rsid w:val="0046549E"/>
    <w:rsid w:val="00473E9C"/>
    <w:rsid w:val="004775EC"/>
    <w:rsid w:val="00480099"/>
    <w:rsid w:val="00497858"/>
    <w:rsid w:val="004A0643"/>
    <w:rsid w:val="004B3AB6"/>
    <w:rsid w:val="004B4FEA"/>
    <w:rsid w:val="004C0ADA"/>
    <w:rsid w:val="004C433E"/>
    <w:rsid w:val="004C4512"/>
    <w:rsid w:val="004C4F36"/>
    <w:rsid w:val="004D3D85"/>
    <w:rsid w:val="004E0518"/>
    <w:rsid w:val="004E2BD8"/>
    <w:rsid w:val="004E4B0E"/>
    <w:rsid w:val="004F0F1F"/>
    <w:rsid w:val="00500FAF"/>
    <w:rsid w:val="005022AA"/>
    <w:rsid w:val="00504006"/>
    <w:rsid w:val="00504845"/>
    <w:rsid w:val="0050757F"/>
    <w:rsid w:val="00516AD2"/>
    <w:rsid w:val="00545563"/>
    <w:rsid w:val="00545DAE"/>
    <w:rsid w:val="00551000"/>
    <w:rsid w:val="00551D41"/>
    <w:rsid w:val="00570197"/>
    <w:rsid w:val="00570459"/>
    <w:rsid w:val="00571B83"/>
    <w:rsid w:val="00575A00"/>
    <w:rsid w:val="00576625"/>
    <w:rsid w:val="0058001C"/>
    <w:rsid w:val="0058673C"/>
    <w:rsid w:val="005963C3"/>
    <w:rsid w:val="005A50F7"/>
    <w:rsid w:val="005A7972"/>
    <w:rsid w:val="005B17E7"/>
    <w:rsid w:val="005B2643"/>
    <w:rsid w:val="005C213E"/>
    <w:rsid w:val="005D17FD"/>
    <w:rsid w:val="005D2E51"/>
    <w:rsid w:val="005E18F9"/>
    <w:rsid w:val="005E46A2"/>
    <w:rsid w:val="005F0D55"/>
    <w:rsid w:val="005F183E"/>
    <w:rsid w:val="005F1F79"/>
    <w:rsid w:val="005F7B57"/>
    <w:rsid w:val="00600DDA"/>
    <w:rsid w:val="00604211"/>
    <w:rsid w:val="00613498"/>
    <w:rsid w:val="00617B94"/>
    <w:rsid w:val="00620BED"/>
    <w:rsid w:val="00622324"/>
    <w:rsid w:val="00625A78"/>
    <w:rsid w:val="006415B4"/>
    <w:rsid w:val="00642086"/>
    <w:rsid w:val="00644E3D"/>
    <w:rsid w:val="00651B9E"/>
    <w:rsid w:val="00652019"/>
    <w:rsid w:val="006522A2"/>
    <w:rsid w:val="00657EC9"/>
    <w:rsid w:val="00665633"/>
    <w:rsid w:val="00674C86"/>
    <w:rsid w:val="0068015E"/>
    <w:rsid w:val="00680421"/>
    <w:rsid w:val="00685085"/>
    <w:rsid w:val="006861AB"/>
    <w:rsid w:val="00686B89"/>
    <w:rsid w:val="0069420F"/>
    <w:rsid w:val="00695A32"/>
    <w:rsid w:val="006A2FC5"/>
    <w:rsid w:val="006A7D75"/>
    <w:rsid w:val="006B0A70"/>
    <w:rsid w:val="006B606A"/>
    <w:rsid w:val="006C33AF"/>
    <w:rsid w:val="006C72C7"/>
    <w:rsid w:val="006D5D22"/>
    <w:rsid w:val="006E0324"/>
    <w:rsid w:val="006E39A9"/>
    <w:rsid w:val="006E4A76"/>
    <w:rsid w:val="006E7741"/>
    <w:rsid w:val="006F1DBD"/>
    <w:rsid w:val="00700556"/>
    <w:rsid w:val="007053F6"/>
    <w:rsid w:val="007167DD"/>
    <w:rsid w:val="00722ADE"/>
    <w:rsid w:val="0072478B"/>
    <w:rsid w:val="00733019"/>
    <w:rsid w:val="0073414D"/>
    <w:rsid w:val="00734567"/>
    <w:rsid w:val="0075235E"/>
    <w:rsid w:val="007528A5"/>
    <w:rsid w:val="007732CC"/>
    <w:rsid w:val="00774079"/>
    <w:rsid w:val="0077752B"/>
    <w:rsid w:val="007817AC"/>
    <w:rsid w:val="0078643D"/>
    <w:rsid w:val="00790D22"/>
    <w:rsid w:val="00793D6F"/>
    <w:rsid w:val="00794090"/>
    <w:rsid w:val="007A0BE3"/>
    <w:rsid w:val="007A1445"/>
    <w:rsid w:val="007A44F8"/>
    <w:rsid w:val="007B078D"/>
    <w:rsid w:val="007B673B"/>
    <w:rsid w:val="007B70E2"/>
    <w:rsid w:val="007C6EF8"/>
    <w:rsid w:val="007D21BF"/>
    <w:rsid w:val="007D2A8F"/>
    <w:rsid w:val="007D71D0"/>
    <w:rsid w:val="007F0415"/>
    <w:rsid w:val="007F3C12"/>
    <w:rsid w:val="007F5205"/>
    <w:rsid w:val="007F6B5F"/>
    <w:rsid w:val="00802889"/>
    <w:rsid w:val="008118CC"/>
    <w:rsid w:val="008215E7"/>
    <w:rsid w:val="00830E92"/>
    <w:rsid w:val="00830FC6"/>
    <w:rsid w:val="00831D45"/>
    <w:rsid w:val="00835B06"/>
    <w:rsid w:val="00840133"/>
    <w:rsid w:val="00852DC1"/>
    <w:rsid w:val="00865EAA"/>
    <w:rsid w:val="00866F06"/>
    <w:rsid w:val="00871E17"/>
    <w:rsid w:val="00871F68"/>
    <w:rsid w:val="008728F5"/>
    <w:rsid w:val="008824C2"/>
    <w:rsid w:val="00882BCF"/>
    <w:rsid w:val="008960E4"/>
    <w:rsid w:val="008A3940"/>
    <w:rsid w:val="008B13C9"/>
    <w:rsid w:val="008B533E"/>
    <w:rsid w:val="008C248C"/>
    <w:rsid w:val="008C5432"/>
    <w:rsid w:val="008C55BB"/>
    <w:rsid w:val="008C662B"/>
    <w:rsid w:val="008C7BF1"/>
    <w:rsid w:val="008D00D6"/>
    <w:rsid w:val="008D1337"/>
    <w:rsid w:val="008D3133"/>
    <w:rsid w:val="008D4D00"/>
    <w:rsid w:val="008D4E5E"/>
    <w:rsid w:val="008D6CBB"/>
    <w:rsid w:val="008D7ABD"/>
    <w:rsid w:val="008E19E3"/>
    <w:rsid w:val="008E1F7B"/>
    <w:rsid w:val="008E4855"/>
    <w:rsid w:val="008E55A2"/>
    <w:rsid w:val="008E7393"/>
    <w:rsid w:val="008F1609"/>
    <w:rsid w:val="008F78D8"/>
    <w:rsid w:val="00911AA8"/>
    <w:rsid w:val="00913B23"/>
    <w:rsid w:val="0091538A"/>
    <w:rsid w:val="00961620"/>
    <w:rsid w:val="009652C4"/>
    <w:rsid w:val="009734B6"/>
    <w:rsid w:val="00977ABB"/>
    <w:rsid w:val="0098096F"/>
    <w:rsid w:val="00982B6A"/>
    <w:rsid w:val="009841B6"/>
    <w:rsid w:val="0098437A"/>
    <w:rsid w:val="00986C92"/>
    <w:rsid w:val="0099169C"/>
    <w:rsid w:val="00992CD8"/>
    <w:rsid w:val="00993C47"/>
    <w:rsid w:val="009B0CCA"/>
    <w:rsid w:val="009B4B16"/>
    <w:rsid w:val="009D462E"/>
    <w:rsid w:val="009D4F30"/>
    <w:rsid w:val="009E54A1"/>
    <w:rsid w:val="009F1233"/>
    <w:rsid w:val="009F4E25"/>
    <w:rsid w:val="009F5B1F"/>
    <w:rsid w:val="00A03C96"/>
    <w:rsid w:val="00A1436D"/>
    <w:rsid w:val="00A23928"/>
    <w:rsid w:val="00A30636"/>
    <w:rsid w:val="00A30AE4"/>
    <w:rsid w:val="00A3326D"/>
    <w:rsid w:val="00A35DFD"/>
    <w:rsid w:val="00A63057"/>
    <w:rsid w:val="00A65789"/>
    <w:rsid w:val="00A701AA"/>
    <w:rsid w:val="00A702DF"/>
    <w:rsid w:val="00A719AA"/>
    <w:rsid w:val="00A775A3"/>
    <w:rsid w:val="00A81B5B"/>
    <w:rsid w:val="00A82512"/>
    <w:rsid w:val="00A82FAD"/>
    <w:rsid w:val="00A9673A"/>
    <w:rsid w:val="00A96EF2"/>
    <w:rsid w:val="00AA24D2"/>
    <w:rsid w:val="00AA5C35"/>
    <w:rsid w:val="00AA5ED9"/>
    <w:rsid w:val="00AC0A38"/>
    <w:rsid w:val="00AC0F1C"/>
    <w:rsid w:val="00AC4E0E"/>
    <w:rsid w:val="00AC517B"/>
    <w:rsid w:val="00AD0D19"/>
    <w:rsid w:val="00AD1A69"/>
    <w:rsid w:val="00AE5DE4"/>
    <w:rsid w:val="00AF051B"/>
    <w:rsid w:val="00B032B8"/>
    <w:rsid w:val="00B037A2"/>
    <w:rsid w:val="00B14B83"/>
    <w:rsid w:val="00B31870"/>
    <w:rsid w:val="00B320B8"/>
    <w:rsid w:val="00B35EE2"/>
    <w:rsid w:val="00B36DEF"/>
    <w:rsid w:val="00B420D4"/>
    <w:rsid w:val="00B45342"/>
    <w:rsid w:val="00B57131"/>
    <w:rsid w:val="00B62F2C"/>
    <w:rsid w:val="00B67B45"/>
    <w:rsid w:val="00B727C9"/>
    <w:rsid w:val="00B735C8"/>
    <w:rsid w:val="00B748B8"/>
    <w:rsid w:val="00B76A63"/>
    <w:rsid w:val="00B8154A"/>
    <w:rsid w:val="00B824C6"/>
    <w:rsid w:val="00BA6350"/>
    <w:rsid w:val="00BB4E29"/>
    <w:rsid w:val="00BB74C9"/>
    <w:rsid w:val="00BC3AB6"/>
    <w:rsid w:val="00BD19E8"/>
    <w:rsid w:val="00BD4273"/>
    <w:rsid w:val="00BE7979"/>
    <w:rsid w:val="00BF2875"/>
    <w:rsid w:val="00C37E46"/>
    <w:rsid w:val="00C432E4"/>
    <w:rsid w:val="00C56EA4"/>
    <w:rsid w:val="00C70C26"/>
    <w:rsid w:val="00C72001"/>
    <w:rsid w:val="00C772B7"/>
    <w:rsid w:val="00C80347"/>
    <w:rsid w:val="00C804C6"/>
    <w:rsid w:val="00C81D88"/>
    <w:rsid w:val="00C9163C"/>
    <w:rsid w:val="00CB316A"/>
    <w:rsid w:val="00CB7C1A"/>
    <w:rsid w:val="00CC5E08"/>
    <w:rsid w:val="00CD69EF"/>
    <w:rsid w:val="00CF1802"/>
    <w:rsid w:val="00CF6860"/>
    <w:rsid w:val="00CF795D"/>
    <w:rsid w:val="00D02AC6"/>
    <w:rsid w:val="00D03F0C"/>
    <w:rsid w:val="00D04312"/>
    <w:rsid w:val="00D16A7F"/>
    <w:rsid w:val="00D16AD2"/>
    <w:rsid w:val="00D22596"/>
    <w:rsid w:val="00D22691"/>
    <w:rsid w:val="00D22F17"/>
    <w:rsid w:val="00D24C3D"/>
    <w:rsid w:val="00D32171"/>
    <w:rsid w:val="00D46CB1"/>
    <w:rsid w:val="00D57984"/>
    <w:rsid w:val="00D723F0"/>
    <w:rsid w:val="00D8133F"/>
    <w:rsid w:val="00D87799"/>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56ABD"/>
    <w:rsid w:val="00E606DE"/>
    <w:rsid w:val="00E644FE"/>
    <w:rsid w:val="00E712FF"/>
    <w:rsid w:val="00E72733"/>
    <w:rsid w:val="00E742FA"/>
    <w:rsid w:val="00E75BE4"/>
    <w:rsid w:val="00E76816"/>
    <w:rsid w:val="00E83DBF"/>
    <w:rsid w:val="00E87C13"/>
    <w:rsid w:val="00E94CD9"/>
    <w:rsid w:val="00EA0BFF"/>
    <w:rsid w:val="00EA1A76"/>
    <w:rsid w:val="00EA290B"/>
    <w:rsid w:val="00EB7ED5"/>
    <w:rsid w:val="00EC61FD"/>
    <w:rsid w:val="00EE0E90"/>
    <w:rsid w:val="00EE47B8"/>
    <w:rsid w:val="00EF3BCA"/>
    <w:rsid w:val="00F01B0D"/>
    <w:rsid w:val="00F1238F"/>
    <w:rsid w:val="00F16485"/>
    <w:rsid w:val="00F228ED"/>
    <w:rsid w:val="00F26E31"/>
    <w:rsid w:val="00F27C6C"/>
    <w:rsid w:val="00F34A8D"/>
    <w:rsid w:val="00F5023B"/>
    <w:rsid w:val="00F50D25"/>
    <w:rsid w:val="00F5348A"/>
    <w:rsid w:val="00F535D8"/>
    <w:rsid w:val="00F61155"/>
    <w:rsid w:val="00F66FE9"/>
    <w:rsid w:val="00F708E3"/>
    <w:rsid w:val="00F72A61"/>
    <w:rsid w:val="00F76561"/>
    <w:rsid w:val="00F84736"/>
    <w:rsid w:val="00F8697D"/>
    <w:rsid w:val="00FA55A8"/>
    <w:rsid w:val="00FB4A93"/>
    <w:rsid w:val="00FC6C29"/>
    <w:rsid w:val="00FD2274"/>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8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paragraph" w:customStyle="1" w:styleId="ParaNum">
    <w:name w:val="ParaNum"/>
    <w:basedOn w:val="Normal"/>
    <w:link w:val="ParaNumChar"/>
    <w:rsid w:val="0021734D"/>
    <w:pPr>
      <w:widowControl w:val="0"/>
      <w:numPr>
        <w:numId w:val="2"/>
      </w:numPr>
      <w:tabs>
        <w:tab w:val="clear" w:pos="1080"/>
        <w:tab w:val="num" w:pos="1440"/>
      </w:tabs>
      <w:spacing w:after="120"/>
    </w:pPr>
    <w:rPr>
      <w:snapToGrid w:val="0"/>
      <w:kern w:val="28"/>
      <w:sz w:val="22"/>
      <w:szCs w:val="20"/>
    </w:rPr>
  </w:style>
  <w:style w:type="character" w:customStyle="1" w:styleId="ParaNumChar">
    <w:name w:val="ParaNum Char"/>
    <w:link w:val="ParaNum"/>
    <w:locked/>
    <w:rsid w:val="0021734D"/>
    <w:rPr>
      <w:snapToGrid w:val="0"/>
      <w:kern w:val="28"/>
      <w:sz w:val="22"/>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Styl,rrfootnote,f"/>
    <w:link w:val="FootnoteTextChar"/>
    <w:rsid w:val="00227006"/>
    <w:pPr>
      <w:spacing w:after="120"/>
    </w:p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Styl Char,f Char"/>
    <w:basedOn w:val="DefaultParagraphFont"/>
    <w:link w:val="FootnoteText"/>
    <w:rsid w:val="00227006"/>
  </w:style>
  <w:style w:type="character" w:styleId="FootnoteReference">
    <w:name w:val="footnote reference"/>
    <w:aliases w:val="Style 4,Style 12,(NECG) Footnote Reference,Appel note de bas de p,Style 124,Style 13,o,fr,Style 3,FR,Style 17,Footnote Reference/,Style 6,Footnote Reference1"/>
    <w:rsid w:val="00227006"/>
    <w:rPr>
      <w:rFonts w:ascii="Times New Roman" w:hAnsi="Times New Roman"/>
      <w:dstrike w:val="0"/>
      <w:color w:val="auto"/>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paragraph" w:customStyle="1" w:styleId="ParaNum">
    <w:name w:val="ParaNum"/>
    <w:basedOn w:val="Normal"/>
    <w:link w:val="ParaNumChar"/>
    <w:rsid w:val="0021734D"/>
    <w:pPr>
      <w:widowControl w:val="0"/>
      <w:numPr>
        <w:numId w:val="2"/>
      </w:numPr>
      <w:tabs>
        <w:tab w:val="clear" w:pos="1080"/>
        <w:tab w:val="num" w:pos="1440"/>
      </w:tabs>
      <w:spacing w:after="120"/>
    </w:pPr>
    <w:rPr>
      <w:snapToGrid w:val="0"/>
      <w:kern w:val="28"/>
      <w:sz w:val="22"/>
      <w:szCs w:val="20"/>
    </w:rPr>
  </w:style>
  <w:style w:type="character" w:customStyle="1" w:styleId="ParaNumChar">
    <w:name w:val="ParaNum Char"/>
    <w:link w:val="ParaNum"/>
    <w:locked/>
    <w:rsid w:val="0021734D"/>
    <w:rPr>
      <w:snapToGrid w:val="0"/>
      <w:kern w:val="28"/>
      <w:sz w:val="22"/>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Styl,rrfootnote,f"/>
    <w:link w:val="FootnoteTextChar"/>
    <w:rsid w:val="00227006"/>
    <w:pPr>
      <w:spacing w:after="120"/>
    </w:p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Styl Char,f Char"/>
    <w:basedOn w:val="DefaultParagraphFont"/>
    <w:link w:val="FootnoteText"/>
    <w:rsid w:val="00227006"/>
  </w:style>
  <w:style w:type="character" w:styleId="FootnoteReference">
    <w:name w:val="footnote reference"/>
    <w:aliases w:val="Style 4,Style 12,(NECG) Footnote Reference,Appel note de bas de p,Style 124,Style 13,o,fr,Style 3,FR,Style 17,Footnote Reference/,Style 6,Footnote Reference1"/>
    <w:rsid w:val="00227006"/>
    <w:rPr>
      <w:rFonts w:ascii="Times New Roman" w:hAnsi="Times New Roman"/>
      <w:dstrike w:val="0"/>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2945">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30844970">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844446">
      <w:bodyDiv w:val="1"/>
      <w:marLeft w:val="0"/>
      <w:marRight w:val="0"/>
      <w:marTop w:val="0"/>
      <w:marBottom w:val="0"/>
      <w:divBdr>
        <w:top w:val="none" w:sz="0" w:space="0" w:color="auto"/>
        <w:left w:val="none" w:sz="0" w:space="0" w:color="auto"/>
        <w:bottom w:val="none" w:sz="0" w:space="0" w:color="auto"/>
        <w:right w:val="none" w:sz="0" w:space="0" w:color="auto"/>
      </w:divBdr>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1675">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office-media-rel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ps.fcc.gov/edocs_public/attachmatch/DA-15-1241A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sumercomplaints.fcc.gov/hc/en-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4114</Characters>
  <Application>Microsoft Office Word</Application>
  <DocSecurity>0</DocSecurity>
  <Lines>85</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2015-11-05T20:59:00Z</dcterms:created>
  <dcterms:modified xsi:type="dcterms:W3CDTF">2015-11-05T20:59:00Z</dcterms:modified>
  <cp:category> </cp:category>
  <cp:contentStatus> </cp:contentStatus>
</cp:coreProperties>
</file>