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EC70E1">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DD5A92">
        <w:rPr>
          <w:szCs w:val="22"/>
        </w:rPr>
        <w:t>220</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EC70E1">
        <w:rPr>
          <w:szCs w:val="22"/>
        </w:rPr>
        <w:t xml:space="preserve">November </w:t>
      </w:r>
      <w:r w:rsidR="00DD5A92">
        <w:rPr>
          <w:szCs w:val="22"/>
        </w:rPr>
        <w:t>5</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EC70E1">
        <w:rPr>
          <w:szCs w:val="22"/>
        </w:rPr>
        <w:t>96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EC70E1">
        <w:rPr>
          <w:szCs w:val="22"/>
        </w:rPr>
        <w:t>; REVISION TO NOTICE IN NCD-24</w:t>
      </w:r>
      <w:r w:rsidR="00C23C0A">
        <w:rPr>
          <w:szCs w:val="22"/>
        </w:rPr>
        <w:t>56</w:t>
      </w:r>
      <w:r w:rsidR="00EC70E1">
        <w:rPr>
          <w:szCs w:val="22"/>
        </w:rPr>
        <w:t xml:space="preserve"> (</w:t>
      </w:r>
      <w:r w:rsidR="00C23C0A" w:rsidRPr="00C23C0A">
        <w:rPr>
          <w:szCs w:val="22"/>
        </w:rPr>
        <w:t>ATT20150504L.1</w:t>
      </w:r>
      <w:r w:rsidR="00EC70E1">
        <w:rPr>
          <w:szCs w:val="22"/>
        </w:rPr>
        <w:t>)</w:t>
      </w:r>
    </w:p>
    <w:p w:rsidR="00323CD4" w:rsidRPr="00F046EC" w:rsidRDefault="00323CD4">
      <w:pPr>
        <w:tabs>
          <w:tab w:val="left" w:pos="-720"/>
        </w:tabs>
        <w:suppressAutoHyphens/>
        <w:rPr>
          <w:szCs w:val="22"/>
        </w:rPr>
      </w:pPr>
    </w:p>
    <w:p w:rsidR="008C4E05" w:rsidRDefault="00EC70E1" w:rsidP="008C4E05">
      <w:pPr>
        <w:tabs>
          <w:tab w:val="left" w:pos="-720"/>
        </w:tabs>
        <w:suppressAutoHyphens/>
        <w:rPr>
          <w:b/>
          <w:szCs w:val="22"/>
          <w:u w:val="single"/>
        </w:rPr>
      </w:pPr>
      <w:r>
        <w:rPr>
          <w:szCs w:val="22"/>
        </w:rPr>
        <w:t>AT&amp;T Southwest</w:t>
      </w:r>
      <w:r w:rsidR="00197061">
        <w:rPr>
          <w:szCs w:val="22"/>
        </w:rPr>
        <w:t xml:space="preserve"> (</w:t>
      </w:r>
      <w:r>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870"/>
        <w:gridCol w:w="2700"/>
      </w:tblGrid>
      <w:tr w:rsidR="00C23C0A" w:rsidTr="00394C4F">
        <w:trPr>
          <w:trHeight w:val="332"/>
        </w:trPr>
        <w:tc>
          <w:tcPr>
            <w:tcW w:w="2790" w:type="dxa"/>
          </w:tcPr>
          <w:p w:rsidR="00C23C0A" w:rsidRDefault="00C23C0A" w:rsidP="00394C4F">
            <w:pPr>
              <w:tabs>
                <w:tab w:val="left" w:pos="0"/>
              </w:tabs>
              <w:suppressAutoHyphens/>
              <w:rPr>
                <w:b/>
                <w:szCs w:val="22"/>
              </w:rPr>
            </w:pPr>
            <w:r>
              <w:rPr>
                <w:b/>
                <w:szCs w:val="22"/>
              </w:rPr>
              <w:t>Number</w:t>
            </w:r>
          </w:p>
        </w:tc>
        <w:tc>
          <w:tcPr>
            <w:tcW w:w="3870" w:type="dxa"/>
          </w:tcPr>
          <w:p w:rsidR="00C23C0A" w:rsidRDefault="00C23C0A" w:rsidP="00394C4F">
            <w:pPr>
              <w:tabs>
                <w:tab w:val="left" w:pos="0"/>
              </w:tabs>
              <w:suppressAutoHyphens/>
              <w:rPr>
                <w:b/>
                <w:szCs w:val="22"/>
              </w:rPr>
            </w:pPr>
            <w:r>
              <w:rPr>
                <w:b/>
                <w:szCs w:val="22"/>
              </w:rPr>
              <w:t>Type of Change(s) Planned</w:t>
            </w:r>
          </w:p>
        </w:tc>
        <w:tc>
          <w:tcPr>
            <w:tcW w:w="2700" w:type="dxa"/>
          </w:tcPr>
          <w:p w:rsidR="00C23C0A" w:rsidRDefault="00C23C0A" w:rsidP="00394C4F">
            <w:pPr>
              <w:tabs>
                <w:tab w:val="left" w:pos="0"/>
              </w:tabs>
              <w:suppressAutoHyphens/>
              <w:rPr>
                <w:b/>
                <w:szCs w:val="22"/>
              </w:rPr>
            </w:pPr>
            <w:r>
              <w:rPr>
                <w:b/>
                <w:szCs w:val="22"/>
              </w:rPr>
              <w:t>Location of Change(s)</w:t>
            </w:r>
          </w:p>
        </w:tc>
      </w:tr>
      <w:tr w:rsidR="00C23C0A" w:rsidTr="00394C4F">
        <w:tc>
          <w:tcPr>
            <w:tcW w:w="2790" w:type="dxa"/>
          </w:tcPr>
          <w:p w:rsidR="00C23C0A" w:rsidRDefault="00C23C0A" w:rsidP="00C23C0A">
            <w:pPr>
              <w:tabs>
                <w:tab w:val="left" w:pos="0"/>
              </w:tabs>
              <w:suppressAutoHyphens/>
              <w:rPr>
                <w:szCs w:val="22"/>
              </w:rPr>
            </w:pPr>
            <w:r>
              <w:rPr>
                <w:szCs w:val="22"/>
              </w:rPr>
              <w:t>ATT20150911S.1</w:t>
            </w:r>
          </w:p>
        </w:tc>
        <w:tc>
          <w:tcPr>
            <w:tcW w:w="3870" w:type="dxa"/>
          </w:tcPr>
          <w:p w:rsidR="00C23C0A" w:rsidRPr="00083DE2" w:rsidRDefault="00DD5A92" w:rsidP="009C555B">
            <w:pPr>
              <w:tabs>
                <w:tab w:val="left" w:pos="0"/>
              </w:tabs>
              <w:suppressAutoHyphens/>
              <w:rPr>
                <w:szCs w:val="22"/>
              </w:rPr>
            </w:pPr>
            <w:r>
              <w:rPr>
                <w:b/>
                <w:szCs w:val="22"/>
              </w:rPr>
              <w:t>Revisi</w:t>
            </w:r>
            <w:r w:rsidR="009C555B">
              <w:rPr>
                <w:b/>
                <w:szCs w:val="22"/>
              </w:rPr>
              <w:t xml:space="preserve">on to the </w:t>
            </w:r>
            <w:r w:rsidR="009C555B" w:rsidRPr="00DD5A92">
              <w:rPr>
                <w:b/>
                <w:szCs w:val="22"/>
              </w:rPr>
              <w:t>ATT201</w:t>
            </w:r>
            <w:r w:rsidR="009C555B">
              <w:rPr>
                <w:b/>
                <w:szCs w:val="22"/>
              </w:rPr>
              <w:t>50504L.1</w:t>
            </w:r>
            <w:r w:rsidR="009C555B" w:rsidRPr="00DD5A92">
              <w:rPr>
                <w:b/>
                <w:szCs w:val="22"/>
              </w:rPr>
              <w:t xml:space="preserve"> </w:t>
            </w:r>
            <w:r>
              <w:rPr>
                <w:b/>
                <w:szCs w:val="22"/>
              </w:rPr>
              <w:t xml:space="preserve">long term </w:t>
            </w:r>
            <w:r w:rsidRPr="00DD5A92">
              <w:rPr>
                <w:b/>
                <w:szCs w:val="22"/>
              </w:rPr>
              <w:t xml:space="preserve">notice </w:t>
            </w:r>
            <w:r>
              <w:rPr>
                <w:b/>
                <w:szCs w:val="22"/>
              </w:rPr>
              <w:t>due to changes in the FSPOIs for the SS7 STPs in the wire center</w:t>
            </w:r>
            <w:r w:rsidRPr="00DD5A92">
              <w:rPr>
                <w:b/>
                <w:szCs w:val="22"/>
              </w:rPr>
              <w:t>.</w:t>
            </w:r>
            <w:r w:rsidR="009C555B">
              <w:rPr>
                <w:b/>
                <w:szCs w:val="22"/>
              </w:rPr>
              <w:t xml:space="preserve">  </w:t>
            </w:r>
            <w:r w:rsidR="00C23C0A">
              <w:rPr>
                <w:szCs w:val="22"/>
              </w:rPr>
              <w:t>AT&amp;T</w:t>
            </w:r>
            <w:r w:rsidR="00C23C0A" w:rsidRPr="00184581">
              <w:rPr>
                <w:szCs w:val="22"/>
              </w:rPr>
              <w:t xml:space="preserve"> </w:t>
            </w:r>
            <w:r w:rsidR="00C23C0A">
              <w:rPr>
                <w:szCs w:val="22"/>
              </w:rPr>
              <w:t>plans to decommission the STPs in the Beaumont, Texas area and consolidate the STPs in LATA 562 into LATA 552.  The SS7 linksets from the Beaumont Nortel DMS STPs (BUMTTXTW01W/BUMTTXTE06W) will need to be re-homed into the Dallas/Fort Worth, Texas Tekelec STPs (DLLSTXTA38W/FTWOTXED36W).  Changes are scheduled to occur during the 4th quarter of 2015.</w:t>
            </w:r>
          </w:p>
        </w:tc>
        <w:tc>
          <w:tcPr>
            <w:tcW w:w="2700" w:type="dxa"/>
          </w:tcPr>
          <w:p w:rsidR="00C23C0A" w:rsidRDefault="00C23C0A" w:rsidP="00394C4F">
            <w:pPr>
              <w:tabs>
                <w:tab w:val="left" w:pos="0"/>
              </w:tabs>
              <w:suppressAutoHyphens/>
              <w:rPr>
                <w:szCs w:val="22"/>
                <w:lang w:val="de-DE"/>
              </w:rPr>
            </w:pPr>
            <w:r>
              <w:rPr>
                <w:szCs w:val="22"/>
                <w:lang w:val="de-DE"/>
              </w:rPr>
              <w:t>Beaumont, TX</w:t>
            </w:r>
          </w:p>
          <w:p w:rsidR="00C23C0A" w:rsidRDefault="00C23C0A" w:rsidP="00394C4F">
            <w:pPr>
              <w:tabs>
                <w:tab w:val="left" w:pos="0"/>
              </w:tabs>
              <w:suppressAutoHyphens/>
              <w:rPr>
                <w:szCs w:val="22"/>
                <w:lang w:val="de-DE"/>
              </w:rPr>
            </w:pPr>
            <w:r>
              <w:rPr>
                <w:szCs w:val="22"/>
                <w:lang w:val="de-DE"/>
              </w:rPr>
              <w:t>Dallas/Ft. Worth, TX</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w:t>
      </w:r>
      <w:r w:rsidRPr="007F510F">
        <w:rPr>
          <w:szCs w:val="22"/>
        </w:rPr>
        <w:lastRenderedPageBreak/>
        <w:t xml:space="preserve">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50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CC" w:rsidRDefault="00E46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CC" w:rsidRDefault="00E46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CC" w:rsidRDefault="00E46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E450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824466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9EDF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66CC"/>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E450D"/>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1004</Words>
  <Characters>5762</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6804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2015-11-05T21:05:00Z</dcterms:created>
  <dcterms:modified xsi:type="dcterms:W3CDTF">2015-11-05T21:05:00Z</dcterms:modified>
  <cp:category> </cp:category>
  <cp:contentStatus> </cp:contentStatus>
</cp:coreProperties>
</file>