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14BE" w:rsidRPr="001F1C25" w:rsidTr="00217BBA">
        <w:tc>
          <w:tcPr>
            <w:tcW w:w="4788" w:type="dxa"/>
            <w:shd w:val="clear" w:color="auto" w:fill="auto"/>
          </w:tcPr>
          <w:p w:rsidR="000414BE" w:rsidRPr="001F1C25" w:rsidRDefault="000414BE" w:rsidP="00444348">
            <w:pPr>
              <w:rPr>
                <w:szCs w:val="22"/>
              </w:rPr>
            </w:pPr>
            <w:r w:rsidRPr="001F1C25">
              <w:rPr>
                <w:szCs w:val="22"/>
              </w:rPr>
              <w:lastRenderedPageBreak/>
              <w:t xml:space="preserve">Report No. </w:t>
            </w:r>
            <w:r w:rsidR="00444348">
              <w:rPr>
                <w:szCs w:val="22"/>
              </w:rPr>
              <w:t>3036</w:t>
            </w:r>
            <w:r w:rsidRPr="001F1C25">
              <w:rPr>
                <w:szCs w:val="22"/>
              </w:rPr>
              <w:t xml:space="preserve"> </w:t>
            </w:r>
            <w:r w:rsidRPr="001F1C25">
              <w:rPr>
                <w:szCs w:val="22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:rsidR="000414BE" w:rsidRPr="001F1C25" w:rsidRDefault="00C13F69" w:rsidP="009C6FCB">
            <w:pPr>
              <w:jc w:val="right"/>
              <w:rPr>
                <w:szCs w:val="22"/>
              </w:rPr>
            </w:pPr>
            <w:r w:rsidRPr="001F1C25">
              <w:rPr>
                <w:szCs w:val="22"/>
              </w:rPr>
              <w:t>Dec</w:t>
            </w:r>
            <w:r w:rsidR="000414BE" w:rsidRPr="001F1C25">
              <w:rPr>
                <w:szCs w:val="22"/>
              </w:rPr>
              <w:t xml:space="preserve">ember </w:t>
            </w:r>
            <w:r w:rsidR="009C6FCB">
              <w:rPr>
                <w:szCs w:val="22"/>
              </w:rPr>
              <w:t>3</w:t>
            </w:r>
            <w:r w:rsidR="000414BE" w:rsidRPr="001F1C25">
              <w:rPr>
                <w:szCs w:val="22"/>
              </w:rPr>
              <w:t>, 2015</w:t>
            </w:r>
          </w:p>
        </w:tc>
      </w:tr>
    </w:tbl>
    <w:p w:rsidR="000414BE" w:rsidRPr="001F1C25" w:rsidRDefault="00892C30" w:rsidP="000414BE">
      <w:pPr>
        <w:rPr>
          <w:szCs w:val="22"/>
        </w:rPr>
      </w:pPr>
      <w:r w:rsidRPr="001F1C25">
        <w:rPr>
          <w:szCs w:val="22"/>
        </w:rPr>
        <w:tab/>
      </w:r>
    </w:p>
    <w:p w:rsidR="00602577" w:rsidRPr="00737E38" w:rsidRDefault="00892C30" w:rsidP="00737E38">
      <w:pPr>
        <w:spacing w:before="120" w:after="240"/>
        <w:jc w:val="center"/>
        <w:rPr>
          <w:b/>
          <w:szCs w:val="22"/>
        </w:rPr>
      </w:pPr>
      <w:r w:rsidRPr="001F1C25">
        <w:rPr>
          <w:b/>
          <w:szCs w:val="22"/>
        </w:rPr>
        <w:t xml:space="preserve">PETITIONS FOR RECONSIDERATION </w:t>
      </w:r>
      <w:r w:rsidR="001C23B6" w:rsidRPr="001F1C25">
        <w:rPr>
          <w:b/>
          <w:szCs w:val="22"/>
        </w:rPr>
        <w:t xml:space="preserve">OF </w:t>
      </w:r>
      <w:r w:rsidR="00737E38" w:rsidRPr="00737E38">
        <w:rPr>
          <w:b/>
          <w:szCs w:val="22"/>
        </w:rPr>
        <w:t>PUBLIC NOTICE REGARDING APPLICATION PROCEDURES FOR BROADCAST INCENTIVE AUCTION</w:t>
      </w:r>
      <w:r w:rsidRPr="001F1C25">
        <w:rPr>
          <w:b/>
          <w:szCs w:val="22"/>
        </w:rPr>
        <w:cr/>
      </w:r>
    </w:p>
    <w:p w:rsidR="00EC2AC3" w:rsidRPr="00EC2AC3" w:rsidRDefault="007C4EAC" w:rsidP="00892C30">
      <w:pPr>
        <w:rPr>
          <w:szCs w:val="22"/>
        </w:rPr>
      </w:pPr>
      <w:r w:rsidRPr="007C4EAC">
        <w:rPr>
          <w:szCs w:val="22"/>
        </w:rPr>
        <w:t xml:space="preserve">Three petitions for reconsideration, one requesting a declaratory ruling in the alternative, </w:t>
      </w:r>
      <w:r w:rsidR="00892C30" w:rsidRPr="001F1C25">
        <w:rPr>
          <w:szCs w:val="22"/>
        </w:rPr>
        <w:t>have been filed in the Commission’s proceeding listed in this Public Notice and published pursuant to 47 C.F.R. §</w:t>
      </w:r>
      <w:r w:rsidR="000B0E23" w:rsidRPr="001F1C25">
        <w:rPr>
          <w:szCs w:val="22"/>
        </w:rPr>
        <w:t>§</w:t>
      </w:r>
      <w:r w:rsidR="00892C30" w:rsidRPr="001F1C25">
        <w:rPr>
          <w:szCs w:val="22"/>
        </w:rPr>
        <w:t xml:space="preserve"> 1.429(e)</w:t>
      </w:r>
      <w:r w:rsidR="000B0E23" w:rsidRPr="001F1C25">
        <w:rPr>
          <w:szCs w:val="22"/>
        </w:rPr>
        <w:t>, 1.2(b)</w:t>
      </w:r>
      <w:r w:rsidR="00892C30" w:rsidRPr="001F1C25">
        <w:rPr>
          <w:szCs w:val="22"/>
        </w:rPr>
        <w:t xml:space="preserve">. </w:t>
      </w:r>
      <w:r w:rsidR="00530440" w:rsidRPr="001F1C25">
        <w:rPr>
          <w:szCs w:val="22"/>
        </w:rPr>
        <w:t xml:space="preserve"> </w:t>
      </w:r>
      <w:r w:rsidR="00892C30" w:rsidRPr="001F1C25">
        <w:rPr>
          <w:szCs w:val="22"/>
        </w:rPr>
        <w:t xml:space="preserve">The full text of this document is available for viewing and copying at the FCC Reference Information Center, 445 </w:t>
      </w:r>
      <w:r w:rsidR="00892C30" w:rsidRPr="00EC2AC3">
        <w:rPr>
          <w:szCs w:val="22"/>
        </w:rPr>
        <w:t xml:space="preserve">12th Street, SW, Room CYA257, Washington, DC 20554. </w:t>
      </w:r>
      <w:r w:rsidR="00530440" w:rsidRPr="00EC2AC3">
        <w:rPr>
          <w:szCs w:val="22"/>
        </w:rPr>
        <w:t xml:space="preserve"> </w:t>
      </w:r>
    </w:p>
    <w:p w:rsidR="00EC2AC3" w:rsidRPr="00EC2AC3" w:rsidRDefault="00EC2AC3" w:rsidP="00892C30">
      <w:pPr>
        <w:rPr>
          <w:szCs w:val="22"/>
        </w:rPr>
      </w:pPr>
    </w:p>
    <w:p w:rsidR="006C4880" w:rsidRDefault="006C4880" w:rsidP="00892C30">
      <w:pPr>
        <w:rPr>
          <w:szCs w:val="22"/>
        </w:rPr>
      </w:pPr>
      <w:r w:rsidRPr="00EC2AC3">
        <w:rPr>
          <w:szCs w:val="22"/>
        </w:rPr>
        <w:t xml:space="preserve">For consistency, we are treating all petitions for reconsideration of the </w:t>
      </w:r>
      <w:r w:rsidRPr="00EC2AC3">
        <w:rPr>
          <w:i/>
          <w:szCs w:val="22"/>
        </w:rPr>
        <w:t>Application Procedures PN</w:t>
      </w:r>
      <w:r w:rsidRPr="00EC2AC3">
        <w:rPr>
          <w:szCs w:val="22"/>
        </w:rPr>
        <w:t xml:space="preserve"> as subject to the requirements of </w:t>
      </w:r>
      <w:r w:rsidR="00C2694C">
        <w:rPr>
          <w:szCs w:val="22"/>
        </w:rPr>
        <w:t xml:space="preserve">47 C.F.R. </w:t>
      </w:r>
      <w:r w:rsidRPr="00EC2AC3">
        <w:rPr>
          <w:szCs w:val="22"/>
        </w:rPr>
        <w:t>§ 1.429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1"/>
      </w:r>
      <w:r>
        <w:rPr>
          <w:szCs w:val="22"/>
        </w:rPr>
        <w:t xml:space="preserve">  </w:t>
      </w:r>
      <w:r w:rsidRPr="00737E38">
        <w:rPr>
          <w:szCs w:val="22"/>
        </w:rPr>
        <w:t xml:space="preserve">Accordingly, the due dates for oppositions and replies as set forth in </w:t>
      </w:r>
      <w:r w:rsidR="00C2694C" w:rsidRPr="00737E38">
        <w:rPr>
          <w:szCs w:val="22"/>
        </w:rPr>
        <w:t xml:space="preserve">§ </w:t>
      </w:r>
      <w:r w:rsidRPr="00737E38">
        <w:rPr>
          <w:szCs w:val="22"/>
        </w:rPr>
        <w:t>1.429(f)</w:t>
      </w:r>
      <w:r w:rsidR="007F0CF6" w:rsidRPr="00737E38">
        <w:rPr>
          <w:szCs w:val="22"/>
        </w:rPr>
        <w:t>-</w:t>
      </w:r>
      <w:r w:rsidRPr="00737E38">
        <w:rPr>
          <w:szCs w:val="22"/>
        </w:rPr>
        <w:t>(g) shall apply.</w:t>
      </w:r>
      <w:r w:rsidR="00BE6F6F" w:rsidRPr="00737E38">
        <w:rPr>
          <w:szCs w:val="22"/>
        </w:rPr>
        <w:t xml:space="preserve">  </w:t>
      </w:r>
      <w:r w:rsidRPr="00737E38">
        <w:rPr>
          <w:szCs w:val="22"/>
        </w:rPr>
        <w:t xml:space="preserve">Oppositions must be filed within 15 days of the date of publication of this Public Notice in the Federal Register.  47 C.F.R. § 1.4(b)(1).  Replies to an opposition must be filed within </w:t>
      </w:r>
      <w:r w:rsidR="00737E38">
        <w:rPr>
          <w:szCs w:val="22"/>
        </w:rPr>
        <w:t>1</w:t>
      </w:r>
      <w:r w:rsidRPr="00737E38">
        <w:rPr>
          <w:szCs w:val="22"/>
        </w:rPr>
        <w:t>0 days after the time for filing oppositions has expired.</w:t>
      </w:r>
      <w:r>
        <w:rPr>
          <w:szCs w:val="22"/>
        </w:rPr>
        <w:t xml:space="preserve">  </w:t>
      </w:r>
    </w:p>
    <w:p w:rsidR="006C4880" w:rsidRDefault="006C4880" w:rsidP="00892C30">
      <w:pPr>
        <w:rPr>
          <w:szCs w:val="22"/>
        </w:rPr>
      </w:pPr>
    </w:p>
    <w:p w:rsidR="00EC2AC3" w:rsidRPr="00EC2AC3" w:rsidRDefault="006C4880" w:rsidP="006C4880">
      <w:pPr>
        <w:rPr>
          <w:szCs w:val="22"/>
        </w:rPr>
      </w:pPr>
      <w:r>
        <w:rPr>
          <w:szCs w:val="22"/>
        </w:rPr>
        <w:t xml:space="preserve">This pleading cycle shall also apply to the petition </w:t>
      </w:r>
      <w:r w:rsidR="00C2694C">
        <w:rPr>
          <w:szCs w:val="22"/>
        </w:rPr>
        <w:t xml:space="preserve">for reconsideration </w:t>
      </w:r>
      <w:r>
        <w:rPr>
          <w:szCs w:val="22"/>
        </w:rPr>
        <w:t xml:space="preserve">that </w:t>
      </w:r>
      <w:r w:rsidR="00C2694C">
        <w:rPr>
          <w:szCs w:val="22"/>
        </w:rPr>
        <w:t>in the alternative, seeks a declaratory ruling</w:t>
      </w:r>
      <w:r>
        <w:rPr>
          <w:szCs w:val="22"/>
        </w:rPr>
        <w:t xml:space="preserve">, </w:t>
      </w:r>
      <w:r w:rsidR="00C9687A">
        <w:rPr>
          <w:szCs w:val="22"/>
        </w:rPr>
        <w:t>in lieu of</w:t>
      </w:r>
      <w:r>
        <w:rPr>
          <w:szCs w:val="22"/>
        </w:rPr>
        <w:t xml:space="preserve"> the pleading cycle</w:t>
      </w:r>
      <w:r w:rsidR="00C2694C">
        <w:rPr>
          <w:szCs w:val="22"/>
        </w:rPr>
        <w:t xml:space="preserve"> for petitions for declaratory ruling specified in </w:t>
      </w:r>
      <w:r w:rsidR="00C2694C" w:rsidRPr="001F1C25">
        <w:rPr>
          <w:szCs w:val="22"/>
        </w:rPr>
        <w:t xml:space="preserve">47 C.F.R. § </w:t>
      </w:r>
      <w:r w:rsidR="00C2694C">
        <w:rPr>
          <w:szCs w:val="22"/>
        </w:rPr>
        <w:t>1.2(b).</w:t>
      </w:r>
      <w:r>
        <w:rPr>
          <w:szCs w:val="22"/>
        </w:rPr>
        <w:t xml:space="preserve"> </w:t>
      </w:r>
    </w:p>
    <w:p w:rsidR="006C4880" w:rsidRDefault="006C4880" w:rsidP="00892C30">
      <w:pPr>
        <w:rPr>
          <w:szCs w:val="22"/>
        </w:rPr>
      </w:pPr>
    </w:p>
    <w:p w:rsidR="00892C30" w:rsidRPr="001F1C25" w:rsidRDefault="00892C30" w:rsidP="00892C30">
      <w:pPr>
        <w:rPr>
          <w:szCs w:val="22"/>
        </w:rPr>
      </w:pPr>
      <w:r w:rsidRPr="001F1C25">
        <w:rPr>
          <w:szCs w:val="22"/>
        </w:rPr>
        <w:t>---------------------------------------------------------------------------------------------------------------------</w:t>
      </w:r>
      <w:r w:rsidR="00737E38">
        <w:rPr>
          <w:szCs w:val="22"/>
        </w:rPr>
        <w:t>----------</w:t>
      </w:r>
    </w:p>
    <w:p w:rsidR="00892C30" w:rsidRPr="001F1C25" w:rsidRDefault="00892C30" w:rsidP="00892C30">
      <w:pPr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530440" w:rsidRPr="001F1C25" w:rsidTr="0037287C">
        <w:trPr>
          <w:cantSplit/>
        </w:trPr>
        <w:tc>
          <w:tcPr>
            <w:tcW w:w="1458" w:type="dxa"/>
            <w:shd w:val="clear" w:color="auto" w:fill="auto"/>
          </w:tcPr>
          <w:p w:rsidR="00530440" w:rsidRPr="001F1C25" w:rsidRDefault="00530440" w:rsidP="00892C30">
            <w:pPr>
              <w:rPr>
                <w:b/>
                <w:szCs w:val="22"/>
              </w:rPr>
            </w:pPr>
            <w:r w:rsidRPr="001F1C25">
              <w:rPr>
                <w:b/>
                <w:szCs w:val="22"/>
              </w:rPr>
              <w:t>Subject:</w:t>
            </w:r>
          </w:p>
        </w:tc>
        <w:tc>
          <w:tcPr>
            <w:tcW w:w="8118" w:type="dxa"/>
            <w:shd w:val="clear" w:color="auto" w:fill="auto"/>
          </w:tcPr>
          <w:p w:rsidR="00530440" w:rsidRPr="001F1C25" w:rsidRDefault="00C13F69" w:rsidP="00217BBA">
            <w:pPr>
              <w:numPr>
                <w:ilvl w:val="0"/>
                <w:numId w:val="15"/>
              </w:numPr>
              <w:rPr>
                <w:szCs w:val="22"/>
              </w:rPr>
            </w:pPr>
            <w:r w:rsidRPr="001F1C25">
              <w:rPr>
                <w:szCs w:val="22"/>
              </w:rPr>
              <w:t xml:space="preserve">Application Procedures for </w:t>
            </w:r>
            <w:r w:rsidR="00530440" w:rsidRPr="001F1C25">
              <w:rPr>
                <w:szCs w:val="22"/>
              </w:rPr>
              <w:t xml:space="preserve">Broadcast </w:t>
            </w:r>
            <w:r w:rsidRPr="001F1C25">
              <w:rPr>
                <w:szCs w:val="22"/>
              </w:rPr>
              <w:t xml:space="preserve">Incentive </w:t>
            </w:r>
            <w:r w:rsidR="00530440" w:rsidRPr="001F1C25">
              <w:rPr>
                <w:szCs w:val="22"/>
              </w:rPr>
              <w:t xml:space="preserve">Auction Scheduled to Begin </w:t>
            </w:r>
            <w:r w:rsidRPr="001F1C25">
              <w:rPr>
                <w:szCs w:val="22"/>
              </w:rPr>
              <w:t xml:space="preserve">on </w:t>
            </w:r>
            <w:r w:rsidR="00530440" w:rsidRPr="001F1C25">
              <w:rPr>
                <w:szCs w:val="22"/>
              </w:rPr>
              <w:t xml:space="preserve">March 29, 2016; </w:t>
            </w:r>
            <w:r w:rsidRPr="001F1C25">
              <w:rPr>
                <w:szCs w:val="22"/>
              </w:rPr>
              <w:t>Technical Formulas for Competitive Bidding</w:t>
            </w:r>
            <w:r w:rsidR="00530440" w:rsidRPr="001F1C25">
              <w:rPr>
                <w:szCs w:val="22"/>
              </w:rPr>
              <w:t xml:space="preserve">, AU Docket No. 14-252, GN Docket No. 12-268, WT Docket No. 12-269, Public Notice, </w:t>
            </w:r>
            <w:r w:rsidR="00737E38">
              <w:rPr>
                <w:szCs w:val="22"/>
              </w:rPr>
              <w:t>DA</w:t>
            </w:r>
            <w:r w:rsidR="00530440" w:rsidRPr="001F1C25">
              <w:rPr>
                <w:szCs w:val="22"/>
              </w:rPr>
              <w:t xml:space="preserve"> 15-</w:t>
            </w:r>
            <w:r w:rsidR="00114DBE" w:rsidRPr="001F1C25">
              <w:rPr>
                <w:szCs w:val="22"/>
              </w:rPr>
              <w:t>1183</w:t>
            </w:r>
            <w:r w:rsidR="001C23B6" w:rsidRPr="001F1C25">
              <w:rPr>
                <w:szCs w:val="22"/>
              </w:rPr>
              <w:t xml:space="preserve"> (</w:t>
            </w:r>
            <w:r w:rsidR="001C23B6" w:rsidRPr="001F1C25">
              <w:rPr>
                <w:i/>
                <w:szCs w:val="22"/>
              </w:rPr>
              <w:t>Application Procedures PN</w:t>
            </w:r>
            <w:r w:rsidR="001C23B6" w:rsidRPr="001F1C25">
              <w:rPr>
                <w:szCs w:val="22"/>
              </w:rPr>
              <w:t>)</w:t>
            </w:r>
          </w:p>
          <w:p w:rsidR="00530440" w:rsidRPr="001F1C25" w:rsidRDefault="00530440" w:rsidP="00892C30">
            <w:pPr>
              <w:rPr>
                <w:b/>
                <w:szCs w:val="22"/>
              </w:rPr>
            </w:pPr>
          </w:p>
          <w:p w:rsidR="00530440" w:rsidRPr="001F1C25" w:rsidRDefault="00530440" w:rsidP="00892C30">
            <w:pPr>
              <w:rPr>
                <w:b/>
                <w:szCs w:val="22"/>
              </w:rPr>
            </w:pPr>
          </w:p>
        </w:tc>
      </w:tr>
      <w:tr w:rsidR="00530440" w:rsidRPr="001F1C25" w:rsidTr="0037287C">
        <w:trPr>
          <w:cantSplit/>
        </w:trPr>
        <w:tc>
          <w:tcPr>
            <w:tcW w:w="1458" w:type="dxa"/>
            <w:shd w:val="clear" w:color="auto" w:fill="auto"/>
          </w:tcPr>
          <w:p w:rsidR="00530440" w:rsidRPr="001F1C25" w:rsidRDefault="00530440" w:rsidP="00892C30">
            <w:pPr>
              <w:rPr>
                <w:b/>
                <w:szCs w:val="22"/>
              </w:rPr>
            </w:pPr>
            <w:r w:rsidRPr="001F1C25">
              <w:rPr>
                <w:b/>
                <w:szCs w:val="22"/>
              </w:rPr>
              <w:t>Filed by:</w:t>
            </w:r>
          </w:p>
        </w:tc>
        <w:tc>
          <w:tcPr>
            <w:tcW w:w="8118" w:type="dxa"/>
            <w:shd w:val="clear" w:color="auto" w:fill="auto"/>
          </w:tcPr>
          <w:p w:rsidR="00530440" w:rsidRPr="001F1C25" w:rsidRDefault="00C13F69" w:rsidP="00C13F69">
            <w:pPr>
              <w:numPr>
                <w:ilvl w:val="0"/>
                <w:numId w:val="14"/>
              </w:numPr>
              <w:rPr>
                <w:b/>
                <w:szCs w:val="22"/>
              </w:rPr>
            </w:pPr>
            <w:r w:rsidRPr="001F1C25">
              <w:rPr>
                <w:szCs w:val="22"/>
              </w:rPr>
              <w:t>Kathleen O’Brien Ham</w:t>
            </w:r>
            <w:r w:rsidR="009268E4" w:rsidRPr="001F1C25">
              <w:rPr>
                <w:szCs w:val="22"/>
              </w:rPr>
              <w:t xml:space="preserve">, on behalf of </w:t>
            </w:r>
            <w:r w:rsidRPr="001F1C25">
              <w:rPr>
                <w:szCs w:val="22"/>
              </w:rPr>
              <w:t>T-Mobile USA, Inc.</w:t>
            </w:r>
            <w:r w:rsidR="009268E4" w:rsidRPr="001F1C25">
              <w:rPr>
                <w:szCs w:val="22"/>
              </w:rPr>
              <w:t xml:space="preserve"> (filed </w:t>
            </w:r>
            <w:r w:rsidRPr="001F1C25">
              <w:rPr>
                <w:szCs w:val="22"/>
              </w:rPr>
              <w:t>Nov</w:t>
            </w:r>
            <w:r w:rsidR="009268E4" w:rsidRPr="001F1C25">
              <w:rPr>
                <w:szCs w:val="22"/>
              </w:rPr>
              <w:t xml:space="preserve">ember </w:t>
            </w:r>
            <w:r w:rsidRPr="001F1C25">
              <w:rPr>
                <w:szCs w:val="22"/>
              </w:rPr>
              <w:t>3</w:t>
            </w:r>
            <w:r w:rsidR="009268E4" w:rsidRPr="001F1C25">
              <w:rPr>
                <w:szCs w:val="22"/>
              </w:rPr>
              <w:t>0, 2015)</w:t>
            </w:r>
          </w:p>
          <w:p w:rsidR="009268E4" w:rsidRPr="001F1C25" w:rsidRDefault="009268E4" w:rsidP="009268E4">
            <w:pPr>
              <w:ind w:left="720"/>
              <w:rPr>
                <w:b/>
                <w:szCs w:val="22"/>
              </w:rPr>
            </w:pPr>
          </w:p>
        </w:tc>
      </w:tr>
      <w:tr w:rsidR="00530440" w:rsidRPr="001F1C25" w:rsidTr="0037287C">
        <w:trPr>
          <w:cantSplit/>
        </w:trPr>
        <w:tc>
          <w:tcPr>
            <w:tcW w:w="1458" w:type="dxa"/>
            <w:shd w:val="clear" w:color="auto" w:fill="auto"/>
          </w:tcPr>
          <w:p w:rsidR="00530440" w:rsidRPr="001F1C25" w:rsidRDefault="00530440" w:rsidP="00892C30">
            <w:pPr>
              <w:rPr>
                <w:b/>
                <w:szCs w:val="22"/>
              </w:rPr>
            </w:pPr>
          </w:p>
        </w:tc>
        <w:tc>
          <w:tcPr>
            <w:tcW w:w="8118" w:type="dxa"/>
            <w:shd w:val="clear" w:color="auto" w:fill="auto"/>
          </w:tcPr>
          <w:p w:rsidR="00530440" w:rsidRPr="001F1C25" w:rsidRDefault="00C13F69" w:rsidP="00C13F69">
            <w:pPr>
              <w:numPr>
                <w:ilvl w:val="0"/>
                <w:numId w:val="13"/>
              </w:numPr>
              <w:rPr>
                <w:szCs w:val="22"/>
              </w:rPr>
            </w:pPr>
            <w:r w:rsidRPr="001F1C25">
              <w:rPr>
                <w:szCs w:val="22"/>
              </w:rPr>
              <w:t>Caressa D. Bennet</w:t>
            </w:r>
            <w:r w:rsidR="00530440" w:rsidRPr="001F1C25">
              <w:rPr>
                <w:szCs w:val="22"/>
              </w:rPr>
              <w:t xml:space="preserve">, on behalf of </w:t>
            </w:r>
            <w:r w:rsidRPr="001F1C25">
              <w:rPr>
                <w:szCs w:val="22"/>
              </w:rPr>
              <w:t xml:space="preserve">PBP Group, LLC, Bulloch Cellular, Inc., Pineland Cellular, Inc., and Planters Rural Cellular, Inc. </w:t>
            </w:r>
            <w:r w:rsidR="00530440" w:rsidRPr="001F1C25">
              <w:rPr>
                <w:szCs w:val="22"/>
              </w:rPr>
              <w:t xml:space="preserve">(filed </w:t>
            </w:r>
            <w:r w:rsidRPr="001F1C25">
              <w:rPr>
                <w:szCs w:val="22"/>
              </w:rPr>
              <w:t>November 30,</w:t>
            </w:r>
            <w:r w:rsidR="00530440" w:rsidRPr="001F1C25">
              <w:rPr>
                <w:szCs w:val="22"/>
              </w:rPr>
              <w:t xml:space="preserve"> 2015)</w:t>
            </w:r>
          </w:p>
          <w:p w:rsidR="00B453B5" w:rsidRPr="001F1C25" w:rsidRDefault="00B453B5" w:rsidP="00B453B5">
            <w:pPr>
              <w:ind w:left="720"/>
              <w:rPr>
                <w:szCs w:val="22"/>
              </w:rPr>
            </w:pPr>
          </w:p>
        </w:tc>
      </w:tr>
      <w:tr w:rsidR="001F1C25" w:rsidRPr="001F1C25" w:rsidTr="0037287C">
        <w:trPr>
          <w:cantSplit/>
        </w:trPr>
        <w:tc>
          <w:tcPr>
            <w:tcW w:w="1458" w:type="dxa"/>
            <w:shd w:val="clear" w:color="auto" w:fill="auto"/>
          </w:tcPr>
          <w:p w:rsidR="001F1C25" w:rsidRPr="001F1C25" w:rsidRDefault="001F1C25" w:rsidP="00892C30">
            <w:pPr>
              <w:rPr>
                <w:b/>
                <w:szCs w:val="22"/>
              </w:rPr>
            </w:pPr>
          </w:p>
        </w:tc>
        <w:tc>
          <w:tcPr>
            <w:tcW w:w="8118" w:type="dxa"/>
            <w:shd w:val="clear" w:color="auto" w:fill="auto"/>
          </w:tcPr>
          <w:p w:rsidR="001F1C25" w:rsidRPr="001F1C25" w:rsidRDefault="001F1C25" w:rsidP="001F1C25">
            <w:pPr>
              <w:numPr>
                <w:ilvl w:val="0"/>
                <w:numId w:val="13"/>
              </w:numPr>
              <w:rPr>
                <w:szCs w:val="22"/>
              </w:rPr>
            </w:pPr>
            <w:r w:rsidRPr="001F1C25">
              <w:rPr>
                <w:szCs w:val="22"/>
              </w:rPr>
              <w:t>A. Wray Fitch, III, on behalf of Walker Broadcasting Company, Inc. (filed November 30, 2015)</w:t>
            </w:r>
          </w:p>
          <w:p w:rsidR="001F1C25" w:rsidRPr="001F1C25" w:rsidRDefault="001F1C25" w:rsidP="001F1C25">
            <w:pPr>
              <w:ind w:left="720"/>
              <w:rPr>
                <w:szCs w:val="22"/>
              </w:rPr>
            </w:pPr>
          </w:p>
        </w:tc>
      </w:tr>
    </w:tbl>
    <w:p w:rsidR="00892C30" w:rsidRPr="001F1C25" w:rsidRDefault="00892C30" w:rsidP="00401E38">
      <w:pPr>
        <w:rPr>
          <w:b/>
          <w:szCs w:val="22"/>
        </w:rPr>
      </w:pPr>
      <w:r w:rsidRPr="001F1C25">
        <w:rPr>
          <w:szCs w:val="22"/>
        </w:rPr>
        <w:tab/>
      </w:r>
    </w:p>
    <w:p w:rsidR="00892C30" w:rsidRPr="001F1C25" w:rsidRDefault="00892C30" w:rsidP="001F1C25">
      <w:pPr>
        <w:spacing w:before="120" w:after="240"/>
        <w:jc w:val="center"/>
        <w:rPr>
          <w:szCs w:val="22"/>
        </w:rPr>
      </w:pPr>
      <w:r w:rsidRPr="001F1C25">
        <w:rPr>
          <w:b/>
          <w:szCs w:val="22"/>
        </w:rPr>
        <w:t>--FCC--</w:t>
      </w:r>
    </w:p>
    <w:sectPr w:rsidR="00892C30" w:rsidRPr="001F1C25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B3" w:rsidRDefault="00DF05B3">
      <w:r>
        <w:separator/>
      </w:r>
    </w:p>
  </w:endnote>
  <w:endnote w:type="continuationSeparator" w:id="0">
    <w:p w:rsidR="00DF05B3" w:rsidRDefault="00DF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25" w:rsidRDefault="00DC7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8C" w:rsidRDefault="00863D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0103">
      <w:rPr>
        <w:noProof/>
      </w:rPr>
      <w:t>2</w:t>
    </w:r>
    <w:r>
      <w:rPr>
        <w:noProof/>
      </w:rPr>
      <w:fldChar w:fldCharType="end"/>
    </w:r>
  </w:p>
  <w:p w:rsidR="00863D8C" w:rsidRDefault="00863D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25" w:rsidRDefault="00DC7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B3" w:rsidRDefault="00DF05B3">
      <w:r>
        <w:separator/>
      </w:r>
    </w:p>
  </w:footnote>
  <w:footnote w:type="continuationSeparator" w:id="0">
    <w:p w:rsidR="00DF05B3" w:rsidRDefault="00DF05B3">
      <w:r>
        <w:continuationSeparator/>
      </w:r>
    </w:p>
  </w:footnote>
  <w:footnote w:id="1">
    <w:p w:rsidR="006C4880" w:rsidRPr="006C4880" w:rsidRDefault="006C4880">
      <w:pPr>
        <w:pStyle w:val="FootnoteText"/>
        <w:rPr>
          <w:sz w:val="20"/>
        </w:rPr>
      </w:pPr>
      <w:r w:rsidRPr="006C4880">
        <w:rPr>
          <w:rStyle w:val="FootnoteReference"/>
          <w:sz w:val="20"/>
        </w:rPr>
        <w:footnoteRef/>
      </w:r>
      <w:r w:rsidR="007E6DF7">
        <w:rPr>
          <w:sz w:val="20"/>
        </w:rPr>
        <w:t xml:space="preserve"> T-Mobile USA, Inc. labeled its</w:t>
      </w:r>
      <w:r w:rsidRPr="006C4880">
        <w:rPr>
          <w:sz w:val="20"/>
        </w:rPr>
        <w:t xml:space="preserve"> filing </w:t>
      </w:r>
      <w:r w:rsidR="007E6DF7">
        <w:rPr>
          <w:sz w:val="20"/>
        </w:rPr>
        <w:t xml:space="preserve">as </w:t>
      </w:r>
      <w:r w:rsidRPr="006C4880">
        <w:rPr>
          <w:sz w:val="20"/>
        </w:rPr>
        <w:t xml:space="preserve">a “Petition for Reconsideration or Request for Declaratory Ruling” and filed </w:t>
      </w:r>
      <w:r w:rsidR="007E6DF7">
        <w:rPr>
          <w:sz w:val="20"/>
        </w:rPr>
        <w:t xml:space="preserve">it </w:t>
      </w:r>
      <w:r w:rsidRPr="006C4880">
        <w:rPr>
          <w:sz w:val="20"/>
        </w:rPr>
        <w:t>under 47 C.F.R. § 1.106 (petitions for reconsideration in non-rulemaking proceedings) and § 1.2 (declaratory rulings).</w:t>
      </w:r>
      <w:r w:rsidR="00BE6F6F">
        <w:rPr>
          <w:sz w:val="20"/>
        </w:rPr>
        <w:t xml:space="preserve">  The remaining petitions </w:t>
      </w:r>
      <w:r w:rsidR="007E6DF7">
        <w:rPr>
          <w:sz w:val="20"/>
        </w:rPr>
        <w:t xml:space="preserve">for reconsideration </w:t>
      </w:r>
      <w:r w:rsidR="00BE6F6F">
        <w:rPr>
          <w:sz w:val="20"/>
        </w:rPr>
        <w:t xml:space="preserve">were filed under </w:t>
      </w:r>
      <w:r w:rsidR="00BE6F6F" w:rsidRPr="00EC2AC3">
        <w:rPr>
          <w:szCs w:val="22"/>
        </w:rPr>
        <w:t>§</w:t>
      </w:r>
      <w:r w:rsidR="00BE6F6F">
        <w:rPr>
          <w:szCs w:val="22"/>
        </w:rPr>
        <w:t xml:space="preserve"> </w:t>
      </w:r>
      <w:r w:rsidR="00BE6F6F">
        <w:rPr>
          <w:sz w:val="20"/>
        </w:rPr>
        <w:t>1.429.</w:t>
      </w:r>
      <w:r w:rsidR="007C4EAC">
        <w:rPr>
          <w:sz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25" w:rsidRDefault="00DC7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25" w:rsidRDefault="00DC7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190103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9264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190103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6192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8240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24A29D5"/>
    <w:multiLevelType w:val="hybridMultilevel"/>
    <w:tmpl w:val="C2D2AB5E"/>
    <w:lvl w:ilvl="0" w:tplc="1CFC76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375085A"/>
    <w:multiLevelType w:val="hybridMultilevel"/>
    <w:tmpl w:val="39225942"/>
    <w:lvl w:ilvl="0" w:tplc="E7C612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4E470FD"/>
    <w:multiLevelType w:val="hybridMultilevel"/>
    <w:tmpl w:val="161218C6"/>
    <w:lvl w:ilvl="0" w:tplc="553C4F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US" w:vendorID="8" w:dllVersion="513" w:checkStyle="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A36"/>
    <w:rsid w:val="0000208F"/>
    <w:rsid w:val="00012EAE"/>
    <w:rsid w:val="000265AE"/>
    <w:rsid w:val="000414BE"/>
    <w:rsid w:val="00076EF0"/>
    <w:rsid w:val="000B0E23"/>
    <w:rsid w:val="000B1774"/>
    <w:rsid w:val="00114DBE"/>
    <w:rsid w:val="00190103"/>
    <w:rsid w:val="001C23B6"/>
    <w:rsid w:val="001F1C25"/>
    <w:rsid w:val="00217BBA"/>
    <w:rsid w:val="002D3230"/>
    <w:rsid w:val="0032625C"/>
    <w:rsid w:val="0037287C"/>
    <w:rsid w:val="003C0A43"/>
    <w:rsid w:val="003F636B"/>
    <w:rsid w:val="00401E38"/>
    <w:rsid w:val="00423B74"/>
    <w:rsid w:val="00444348"/>
    <w:rsid w:val="004E02C9"/>
    <w:rsid w:val="004E0899"/>
    <w:rsid w:val="00530440"/>
    <w:rsid w:val="00602577"/>
    <w:rsid w:val="006B19B4"/>
    <w:rsid w:val="006C4880"/>
    <w:rsid w:val="006E1DEE"/>
    <w:rsid w:val="00737E38"/>
    <w:rsid w:val="00764FF4"/>
    <w:rsid w:val="007C4EAC"/>
    <w:rsid w:val="007E6DF7"/>
    <w:rsid w:val="007F0CF6"/>
    <w:rsid w:val="00863D8C"/>
    <w:rsid w:val="00892C30"/>
    <w:rsid w:val="009268E4"/>
    <w:rsid w:val="009611E4"/>
    <w:rsid w:val="009A0C5B"/>
    <w:rsid w:val="009C27E7"/>
    <w:rsid w:val="009C6FCB"/>
    <w:rsid w:val="00AF4D87"/>
    <w:rsid w:val="00B17983"/>
    <w:rsid w:val="00B453B5"/>
    <w:rsid w:val="00BA37CC"/>
    <w:rsid w:val="00BE6F6F"/>
    <w:rsid w:val="00C13F69"/>
    <w:rsid w:val="00C2694C"/>
    <w:rsid w:val="00C4581B"/>
    <w:rsid w:val="00C6483D"/>
    <w:rsid w:val="00C9687A"/>
    <w:rsid w:val="00D17DC0"/>
    <w:rsid w:val="00D45E41"/>
    <w:rsid w:val="00D60EFF"/>
    <w:rsid w:val="00D754D0"/>
    <w:rsid w:val="00DC7E25"/>
    <w:rsid w:val="00DE1438"/>
    <w:rsid w:val="00DF05B3"/>
    <w:rsid w:val="00EC2AC3"/>
    <w:rsid w:val="00F64EBD"/>
    <w:rsid w:val="00FD0C80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5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63D8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296</Words>
  <Characters>1713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2008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2015-12-03T20:58:00Z</dcterms:created>
  <dcterms:modified xsi:type="dcterms:W3CDTF">2015-12-03T20:58:00Z</dcterms:modified>
  <cp:category> </cp:category>
  <cp:contentStatus> </cp:contentStatus>
</cp:coreProperties>
</file>