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3193153" w14:textId="77777777" w:rsidTr="53E6E24B">
        <w:trPr>
          <w:trHeight w:val="68"/>
        </w:trPr>
        <w:tc>
          <w:tcPr>
            <w:tcW w:w="8856" w:type="dxa"/>
          </w:tcPr>
          <w:p w14:paraId="16CAB9C2" w14:textId="77777777" w:rsidR="00FF232D" w:rsidRPr="00D27308" w:rsidRDefault="00C81D88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27308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204F86A1" wp14:editId="25EC9D0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51313" w14:textId="7B844245" w:rsidR="00426518" w:rsidRPr="00D27308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14:paraId="46F9CAAB" w14:textId="77777777" w:rsidR="007A44F8" w:rsidRPr="00D2730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D2730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7E0EB3E" w14:textId="36DF7717" w:rsidR="007A44F8" w:rsidRPr="00D27308" w:rsidRDefault="00D2730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F499C" w:rsidRPr="00D27308">
              <w:rPr>
                <w:bCs/>
                <w:sz w:val="22"/>
                <w:szCs w:val="22"/>
              </w:rPr>
              <w:t>, 202-418-</w:t>
            </w:r>
            <w:r>
              <w:rPr>
                <w:bCs/>
                <w:sz w:val="22"/>
                <w:szCs w:val="22"/>
              </w:rPr>
              <w:t>0506</w:t>
            </w:r>
          </w:p>
          <w:p w14:paraId="0AADA3A9" w14:textId="1428E463" w:rsidR="00FF232D" w:rsidRPr="00D27308" w:rsidRDefault="00820445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D27308" w:rsidRPr="0013376E">
                <w:rPr>
                  <w:rStyle w:val="Hyperlink"/>
                </w:rPr>
                <w:t>neil.grace</w:t>
              </w:r>
              <w:r w:rsidR="00D27308" w:rsidRPr="0013376E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</w:p>
          <w:p w14:paraId="426C40DE" w14:textId="77777777" w:rsidR="007A44F8" w:rsidRPr="00D27308" w:rsidRDefault="007A44F8" w:rsidP="00BB4E29">
            <w:pPr>
              <w:rPr>
                <w:bCs/>
                <w:sz w:val="22"/>
                <w:szCs w:val="22"/>
              </w:rPr>
            </w:pPr>
          </w:p>
          <w:p w14:paraId="4E016083" w14:textId="77777777" w:rsidR="007A44F8" w:rsidRPr="00D27308" w:rsidRDefault="007A44F8" w:rsidP="00BB4E29">
            <w:pPr>
              <w:rPr>
                <w:b/>
                <w:sz w:val="22"/>
                <w:szCs w:val="22"/>
              </w:rPr>
            </w:pPr>
            <w:r w:rsidRPr="00D27308">
              <w:rPr>
                <w:b/>
                <w:sz w:val="22"/>
                <w:szCs w:val="22"/>
              </w:rPr>
              <w:t>For Immediate Release</w:t>
            </w:r>
          </w:p>
          <w:p w14:paraId="25E04F98" w14:textId="77777777" w:rsidR="007A44F8" w:rsidRPr="00D27308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875101" w14:textId="559E45DE" w:rsidR="00D27308" w:rsidRDefault="00D27308" w:rsidP="00D27308">
            <w:pPr>
              <w:pStyle w:val="Header"/>
              <w:tabs>
                <w:tab w:val="clear" w:pos="9360"/>
                <w:tab w:val="right" w:pos="9346"/>
              </w:tabs>
              <w:jc w:val="center"/>
              <w:rPr>
                <w:b/>
              </w:rPr>
            </w:pPr>
            <w:r w:rsidRPr="00D051D6">
              <w:rPr>
                <w:b/>
              </w:rPr>
              <w:t xml:space="preserve">FCC </w:t>
            </w:r>
            <w:r>
              <w:rPr>
                <w:b/>
              </w:rPr>
              <w:t xml:space="preserve">FURTHER </w:t>
            </w:r>
            <w:r w:rsidRPr="00D051D6">
              <w:rPr>
                <w:b/>
              </w:rPr>
              <w:t>STREAMLINES SATELLITE</w:t>
            </w:r>
            <w:r>
              <w:rPr>
                <w:b/>
              </w:rPr>
              <w:t xml:space="preserve"> LICENSING</w:t>
            </w:r>
            <w:r w:rsidRPr="00D051D6">
              <w:rPr>
                <w:b/>
              </w:rPr>
              <w:t xml:space="preserve"> RULES</w:t>
            </w:r>
          </w:p>
          <w:p w14:paraId="14DC16A0" w14:textId="77777777" w:rsidR="00F61155" w:rsidRPr="00D27308" w:rsidRDefault="00F228ED" w:rsidP="00D27308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D27308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D27308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D27308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018E3C0D" w14:textId="7B70CBB4" w:rsidR="00D27308" w:rsidRPr="00D27308" w:rsidRDefault="00FF1C0B" w:rsidP="00D27308">
            <w:p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WASHINGTON, </w:t>
            </w:r>
            <w:r w:rsidR="00D27308" w:rsidRPr="00D27308">
              <w:rPr>
                <w:sz w:val="22"/>
                <w:szCs w:val="22"/>
              </w:rPr>
              <w:t>December 17,</w:t>
            </w:r>
            <w:r w:rsidR="007F499C" w:rsidRPr="00D27308">
              <w:rPr>
                <w:sz w:val="22"/>
                <w:szCs w:val="22"/>
              </w:rPr>
              <w:t xml:space="preserve"> 2015</w:t>
            </w:r>
            <w:r w:rsidR="002B1013" w:rsidRPr="00D27308">
              <w:rPr>
                <w:sz w:val="22"/>
                <w:szCs w:val="22"/>
              </w:rPr>
              <w:t xml:space="preserve"> – </w:t>
            </w:r>
            <w:r w:rsidR="00D27308" w:rsidRPr="00D27308">
              <w:rPr>
                <w:sz w:val="22"/>
                <w:szCs w:val="22"/>
              </w:rPr>
              <w:t xml:space="preserve">The Federal Communications Commission adopted rules to comprehensively simplify and streamline the regulatory approval process for satellite licenses. </w:t>
            </w:r>
            <w:r w:rsidR="00687ACE">
              <w:rPr>
                <w:sz w:val="22"/>
                <w:szCs w:val="22"/>
              </w:rPr>
              <w:t>These rules are also known as the Part 25 rules.</w:t>
            </w:r>
            <w:r w:rsidR="00D27308" w:rsidRPr="00D27308">
              <w:rPr>
                <w:sz w:val="22"/>
                <w:szCs w:val="22"/>
              </w:rPr>
              <w:t xml:space="preserve"> This rulemaking is one of the key reforms under the Commission’s process reform initiative.  </w:t>
            </w:r>
          </w:p>
          <w:p w14:paraId="48A26BE7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</w:p>
          <w:p w14:paraId="1A126B11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Today’s Report and Order increases satellite operational flexibility, eliminates unnecessary filing requirements, and updates our rules to better accommodate evolving technology.  The changes will significantly reduce regulatory burdens and costs.  </w:t>
            </w:r>
          </w:p>
          <w:p w14:paraId="4FA22A91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</w:p>
          <w:p w14:paraId="1B47C9C8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Specifically, the Commission’s Report and Order adopts changes that will: </w:t>
            </w:r>
          </w:p>
          <w:p w14:paraId="2C14AD9D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</w:p>
          <w:p w14:paraId="30551D1A" w14:textId="77777777" w:rsidR="00D27308" w:rsidRPr="00D27308" w:rsidRDefault="00D27308" w:rsidP="00D27308">
            <w:pPr>
              <w:pStyle w:val="ListParagraph"/>
              <w:numPr>
                <w:ilvl w:val="0"/>
                <w:numId w:val="4"/>
              </w:num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>Facilitate international coordination of proposed satellite networks by permitting submissions of advanced publication and coordination requests by the FCC to the International Telecommunication Union before a full license application is filed at the Commission;</w:t>
            </w:r>
          </w:p>
          <w:p w14:paraId="4C4A49B5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</w:p>
          <w:p w14:paraId="58FA87BC" w14:textId="77777777" w:rsidR="00D27308" w:rsidRPr="00D27308" w:rsidRDefault="00D27308" w:rsidP="00D273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>Eliminate interim satellite milestone implementation requirements;</w:t>
            </w:r>
          </w:p>
          <w:p w14:paraId="1E360F1D" w14:textId="77777777" w:rsidR="00D27308" w:rsidRPr="00D27308" w:rsidRDefault="00D27308" w:rsidP="00D27308">
            <w:pPr>
              <w:pStyle w:val="ListParagraph"/>
              <w:rPr>
                <w:sz w:val="22"/>
                <w:szCs w:val="22"/>
              </w:rPr>
            </w:pPr>
          </w:p>
          <w:p w14:paraId="1AEEA0E2" w14:textId="7CC6047B" w:rsidR="00D27308" w:rsidRPr="00D27308" w:rsidRDefault="53E6E24B" w:rsidP="00D273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0940">
              <w:rPr>
                <w:sz w:val="22"/>
                <w:szCs w:val="22"/>
              </w:rPr>
              <w:t>Deter spectrum warehousing by creating a post-licensing bond requirement that increases in value over time, providing an incentive for licensees to surrender their authorizations early if business plans change;</w:t>
            </w:r>
          </w:p>
          <w:p w14:paraId="4F9EAD4E" w14:textId="77777777" w:rsidR="00D27308" w:rsidRPr="00D27308" w:rsidRDefault="00D27308" w:rsidP="00D27308">
            <w:pPr>
              <w:pStyle w:val="ListParagraph"/>
              <w:rPr>
                <w:sz w:val="22"/>
                <w:szCs w:val="22"/>
              </w:rPr>
            </w:pPr>
          </w:p>
          <w:p w14:paraId="156B73D0" w14:textId="77777777" w:rsidR="00D27308" w:rsidRPr="00D27308" w:rsidRDefault="00D27308" w:rsidP="00D273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Refine the “two-degree” orbital spacing requirements to better accommodate the use of small antennas, and </w:t>
            </w:r>
          </w:p>
          <w:p w14:paraId="5646AA4F" w14:textId="77777777" w:rsidR="00D27308" w:rsidRPr="00D27308" w:rsidRDefault="00D27308" w:rsidP="00D27308">
            <w:pPr>
              <w:ind w:right="432"/>
              <w:rPr>
                <w:sz w:val="22"/>
                <w:szCs w:val="22"/>
              </w:rPr>
            </w:pPr>
          </w:p>
          <w:p w14:paraId="700077EE" w14:textId="77777777" w:rsidR="00D27308" w:rsidRPr="00D27308" w:rsidRDefault="00D27308" w:rsidP="00D27308">
            <w:pPr>
              <w:numPr>
                <w:ilvl w:val="0"/>
                <w:numId w:val="3"/>
              </w:num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Expand options for simplified routine earth station licensing.  </w:t>
            </w:r>
          </w:p>
          <w:p w14:paraId="5D05E07E" w14:textId="77777777" w:rsidR="00D27308" w:rsidRPr="00D27308" w:rsidRDefault="00D27308" w:rsidP="00D27308">
            <w:pPr>
              <w:ind w:left="720" w:right="432"/>
              <w:rPr>
                <w:sz w:val="22"/>
                <w:szCs w:val="22"/>
              </w:rPr>
            </w:pPr>
          </w:p>
          <w:p w14:paraId="45822581" w14:textId="0D32FACC" w:rsidR="00D27308" w:rsidRPr="007F4A40" w:rsidRDefault="00D27308" w:rsidP="00D27308">
            <w:pPr>
              <w:ind w:right="432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 xml:space="preserve">The Report and Order also simplifies, eliminates, updates, or clarifies definitions and </w:t>
            </w:r>
            <w:r w:rsidRPr="007F4A40">
              <w:rPr>
                <w:sz w:val="22"/>
                <w:szCs w:val="22"/>
              </w:rPr>
              <w:t xml:space="preserve">technical terms throughout </w:t>
            </w:r>
            <w:r w:rsidR="00687ACE" w:rsidRPr="007F4A40">
              <w:rPr>
                <w:sz w:val="22"/>
                <w:szCs w:val="22"/>
              </w:rPr>
              <w:t xml:space="preserve">the </w:t>
            </w:r>
            <w:r w:rsidRPr="007F4A40">
              <w:rPr>
                <w:sz w:val="22"/>
                <w:szCs w:val="22"/>
              </w:rPr>
              <w:t>Part 25</w:t>
            </w:r>
            <w:r w:rsidR="00687ACE" w:rsidRPr="007F4A40">
              <w:rPr>
                <w:sz w:val="22"/>
                <w:szCs w:val="22"/>
              </w:rPr>
              <w:t xml:space="preserve"> rules</w:t>
            </w:r>
            <w:r w:rsidRPr="007F4A40">
              <w:rPr>
                <w:sz w:val="22"/>
                <w:szCs w:val="22"/>
              </w:rPr>
              <w:t>.</w:t>
            </w:r>
          </w:p>
          <w:p w14:paraId="5A25C435" w14:textId="3A484510" w:rsidR="0029309A" w:rsidRPr="007F4A40" w:rsidRDefault="0029309A" w:rsidP="00A5022F">
            <w:pPr>
              <w:rPr>
                <w:sz w:val="22"/>
                <w:szCs w:val="22"/>
              </w:rPr>
            </w:pPr>
          </w:p>
          <w:p w14:paraId="338AC579" w14:textId="77777777" w:rsidR="007F4A40" w:rsidRPr="007F4A40" w:rsidRDefault="007F4A40" w:rsidP="007F4A40">
            <w:pPr>
              <w:rPr>
                <w:sz w:val="22"/>
                <w:szCs w:val="22"/>
              </w:rPr>
            </w:pPr>
            <w:r w:rsidRPr="007F4A40">
              <w:rPr>
                <w:sz w:val="22"/>
                <w:szCs w:val="22"/>
              </w:rPr>
              <w:t xml:space="preserve">Action by the Commission December 17, 2015 by Second Report and Order (FCC 15-167).  Chairman Wheeler, Commissioners Clyburn, Rosenworcel, Pai, and O’Rielly approving and issuing separate statements.  </w:t>
            </w:r>
          </w:p>
          <w:p w14:paraId="12D879DC" w14:textId="77777777" w:rsidR="00AB6650" w:rsidRPr="00D27308" w:rsidRDefault="00AB6650" w:rsidP="00AB66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17980C" w14:textId="340E7CCB" w:rsidR="002E4182" w:rsidRPr="00D27308" w:rsidRDefault="00AB6650" w:rsidP="002E4182">
            <w:pPr>
              <w:autoSpaceDE w:val="0"/>
              <w:autoSpaceDN w:val="0"/>
              <w:rPr>
                <w:sz w:val="22"/>
                <w:szCs w:val="22"/>
              </w:rPr>
            </w:pPr>
            <w:r w:rsidRPr="00D27308">
              <w:rPr>
                <w:rFonts w:ascii="Calibri" w:hAnsi="Calibri" w:cs="Calibri"/>
                <w:sz w:val="22"/>
                <w:szCs w:val="22"/>
              </w:rPr>
              <w:t> </w:t>
            </w:r>
            <w:r w:rsidRPr="00D27308">
              <w:rPr>
                <w:sz w:val="22"/>
                <w:szCs w:val="22"/>
              </w:rPr>
              <w:t>(</w:t>
            </w:r>
            <w:r w:rsidR="00D27308" w:rsidRPr="00D27308">
              <w:rPr>
                <w:sz w:val="22"/>
                <w:szCs w:val="22"/>
              </w:rPr>
              <w:t>IB</w:t>
            </w:r>
            <w:r w:rsidRPr="00D27308">
              <w:rPr>
                <w:sz w:val="22"/>
                <w:szCs w:val="22"/>
              </w:rPr>
              <w:t xml:space="preserve"> Docket No. </w:t>
            </w:r>
            <w:r w:rsidR="00363B4A">
              <w:rPr>
                <w:sz w:val="22"/>
                <w:szCs w:val="22"/>
              </w:rPr>
              <w:t>12-267</w:t>
            </w:r>
            <w:r w:rsidRPr="00D27308">
              <w:rPr>
                <w:sz w:val="22"/>
                <w:szCs w:val="22"/>
              </w:rPr>
              <w:t>)</w:t>
            </w:r>
          </w:p>
          <w:p w14:paraId="2A33F2F8" w14:textId="2230D390" w:rsidR="004F0F1F" w:rsidRPr="00D27308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7308">
              <w:rPr>
                <w:sz w:val="22"/>
                <w:szCs w:val="22"/>
              </w:rPr>
              <w:t>###</w:t>
            </w:r>
          </w:p>
          <w:p w14:paraId="25FCE47E" w14:textId="77777777" w:rsidR="00E644FE" w:rsidRPr="00D27308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D27308">
              <w:rPr>
                <w:b/>
                <w:bCs/>
                <w:sz w:val="22"/>
                <w:szCs w:val="22"/>
              </w:rPr>
              <w:lastRenderedPageBreak/>
              <w:br/>
              <w:t>Off</w:t>
            </w:r>
            <w:r w:rsidR="00AD0D19" w:rsidRPr="00D27308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D27308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D27308">
              <w:rPr>
                <w:b/>
                <w:bCs/>
                <w:sz w:val="22"/>
                <w:szCs w:val="22"/>
              </w:rPr>
              <w:t>418-</w:t>
            </w:r>
            <w:r w:rsidRPr="00D27308">
              <w:rPr>
                <w:b/>
                <w:bCs/>
                <w:sz w:val="22"/>
                <w:szCs w:val="22"/>
              </w:rPr>
              <w:t>0500</w:t>
            </w:r>
          </w:p>
          <w:p w14:paraId="71D68BCA" w14:textId="77777777" w:rsidR="00E644FE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D27308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D27308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D27308">
              <w:rPr>
                <w:b/>
                <w:bCs/>
                <w:sz w:val="22"/>
                <w:szCs w:val="22"/>
              </w:rPr>
              <w:t>835-5322</w:t>
            </w:r>
          </w:p>
          <w:p w14:paraId="4EBDB24D" w14:textId="77777777" w:rsidR="00CC5E08" w:rsidRPr="00D27308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D27308">
              <w:rPr>
                <w:b/>
                <w:bCs/>
                <w:sz w:val="22"/>
                <w:szCs w:val="22"/>
              </w:rPr>
              <w:t>Twitter: @FCC</w:t>
            </w:r>
          </w:p>
          <w:p w14:paraId="5E6E1FCB" w14:textId="310611DF" w:rsidR="00CC5E08" w:rsidRPr="00D27308" w:rsidRDefault="00820445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22"/>
                <w:szCs w:val="22"/>
              </w:rPr>
            </w:pPr>
            <w:hyperlink r:id="rId10" w:history="1">
              <w:r w:rsidR="00EE0E90" w:rsidRPr="00D27308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41C69732" w14:textId="77777777" w:rsidR="0069420F" w:rsidRPr="00D27308" w:rsidRDefault="0069420F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7AA33AF1" w14:textId="77777777" w:rsidR="00EE0E90" w:rsidRPr="00D27308" w:rsidRDefault="0069420F" w:rsidP="0069420F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D27308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7F499C" w:rsidRPr="008F78D8" w14:paraId="5B0C7F89" w14:textId="77777777" w:rsidTr="53E6E24B">
        <w:trPr>
          <w:trHeight w:val="2181"/>
        </w:trPr>
        <w:tc>
          <w:tcPr>
            <w:tcW w:w="8856" w:type="dxa"/>
          </w:tcPr>
          <w:p w14:paraId="3DC21E2D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2EA2381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0F0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28E9" w14:textId="77777777" w:rsidR="00FC0CD5" w:rsidRDefault="00FC0CD5" w:rsidP="00733019">
      <w:r>
        <w:separator/>
      </w:r>
    </w:p>
  </w:endnote>
  <w:endnote w:type="continuationSeparator" w:id="0">
    <w:p w14:paraId="222B8869" w14:textId="77777777" w:rsidR="00FC0CD5" w:rsidRDefault="00FC0CD5" w:rsidP="00733019">
      <w:r>
        <w:continuationSeparator/>
      </w:r>
    </w:p>
  </w:endnote>
  <w:endnote w:type="continuationNotice" w:id="1">
    <w:p w14:paraId="20AA90D8" w14:textId="77777777" w:rsidR="00FC0CD5" w:rsidRDefault="00FC0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8845C" w14:textId="77777777" w:rsidR="007F1584" w:rsidRDefault="007F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8A95" w14:textId="77777777" w:rsidR="007F1584" w:rsidRDefault="007F1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A7BC" w14:textId="77777777" w:rsidR="007F1584" w:rsidRDefault="007F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46C79" w14:textId="77777777" w:rsidR="00FC0CD5" w:rsidRDefault="00FC0CD5" w:rsidP="00733019">
      <w:r>
        <w:separator/>
      </w:r>
    </w:p>
  </w:footnote>
  <w:footnote w:type="continuationSeparator" w:id="0">
    <w:p w14:paraId="52F1C289" w14:textId="77777777" w:rsidR="00FC0CD5" w:rsidRDefault="00FC0CD5" w:rsidP="00733019">
      <w:r>
        <w:continuationSeparator/>
      </w:r>
    </w:p>
  </w:footnote>
  <w:footnote w:type="continuationNotice" w:id="1">
    <w:p w14:paraId="45C6D50F" w14:textId="77777777" w:rsidR="00FC0CD5" w:rsidRDefault="00FC0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C567" w14:textId="77777777" w:rsidR="007F1584" w:rsidRDefault="007F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8428" w14:textId="77777777" w:rsidR="007F1584" w:rsidRDefault="007F1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AFBE" w14:textId="77777777" w:rsidR="007F1584" w:rsidRDefault="007F1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115"/>
    <w:multiLevelType w:val="hybridMultilevel"/>
    <w:tmpl w:val="F62C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68E03652"/>
    <w:multiLevelType w:val="hybridMultilevel"/>
    <w:tmpl w:val="2FC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55B66"/>
    <w:rsid w:val="00071A8D"/>
    <w:rsid w:val="00073473"/>
    <w:rsid w:val="00081232"/>
    <w:rsid w:val="00091E65"/>
    <w:rsid w:val="00096D4A"/>
    <w:rsid w:val="000A0818"/>
    <w:rsid w:val="000A0A2E"/>
    <w:rsid w:val="000A38EA"/>
    <w:rsid w:val="000C1E47"/>
    <w:rsid w:val="000C26F3"/>
    <w:rsid w:val="000D1EF3"/>
    <w:rsid w:val="000D583A"/>
    <w:rsid w:val="000D5FF0"/>
    <w:rsid w:val="000D6580"/>
    <w:rsid w:val="000E049E"/>
    <w:rsid w:val="000F0940"/>
    <w:rsid w:val="0010799B"/>
    <w:rsid w:val="00117DB2"/>
    <w:rsid w:val="001230F2"/>
    <w:rsid w:val="00123ED2"/>
    <w:rsid w:val="00125BE0"/>
    <w:rsid w:val="00142C13"/>
    <w:rsid w:val="00142D15"/>
    <w:rsid w:val="00144204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A46B4"/>
    <w:rsid w:val="001B20BB"/>
    <w:rsid w:val="001B69B9"/>
    <w:rsid w:val="001B7DC5"/>
    <w:rsid w:val="001C435D"/>
    <w:rsid w:val="001C4370"/>
    <w:rsid w:val="001D02B7"/>
    <w:rsid w:val="001D29CE"/>
    <w:rsid w:val="001D3779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309A"/>
    <w:rsid w:val="00294C0C"/>
    <w:rsid w:val="002A0934"/>
    <w:rsid w:val="002B1013"/>
    <w:rsid w:val="002B1FAA"/>
    <w:rsid w:val="002C4423"/>
    <w:rsid w:val="002D03E5"/>
    <w:rsid w:val="002D574D"/>
    <w:rsid w:val="002E1FA6"/>
    <w:rsid w:val="002E3F1D"/>
    <w:rsid w:val="002E4182"/>
    <w:rsid w:val="002F0A1A"/>
    <w:rsid w:val="002F31D0"/>
    <w:rsid w:val="00300359"/>
    <w:rsid w:val="00315495"/>
    <w:rsid w:val="0031773E"/>
    <w:rsid w:val="003222A0"/>
    <w:rsid w:val="00322A1C"/>
    <w:rsid w:val="00330741"/>
    <w:rsid w:val="003311BE"/>
    <w:rsid w:val="00331E58"/>
    <w:rsid w:val="003410A7"/>
    <w:rsid w:val="00345D49"/>
    <w:rsid w:val="00347716"/>
    <w:rsid w:val="003506E1"/>
    <w:rsid w:val="0035472E"/>
    <w:rsid w:val="00356FDC"/>
    <w:rsid w:val="00363B4A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56B4"/>
    <w:rsid w:val="00425AEF"/>
    <w:rsid w:val="00426518"/>
    <w:rsid w:val="00427B06"/>
    <w:rsid w:val="00431640"/>
    <w:rsid w:val="004356AD"/>
    <w:rsid w:val="00436192"/>
    <w:rsid w:val="00441F59"/>
    <w:rsid w:val="00444E07"/>
    <w:rsid w:val="00444FA9"/>
    <w:rsid w:val="004616E3"/>
    <w:rsid w:val="00464876"/>
    <w:rsid w:val="0046549E"/>
    <w:rsid w:val="00473E9C"/>
    <w:rsid w:val="004775EC"/>
    <w:rsid w:val="00480099"/>
    <w:rsid w:val="00497858"/>
    <w:rsid w:val="004A0643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0FAF"/>
    <w:rsid w:val="005022AA"/>
    <w:rsid w:val="00504006"/>
    <w:rsid w:val="00504845"/>
    <w:rsid w:val="0050757F"/>
    <w:rsid w:val="00516AD2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6FD2"/>
    <w:rsid w:val="005F7B57"/>
    <w:rsid w:val="00600DDA"/>
    <w:rsid w:val="00604211"/>
    <w:rsid w:val="00613498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87ACE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D5D22"/>
    <w:rsid w:val="006D625C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3019"/>
    <w:rsid w:val="0073414D"/>
    <w:rsid w:val="00734567"/>
    <w:rsid w:val="00743635"/>
    <w:rsid w:val="0075235E"/>
    <w:rsid w:val="007528A5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F0415"/>
    <w:rsid w:val="007F1584"/>
    <w:rsid w:val="007F3C12"/>
    <w:rsid w:val="007F499C"/>
    <w:rsid w:val="007F4A40"/>
    <w:rsid w:val="007F5205"/>
    <w:rsid w:val="007F6B5F"/>
    <w:rsid w:val="00802889"/>
    <w:rsid w:val="008118CC"/>
    <w:rsid w:val="00820445"/>
    <w:rsid w:val="008215E7"/>
    <w:rsid w:val="00830E92"/>
    <w:rsid w:val="00830FC6"/>
    <w:rsid w:val="00831D45"/>
    <w:rsid w:val="00835B06"/>
    <w:rsid w:val="00840133"/>
    <w:rsid w:val="00850435"/>
    <w:rsid w:val="00852DC1"/>
    <w:rsid w:val="00861FE3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78D8"/>
    <w:rsid w:val="00911AA8"/>
    <w:rsid w:val="00913B23"/>
    <w:rsid w:val="0091538A"/>
    <w:rsid w:val="00961620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326D"/>
    <w:rsid w:val="00A35DFD"/>
    <w:rsid w:val="00A43E10"/>
    <w:rsid w:val="00A5022F"/>
    <w:rsid w:val="00A63057"/>
    <w:rsid w:val="00A65789"/>
    <w:rsid w:val="00A701AA"/>
    <w:rsid w:val="00A702DF"/>
    <w:rsid w:val="00A719AA"/>
    <w:rsid w:val="00A775A3"/>
    <w:rsid w:val="00A81B5B"/>
    <w:rsid w:val="00A82512"/>
    <w:rsid w:val="00A82FAD"/>
    <w:rsid w:val="00A9673A"/>
    <w:rsid w:val="00A96EF2"/>
    <w:rsid w:val="00AA24D2"/>
    <w:rsid w:val="00AA5C35"/>
    <w:rsid w:val="00AA5ED9"/>
    <w:rsid w:val="00AB6650"/>
    <w:rsid w:val="00AC0A38"/>
    <w:rsid w:val="00AC0F1C"/>
    <w:rsid w:val="00AC4E0E"/>
    <w:rsid w:val="00AC517B"/>
    <w:rsid w:val="00AD0D19"/>
    <w:rsid w:val="00AD1A69"/>
    <w:rsid w:val="00AE5DE4"/>
    <w:rsid w:val="00AF051B"/>
    <w:rsid w:val="00AF78FE"/>
    <w:rsid w:val="00AF7F08"/>
    <w:rsid w:val="00B032B8"/>
    <w:rsid w:val="00B037A2"/>
    <w:rsid w:val="00B14B83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A6350"/>
    <w:rsid w:val="00BB4E29"/>
    <w:rsid w:val="00BB74C9"/>
    <w:rsid w:val="00BC3AB6"/>
    <w:rsid w:val="00BD19E8"/>
    <w:rsid w:val="00BD4273"/>
    <w:rsid w:val="00BE7979"/>
    <w:rsid w:val="00BF2875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D88"/>
    <w:rsid w:val="00C862DE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27308"/>
    <w:rsid w:val="00D32171"/>
    <w:rsid w:val="00D46CB1"/>
    <w:rsid w:val="00D54E4A"/>
    <w:rsid w:val="00D57984"/>
    <w:rsid w:val="00D63EB9"/>
    <w:rsid w:val="00D723F0"/>
    <w:rsid w:val="00D8133F"/>
    <w:rsid w:val="00D87799"/>
    <w:rsid w:val="00D93AB5"/>
    <w:rsid w:val="00D9465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4CD9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55A8"/>
    <w:rsid w:val="00FB4A93"/>
    <w:rsid w:val="00FC0CD5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  <w:rsid w:val="4336DCE9"/>
    <w:rsid w:val="53E6E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8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27308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2730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grace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1857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2015-12-17T16:51:00Z</dcterms:created>
  <dcterms:modified xsi:type="dcterms:W3CDTF">2015-12-17T16:51:00Z</dcterms:modified>
  <cp:category> </cp:category>
  <cp:contentStatus> </cp:contentStatus>
</cp:coreProperties>
</file>