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EC70E1">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6-3</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730AAD">
        <w:rPr>
          <w:szCs w:val="22"/>
        </w:rPr>
        <w:t xml:space="preserve">    January 8</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EC70E1">
        <w:rPr>
          <w:szCs w:val="22"/>
        </w:rPr>
        <w:t>9</w:t>
      </w:r>
      <w:r w:rsidR="00730AAD">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EC70E1">
        <w:rPr>
          <w:szCs w:val="22"/>
        </w:rPr>
        <w:t>; REVISION TO NOTICE IN NCD-24</w:t>
      </w:r>
      <w:r w:rsidR="00730AAD">
        <w:rPr>
          <w:szCs w:val="22"/>
        </w:rPr>
        <w:t>62</w:t>
      </w:r>
      <w:r w:rsidR="00EC70E1">
        <w:rPr>
          <w:szCs w:val="22"/>
        </w:rPr>
        <w:t xml:space="preserve"> (</w:t>
      </w:r>
      <w:r w:rsidR="00C23C0A" w:rsidRPr="00C23C0A">
        <w:rPr>
          <w:szCs w:val="22"/>
        </w:rPr>
        <w:t>ATT201505</w:t>
      </w:r>
      <w:r w:rsidR="00730AAD">
        <w:rPr>
          <w:szCs w:val="22"/>
        </w:rPr>
        <w:t>27</w:t>
      </w:r>
      <w:r w:rsidR="00C23C0A" w:rsidRPr="00C23C0A">
        <w:rPr>
          <w:szCs w:val="22"/>
        </w:rPr>
        <w:t>L.1</w:t>
      </w:r>
      <w:r w:rsidR="00EC70E1">
        <w:rPr>
          <w:szCs w:val="22"/>
        </w:rPr>
        <w:t>)</w:t>
      </w:r>
    </w:p>
    <w:p w:rsidR="00323CD4" w:rsidRPr="00F046EC" w:rsidRDefault="00323CD4">
      <w:pPr>
        <w:tabs>
          <w:tab w:val="left" w:pos="-720"/>
        </w:tabs>
        <w:suppressAutoHyphens/>
        <w:rPr>
          <w:szCs w:val="22"/>
        </w:rPr>
      </w:pPr>
    </w:p>
    <w:p w:rsidR="008C4E05" w:rsidRDefault="00EC70E1" w:rsidP="008C4E05">
      <w:pPr>
        <w:tabs>
          <w:tab w:val="left" w:pos="-720"/>
        </w:tabs>
        <w:suppressAutoHyphens/>
        <w:rPr>
          <w:b/>
          <w:szCs w:val="22"/>
          <w:u w:val="single"/>
        </w:rPr>
      </w:pPr>
      <w:r>
        <w:rPr>
          <w:szCs w:val="22"/>
        </w:rPr>
        <w:t>AT&amp;T Southwest</w:t>
      </w:r>
      <w:r w:rsidR="00197061">
        <w:rPr>
          <w:szCs w:val="22"/>
        </w:rPr>
        <w:t xml:space="preserve"> (</w:t>
      </w:r>
      <w:r>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C23C0A" w:rsidTr="00067D80">
        <w:trPr>
          <w:trHeight w:val="332"/>
        </w:trPr>
        <w:tc>
          <w:tcPr>
            <w:tcW w:w="1980" w:type="dxa"/>
          </w:tcPr>
          <w:p w:rsidR="00C23C0A" w:rsidRDefault="00C23C0A" w:rsidP="00394C4F">
            <w:pPr>
              <w:tabs>
                <w:tab w:val="left" w:pos="0"/>
              </w:tabs>
              <w:suppressAutoHyphens/>
              <w:rPr>
                <w:b/>
                <w:szCs w:val="22"/>
              </w:rPr>
            </w:pPr>
            <w:r>
              <w:rPr>
                <w:b/>
                <w:szCs w:val="22"/>
              </w:rPr>
              <w:t>Number</w:t>
            </w:r>
          </w:p>
        </w:tc>
        <w:tc>
          <w:tcPr>
            <w:tcW w:w="504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067D80">
        <w:tc>
          <w:tcPr>
            <w:tcW w:w="1980" w:type="dxa"/>
          </w:tcPr>
          <w:p w:rsidR="00C23C0A" w:rsidRDefault="00C23C0A" w:rsidP="00C23C0A">
            <w:pPr>
              <w:tabs>
                <w:tab w:val="left" w:pos="0"/>
              </w:tabs>
              <w:suppressAutoHyphens/>
              <w:rPr>
                <w:szCs w:val="22"/>
              </w:rPr>
            </w:pPr>
            <w:r>
              <w:rPr>
                <w:szCs w:val="22"/>
              </w:rPr>
              <w:t>ATT20150911S.</w:t>
            </w:r>
            <w:r w:rsidR="00730AAD">
              <w:rPr>
                <w:szCs w:val="22"/>
              </w:rPr>
              <w:t>2</w:t>
            </w:r>
          </w:p>
        </w:tc>
        <w:tc>
          <w:tcPr>
            <w:tcW w:w="5040" w:type="dxa"/>
          </w:tcPr>
          <w:p w:rsidR="00C23C0A" w:rsidRPr="00083DE2" w:rsidRDefault="00DD5A92" w:rsidP="00E42DAA">
            <w:pPr>
              <w:tabs>
                <w:tab w:val="left" w:pos="0"/>
              </w:tabs>
              <w:suppressAutoHyphens/>
              <w:rPr>
                <w:szCs w:val="22"/>
              </w:rPr>
            </w:pPr>
            <w:r>
              <w:rPr>
                <w:b/>
                <w:szCs w:val="22"/>
              </w:rPr>
              <w:t>Revisi</w:t>
            </w:r>
            <w:r w:rsidR="009C555B">
              <w:rPr>
                <w:b/>
                <w:szCs w:val="22"/>
              </w:rPr>
              <w:t xml:space="preserve">on to the </w:t>
            </w:r>
            <w:r w:rsidR="009C555B" w:rsidRPr="00DD5A92">
              <w:rPr>
                <w:b/>
                <w:szCs w:val="22"/>
              </w:rPr>
              <w:t>ATT201</w:t>
            </w:r>
            <w:r w:rsidR="009C555B">
              <w:rPr>
                <w:b/>
                <w:szCs w:val="22"/>
              </w:rPr>
              <w:t>505</w:t>
            </w:r>
            <w:r w:rsidR="007D294C">
              <w:rPr>
                <w:b/>
                <w:szCs w:val="22"/>
              </w:rPr>
              <w:t>27</w:t>
            </w:r>
            <w:r w:rsidR="009C555B">
              <w:rPr>
                <w:b/>
                <w:szCs w:val="22"/>
              </w:rPr>
              <w:t>L.1</w:t>
            </w:r>
            <w:r w:rsidR="009C555B" w:rsidRPr="00DD5A92">
              <w:rPr>
                <w:b/>
                <w:szCs w:val="22"/>
              </w:rPr>
              <w:t xml:space="preserve"> </w:t>
            </w:r>
            <w:r>
              <w:rPr>
                <w:b/>
                <w:szCs w:val="22"/>
              </w:rPr>
              <w:t xml:space="preserve">long term </w:t>
            </w:r>
            <w:r w:rsidRPr="00DD5A92">
              <w:rPr>
                <w:b/>
                <w:szCs w:val="22"/>
              </w:rPr>
              <w:t xml:space="preserve">notice </w:t>
            </w:r>
            <w:r>
              <w:rPr>
                <w:b/>
                <w:szCs w:val="22"/>
              </w:rPr>
              <w:t>due to changes in the FSPOIs for the SS7 STPs in the wire center</w:t>
            </w:r>
            <w:r w:rsidRPr="00DD5A92">
              <w:rPr>
                <w:b/>
                <w:szCs w:val="22"/>
              </w:rPr>
              <w:t>.</w:t>
            </w:r>
            <w:r w:rsidR="009C555B">
              <w:rPr>
                <w:b/>
                <w:szCs w:val="22"/>
              </w:rPr>
              <w:t xml:space="preserve">  </w:t>
            </w:r>
            <w:r w:rsidR="007D294C">
              <w:rPr>
                <w:szCs w:val="22"/>
              </w:rPr>
              <w:t>AT&amp;T</w:t>
            </w:r>
            <w:r w:rsidR="007D294C" w:rsidRPr="00184581">
              <w:rPr>
                <w:szCs w:val="22"/>
              </w:rPr>
              <w:t xml:space="preserve"> </w:t>
            </w:r>
            <w:r w:rsidR="007D294C">
              <w:rPr>
                <w:szCs w:val="22"/>
              </w:rPr>
              <w:t xml:space="preserve">plans to decommission the STPs in the </w:t>
            </w:r>
            <w:r w:rsidR="007D294C">
              <w:rPr>
                <w:szCs w:val="22"/>
                <w:lang w:val="de-DE"/>
              </w:rPr>
              <w:t>Longview/Tyler, TX</w:t>
            </w:r>
            <w:r w:rsidR="007D294C">
              <w:rPr>
                <w:szCs w:val="22"/>
              </w:rPr>
              <w:t xml:space="preserve"> area and consolidate the STPs in LATA 554 into LATA 552.  The SS7 linksets from the </w:t>
            </w:r>
            <w:r w:rsidR="007D294C">
              <w:rPr>
                <w:szCs w:val="22"/>
                <w:lang w:val="de-DE"/>
              </w:rPr>
              <w:t>Longview/Tyler</w:t>
            </w:r>
            <w:r w:rsidR="007D294C">
              <w:rPr>
                <w:szCs w:val="22"/>
              </w:rPr>
              <w:t xml:space="preserve"> Nortel DMS STPs (LGVWTXPL01</w:t>
            </w:r>
            <w:r w:rsidR="00E42DAA">
              <w:rPr>
                <w:szCs w:val="22"/>
              </w:rPr>
              <w:t>W</w:t>
            </w:r>
            <w:r w:rsidR="007D294C">
              <w:rPr>
                <w:szCs w:val="22"/>
              </w:rPr>
              <w:t>/TYLRTXLY0</w:t>
            </w:r>
            <w:r w:rsidR="00E42DAA">
              <w:rPr>
                <w:szCs w:val="22"/>
              </w:rPr>
              <w:t>3W</w:t>
            </w:r>
            <w:r w:rsidR="007D294C">
              <w:rPr>
                <w:szCs w:val="22"/>
              </w:rPr>
              <w:t xml:space="preserve">) will need to be re-homed into the Dallas/Fort Worth, TX Tekelec STPs (DLLSTXTA38W/FTWOTXED36W).  </w:t>
            </w:r>
            <w:r w:rsidR="00067D80">
              <w:rPr>
                <w:szCs w:val="22"/>
              </w:rPr>
              <w:t xml:space="preserve">The new FSPOI codes are LGVWTXPL0JW/TYLRTXLY0MW.  </w:t>
            </w:r>
            <w:r w:rsidR="007D294C">
              <w:rPr>
                <w:szCs w:val="22"/>
              </w:rPr>
              <w:t>Changes are scheduled to occur during the 1st quarter of 2016.</w:t>
            </w:r>
          </w:p>
        </w:tc>
        <w:tc>
          <w:tcPr>
            <w:tcW w:w="2340" w:type="dxa"/>
          </w:tcPr>
          <w:p w:rsidR="007D294C" w:rsidRDefault="007D294C" w:rsidP="007D294C">
            <w:pPr>
              <w:tabs>
                <w:tab w:val="left" w:pos="0"/>
              </w:tabs>
              <w:suppressAutoHyphens/>
              <w:rPr>
                <w:szCs w:val="22"/>
                <w:lang w:val="de-DE"/>
              </w:rPr>
            </w:pPr>
            <w:r>
              <w:rPr>
                <w:szCs w:val="22"/>
                <w:lang w:val="de-DE"/>
              </w:rPr>
              <w:t>Longview/Tyler, TX</w:t>
            </w:r>
          </w:p>
          <w:p w:rsidR="00C23C0A" w:rsidRDefault="007D294C" w:rsidP="007D294C">
            <w:pPr>
              <w:tabs>
                <w:tab w:val="left" w:pos="0"/>
              </w:tabs>
              <w:suppressAutoHyphens/>
              <w:rPr>
                <w:szCs w:val="22"/>
                <w:lang w:val="de-DE"/>
              </w:rPr>
            </w:pPr>
            <w:r>
              <w:rPr>
                <w:szCs w:val="22"/>
                <w:lang w:val="de-DE"/>
              </w:rPr>
              <w:t>Dallas/Ft. Worth, TX</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w:t>
      </w:r>
      <w:r w:rsidRPr="007F510F">
        <w:rPr>
          <w:szCs w:val="22"/>
        </w:rPr>
        <w:lastRenderedPageBreak/>
        <w:t xml:space="preserve">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88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A7" w:rsidRDefault="00F1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A7" w:rsidRDefault="00F12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A7" w:rsidRDefault="00F12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0288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377847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EF1F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77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288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1010</Words>
  <Characters>5814</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6867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2016-01-08T22:15:00Z</dcterms:created>
  <dcterms:modified xsi:type="dcterms:W3CDTF">2016-01-08T22:15:00Z</dcterms:modified>
  <cp:category> </cp:category>
  <cp:contentStatus> </cp:contentStatus>
</cp:coreProperties>
</file>