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7D6999F4" w14:textId="77777777" w:rsidTr="006D5D22">
        <w:trPr>
          <w:trHeight w:val="2181"/>
        </w:trPr>
        <w:tc>
          <w:tcPr>
            <w:tcW w:w="8856" w:type="dxa"/>
          </w:tcPr>
          <w:p w14:paraId="465D50D7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B4A4E5A" wp14:editId="1CACB441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32ED6" w14:textId="32727F06" w:rsidR="00426518" w:rsidRDefault="00426518" w:rsidP="00B57131">
            <w:pPr>
              <w:rPr>
                <w:b/>
                <w:bCs/>
              </w:rPr>
            </w:pPr>
          </w:p>
          <w:p w14:paraId="7F415877" w14:textId="77777777" w:rsidR="00F67DA2" w:rsidRPr="009D59F0" w:rsidRDefault="00F67DA2" w:rsidP="00F67DA2">
            <w:pPr>
              <w:rPr>
                <w:b/>
                <w:bCs/>
                <w:sz w:val="22"/>
                <w:szCs w:val="22"/>
              </w:rPr>
            </w:pPr>
            <w:r w:rsidRPr="009D59F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8EBC6EB" w14:textId="77777777" w:rsidR="00F67DA2" w:rsidRPr="009D59F0" w:rsidRDefault="00F67DA2" w:rsidP="00F67DA2">
            <w:pPr>
              <w:rPr>
                <w:bCs/>
                <w:sz w:val="22"/>
                <w:szCs w:val="22"/>
              </w:rPr>
            </w:pPr>
            <w:r w:rsidRPr="009D59F0">
              <w:rPr>
                <w:bCs/>
                <w:sz w:val="22"/>
                <w:szCs w:val="22"/>
              </w:rPr>
              <w:t>Thomas Sullivan, (202) 418-0437</w:t>
            </w:r>
          </w:p>
          <w:p w14:paraId="583AD83F" w14:textId="77777777" w:rsidR="00F67DA2" w:rsidRPr="009D59F0" w:rsidRDefault="00F67DA2" w:rsidP="00F67DA2">
            <w:pPr>
              <w:rPr>
                <w:bCs/>
                <w:sz w:val="22"/>
                <w:szCs w:val="22"/>
              </w:rPr>
            </w:pPr>
            <w:r w:rsidRPr="009D59F0">
              <w:rPr>
                <w:bCs/>
                <w:sz w:val="22"/>
                <w:szCs w:val="22"/>
              </w:rPr>
              <w:t>Thomas.Sullivan@fcc.gov</w:t>
            </w:r>
          </w:p>
          <w:p w14:paraId="6486CF89" w14:textId="77777777" w:rsidR="00F67DA2" w:rsidRPr="009D59F0" w:rsidRDefault="00F67DA2" w:rsidP="00F67DA2">
            <w:pPr>
              <w:rPr>
                <w:bCs/>
                <w:sz w:val="22"/>
                <w:szCs w:val="22"/>
              </w:rPr>
            </w:pPr>
          </w:p>
          <w:p w14:paraId="22D4B521" w14:textId="77777777" w:rsidR="00F67DA2" w:rsidRPr="009D59F0" w:rsidRDefault="00F67DA2" w:rsidP="00F67DA2">
            <w:pPr>
              <w:rPr>
                <w:b/>
                <w:sz w:val="22"/>
                <w:szCs w:val="22"/>
              </w:rPr>
            </w:pPr>
            <w:r w:rsidRPr="009D59F0">
              <w:rPr>
                <w:b/>
                <w:sz w:val="22"/>
                <w:szCs w:val="22"/>
              </w:rPr>
              <w:t>For Immediate Release</w:t>
            </w:r>
          </w:p>
          <w:p w14:paraId="55357E37" w14:textId="77777777" w:rsidR="00F67DA2" w:rsidRPr="009D59F0" w:rsidRDefault="00F67DA2" w:rsidP="00F67DA2">
            <w:pPr>
              <w:rPr>
                <w:b/>
                <w:bCs/>
                <w:sz w:val="22"/>
                <w:szCs w:val="22"/>
              </w:rPr>
            </w:pPr>
          </w:p>
          <w:p w14:paraId="1000BED5" w14:textId="48631F74" w:rsidR="008A5754" w:rsidRDefault="00D87E76" w:rsidP="00F67D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FCC </w:t>
            </w:r>
            <w:r w:rsidR="00C32920" w:rsidRPr="00C32920">
              <w:rPr>
                <w:b/>
                <w:sz w:val="22"/>
                <w:szCs w:val="22"/>
              </w:rPr>
              <w:t>INTERNATIONAL BUREAU</w:t>
            </w:r>
            <w:r w:rsidR="00115CAF">
              <w:rPr>
                <w:b/>
                <w:sz w:val="22"/>
                <w:szCs w:val="22"/>
              </w:rPr>
              <w:t>’S</w:t>
            </w:r>
            <w:r w:rsidR="00C32920" w:rsidRPr="00C32920">
              <w:rPr>
                <w:b/>
                <w:sz w:val="22"/>
                <w:szCs w:val="22"/>
              </w:rPr>
              <w:t xml:space="preserve"> </w:t>
            </w:r>
            <w:r w:rsidR="005411D2" w:rsidRPr="00C32920">
              <w:rPr>
                <w:b/>
                <w:sz w:val="22"/>
                <w:szCs w:val="22"/>
              </w:rPr>
              <w:t xml:space="preserve">TELECOMMUNICATIONS AND ANALYSIS DIVISION </w:t>
            </w:r>
            <w:r w:rsidR="00C32920" w:rsidRPr="00C32920">
              <w:rPr>
                <w:b/>
                <w:sz w:val="22"/>
                <w:szCs w:val="22"/>
              </w:rPr>
              <w:t>RELEASES</w:t>
            </w:r>
            <w:r w:rsidR="00C32920">
              <w:rPr>
                <w:b/>
                <w:sz w:val="22"/>
                <w:szCs w:val="22"/>
              </w:rPr>
              <w:t xml:space="preserve"> </w:t>
            </w:r>
            <w:r w:rsidR="00115CAF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937F1">
              <w:rPr>
                <w:b/>
                <w:sz w:val="22"/>
                <w:szCs w:val="22"/>
              </w:rPr>
              <w:t xml:space="preserve">U.S. </w:t>
            </w:r>
            <w:r w:rsidR="008A5754">
              <w:rPr>
                <w:b/>
                <w:sz w:val="22"/>
                <w:szCs w:val="22"/>
              </w:rPr>
              <w:t xml:space="preserve">INTERNATIONAL </w:t>
            </w:r>
            <w:r w:rsidR="00C32920">
              <w:rPr>
                <w:b/>
                <w:sz w:val="22"/>
                <w:szCs w:val="22"/>
              </w:rPr>
              <w:t>CIRCUIT CAPACITY REPORT</w:t>
            </w:r>
          </w:p>
          <w:p w14:paraId="299100A2" w14:textId="2BA0F80A" w:rsidR="004937F1" w:rsidRPr="009D59F0" w:rsidRDefault="004A01CD" w:rsidP="00576BA1">
            <w:pPr>
              <w:tabs>
                <w:tab w:val="left" w:pos="4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14:paraId="1B4EC822" w14:textId="6925852E" w:rsidR="0002035B" w:rsidRDefault="00F67DA2" w:rsidP="00BD58D6">
            <w:pPr>
              <w:ind w:right="240"/>
              <w:rPr>
                <w:sz w:val="22"/>
                <w:szCs w:val="22"/>
              </w:rPr>
            </w:pPr>
            <w:r w:rsidRPr="009D59F0">
              <w:rPr>
                <w:sz w:val="22"/>
                <w:szCs w:val="22"/>
              </w:rPr>
              <w:t xml:space="preserve">WASHINGTON, </w:t>
            </w:r>
            <w:r w:rsidR="002D5924" w:rsidRPr="00463A6F">
              <w:rPr>
                <w:sz w:val="22"/>
                <w:szCs w:val="22"/>
              </w:rPr>
              <w:t>January</w:t>
            </w:r>
            <w:r w:rsidRPr="00463A6F">
              <w:rPr>
                <w:sz w:val="22"/>
                <w:szCs w:val="22"/>
              </w:rPr>
              <w:t xml:space="preserve"> </w:t>
            </w:r>
            <w:r w:rsidR="00D87E76">
              <w:rPr>
                <w:sz w:val="22"/>
                <w:szCs w:val="22"/>
              </w:rPr>
              <w:t>12</w:t>
            </w:r>
            <w:r w:rsidRPr="00463A6F">
              <w:rPr>
                <w:sz w:val="22"/>
                <w:szCs w:val="22"/>
              </w:rPr>
              <w:t>, 201</w:t>
            </w:r>
            <w:r w:rsidR="004937F1" w:rsidRPr="00463A6F">
              <w:rPr>
                <w:sz w:val="22"/>
                <w:szCs w:val="22"/>
              </w:rPr>
              <w:t>6</w:t>
            </w:r>
            <w:r w:rsidRPr="00463A6F">
              <w:rPr>
                <w:sz w:val="22"/>
                <w:szCs w:val="22"/>
              </w:rPr>
              <w:t xml:space="preserve"> </w:t>
            </w:r>
            <w:r w:rsidR="005411D2">
              <w:rPr>
                <w:sz w:val="22"/>
                <w:szCs w:val="22"/>
              </w:rPr>
              <w:t>– T</w:t>
            </w:r>
            <w:r w:rsidRPr="009D59F0">
              <w:rPr>
                <w:sz w:val="22"/>
                <w:szCs w:val="22"/>
              </w:rPr>
              <w:t xml:space="preserve">he </w:t>
            </w:r>
            <w:r w:rsidR="00D87E76">
              <w:rPr>
                <w:sz w:val="22"/>
                <w:szCs w:val="22"/>
              </w:rPr>
              <w:t xml:space="preserve">Federal Communications Commission today </w:t>
            </w:r>
            <w:r w:rsidRPr="009D59F0">
              <w:rPr>
                <w:sz w:val="22"/>
                <w:szCs w:val="22"/>
              </w:rPr>
              <w:t xml:space="preserve">released </w:t>
            </w:r>
            <w:r w:rsidR="004937F1">
              <w:rPr>
                <w:sz w:val="22"/>
                <w:szCs w:val="22"/>
              </w:rPr>
              <w:t>the</w:t>
            </w:r>
            <w:r w:rsidRPr="009D59F0">
              <w:rPr>
                <w:sz w:val="22"/>
                <w:szCs w:val="22"/>
              </w:rPr>
              <w:t xml:space="preserve"> </w:t>
            </w:r>
            <w:r w:rsidR="00D663A6" w:rsidRPr="009D59F0">
              <w:rPr>
                <w:sz w:val="22"/>
                <w:szCs w:val="22"/>
              </w:rPr>
              <w:t xml:space="preserve">first </w:t>
            </w:r>
            <w:r w:rsidR="006D648C" w:rsidRPr="009D59F0">
              <w:rPr>
                <w:sz w:val="22"/>
                <w:szCs w:val="22"/>
              </w:rPr>
              <w:t>U.S. International Circuit Capacity Report</w:t>
            </w:r>
            <w:r w:rsidR="00E74C11" w:rsidRPr="00576BA1">
              <w:rPr>
                <w:sz w:val="22"/>
                <w:szCs w:val="22"/>
              </w:rPr>
              <w:t xml:space="preserve">, </w:t>
            </w:r>
            <w:r w:rsidR="00E74C11">
              <w:rPr>
                <w:sz w:val="22"/>
                <w:szCs w:val="22"/>
              </w:rPr>
              <w:t xml:space="preserve">providing new information on the </w:t>
            </w:r>
            <w:r w:rsidR="00576BA1">
              <w:rPr>
                <w:sz w:val="22"/>
                <w:szCs w:val="22"/>
              </w:rPr>
              <w:t xml:space="preserve">U.S. </w:t>
            </w:r>
            <w:r w:rsidR="00E74C11">
              <w:rPr>
                <w:sz w:val="22"/>
                <w:szCs w:val="22"/>
              </w:rPr>
              <w:t>international submarine cable landscape.</w:t>
            </w:r>
            <w:r w:rsidR="006D648C" w:rsidRPr="009D59F0">
              <w:rPr>
                <w:sz w:val="22"/>
                <w:szCs w:val="22"/>
              </w:rPr>
              <w:t xml:space="preserve"> </w:t>
            </w:r>
            <w:r w:rsidR="00576BA1">
              <w:rPr>
                <w:sz w:val="22"/>
                <w:szCs w:val="22"/>
              </w:rPr>
              <w:t xml:space="preserve"> </w:t>
            </w:r>
            <w:r w:rsidR="008A5754">
              <w:rPr>
                <w:sz w:val="22"/>
                <w:szCs w:val="22"/>
              </w:rPr>
              <w:t xml:space="preserve">The </w:t>
            </w:r>
            <w:r w:rsidR="00D87E76">
              <w:rPr>
                <w:sz w:val="22"/>
                <w:szCs w:val="22"/>
              </w:rPr>
              <w:t>r</w:t>
            </w:r>
            <w:r w:rsidR="008A5754" w:rsidRPr="009D59F0">
              <w:rPr>
                <w:sz w:val="22"/>
                <w:szCs w:val="22"/>
              </w:rPr>
              <w:t xml:space="preserve">eport </w:t>
            </w:r>
            <w:r w:rsidR="008A5754">
              <w:rPr>
                <w:sz w:val="22"/>
                <w:szCs w:val="22"/>
              </w:rPr>
              <w:t xml:space="preserve">presents </w:t>
            </w:r>
            <w:r w:rsidR="008A5754" w:rsidRPr="009D59F0">
              <w:rPr>
                <w:sz w:val="22"/>
                <w:szCs w:val="22"/>
              </w:rPr>
              <w:t xml:space="preserve">circuit capacity data submitted by U.S. facilities-based common carriers, non-common carrier satellite operators, cable landing licensees, and U.S. international carriers that owned or leased capacity on a submarine cable between the United States and any foreign point, as of December 31, 2014.  </w:t>
            </w:r>
          </w:p>
          <w:p w14:paraId="38607BFF" w14:textId="77777777" w:rsidR="0002035B" w:rsidRDefault="0002035B" w:rsidP="00B03CC9">
            <w:pPr>
              <w:rPr>
                <w:sz w:val="22"/>
                <w:szCs w:val="22"/>
              </w:rPr>
            </w:pPr>
          </w:p>
          <w:p w14:paraId="08AFEA5A" w14:textId="6539BC98" w:rsidR="001D6FF1" w:rsidRDefault="008A5754" w:rsidP="00B03CC9">
            <w:pPr>
              <w:rPr>
                <w:sz w:val="22"/>
                <w:szCs w:val="22"/>
              </w:rPr>
            </w:pPr>
            <w:r w:rsidRPr="009D59F0">
              <w:rPr>
                <w:sz w:val="22"/>
                <w:szCs w:val="22"/>
              </w:rPr>
              <w:t xml:space="preserve">The </w:t>
            </w:r>
            <w:r w:rsidR="00D87E76">
              <w:rPr>
                <w:sz w:val="22"/>
                <w:szCs w:val="22"/>
              </w:rPr>
              <w:t>r</w:t>
            </w:r>
            <w:r w:rsidRPr="009D59F0">
              <w:rPr>
                <w:sz w:val="22"/>
                <w:szCs w:val="22"/>
              </w:rPr>
              <w:t>eport</w:t>
            </w:r>
            <w:r w:rsidR="00D87E76">
              <w:rPr>
                <w:sz w:val="22"/>
                <w:szCs w:val="22"/>
              </w:rPr>
              <w:t xml:space="preserve">, produced by the Telecommunications and Analysis Division of the FCC’s </w:t>
            </w:r>
            <w:r w:rsidR="00D87E76" w:rsidRPr="009D59F0">
              <w:rPr>
                <w:sz w:val="22"/>
                <w:szCs w:val="22"/>
              </w:rPr>
              <w:t>International Bureau</w:t>
            </w:r>
            <w:r w:rsidR="00D87E76">
              <w:rPr>
                <w:sz w:val="22"/>
                <w:szCs w:val="22"/>
              </w:rPr>
              <w:t>,</w:t>
            </w:r>
            <w:r w:rsidRPr="009D59F0">
              <w:rPr>
                <w:sz w:val="22"/>
                <w:szCs w:val="22"/>
              </w:rPr>
              <w:t xml:space="preserve"> shows that the new reporting requirements</w:t>
            </w:r>
            <w:r w:rsidR="00D87E76">
              <w:rPr>
                <w:sz w:val="22"/>
                <w:szCs w:val="22"/>
              </w:rPr>
              <w:t xml:space="preserve"> under </w:t>
            </w:r>
            <w:r w:rsidR="00D87E76" w:rsidRPr="009D59F0">
              <w:rPr>
                <w:sz w:val="22"/>
                <w:szCs w:val="22"/>
              </w:rPr>
              <w:t xml:space="preserve">Section 43.62 </w:t>
            </w:r>
            <w:r w:rsidR="00D87E76">
              <w:rPr>
                <w:sz w:val="22"/>
                <w:szCs w:val="22"/>
              </w:rPr>
              <w:t>of the Commission’s rules</w:t>
            </w:r>
            <w:r w:rsidRPr="009D59F0">
              <w:rPr>
                <w:sz w:val="22"/>
                <w:szCs w:val="22"/>
              </w:rPr>
              <w:t xml:space="preserve"> </w:t>
            </w:r>
            <w:r w:rsidR="008827FE">
              <w:rPr>
                <w:sz w:val="22"/>
                <w:szCs w:val="22"/>
              </w:rPr>
              <w:t xml:space="preserve">have </w:t>
            </w:r>
            <w:r w:rsidRPr="009D59F0">
              <w:rPr>
                <w:sz w:val="22"/>
                <w:szCs w:val="22"/>
              </w:rPr>
              <w:t>substantially improve</w:t>
            </w:r>
            <w:r w:rsidR="008827FE">
              <w:rPr>
                <w:sz w:val="22"/>
                <w:szCs w:val="22"/>
              </w:rPr>
              <w:t>d</w:t>
            </w:r>
            <w:r w:rsidRPr="009D59F0">
              <w:rPr>
                <w:sz w:val="22"/>
                <w:szCs w:val="22"/>
              </w:rPr>
              <w:t xml:space="preserve"> the Commission’s data collection efforts from prior years.  Importantly, 9</w:t>
            </w:r>
            <w:r w:rsidR="00576BA1">
              <w:rPr>
                <w:sz w:val="22"/>
                <w:szCs w:val="22"/>
              </w:rPr>
              <w:t>4.6</w:t>
            </w:r>
            <w:r w:rsidR="00D87E76">
              <w:rPr>
                <w:sz w:val="22"/>
                <w:szCs w:val="22"/>
              </w:rPr>
              <w:t xml:space="preserve"> percent</w:t>
            </w:r>
            <w:r w:rsidRPr="009D59F0">
              <w:rPr>
                <w:sz w:val="22"/>
                <w:szCs w:val="22"/>
              </w:rPr>
              <w:t xml:space="preserve"> of the total available capacity on all U.S. international submarine cables</w:t>
            </w:r>
            <w:r w:rsidR="00576BA1">
              <w:rPr>
                <w:sz w:val="22"/>
                <w:szCs w:val="22"/>
              </w:rPr>
              <w:t xml:space="preserve"> is now captured</w:t>
            </w:r>
            <w:r w:rsidRPr="009D59F0">
              <w:rPr>
                <w:sz w:val="22"/>
                <w:szCs w:val="22"/>
              </w:rPr>
              <w:t>, compared to 7</w:t>
            </w:r>
            <w:r w:rsidR="00576BA1">
              <w:rPr>
                <w:sz w:val="22"/>
                <w:szCs w:val="22"/>
              </w:rPr>
              <w:t>.1</w:t>
            </w:r>
            <w:r w:rsidR="00D87E76">
              <w:rPr>
                <w:sz w:val="22"/>
                <w:szCs w:val="22"/>
              </w:rPr>
              <w:t xml:space="preserve"> percent</w:t>
            </w:r>
            <w:r w:rsidRPr="009D59F0">
              <w:rPr>
                <w:sz w:val="22"/>
                <w:szCs w:val="22"/>
              </w:rPr>
              <w:t xml:space="preserve"> collected under the previous reporting requirements.</w:t>
            </w:r>
          </w:p>
          <w:p w14:paraId="0F9162B6" w14:textId="77777777" w:rsidR="001D6FF1" w:rsidRPr="009D59F0" w:rsidRDefault="001D6FF1" w:rsidP="00B03CC9">
            <w:pPr>
              <w:rPr>
                <w:sz w:val="22"/>
                <w:szCs w:val="22"/>
              </w:rPr>
            </w:pPr>
          </w:p>
          <w:p w14:paraId="7AFD5890" w14:textId="3080563B" w:rsidR="00D663A6" w:rsidRPr="009D59F0" w:rsidRDefault="005411D2" w:rsidP="000E18BB">
            <w:pPr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663A6" w:rsidRPr="009D59F0">
              <w:rPr>
                <w:sz w:val="22"/>
                <w:szCs w:val="22"/>
              </w:rPr>
              <w:t>otable highlights</w:t>
            </w:r>
            <w:r w:rsidR="006D648C" w:rsidRPr="009D59F0">
              <w:rPr>
                <w:sz w:val="22"/>
                <w:szCs w:val="22"/>
              </w:rPr>
              <w:t xml:space="preserve"> from the </w:t>
            </w:r>
            <w:r w:rsidR="00D87E76" w:rsidRPr="009D59F0">
              <w:rPr>
                <w:sz w:val="22"/>
                <w:szCs w:val="22"/>
              </w:rPr>
              <w:t>U.S. International Circuit Capacity Report</w:t>
            </w:r>
            <w:r w:rsidR="00D87E76">
              <w:rPr>
                <w:sz w:val="22"/>
                <w:szCs w:val="22"/>
              </w:rPr>
              <w:t xml:space="preserve"> include</w:t>
            </w:r>
            <w:r w:rsidR="00D663A6" w:rsidRPr="009D59F0">
              <w:rPr>
                <w:sz w:val="22"/>
                <w:szCs w:val="22"/>
              </w:rPr>
              <w:t>:</w:t>
            </w:r>
          </w:p>
          <w:p w14:paraId="643B8193" w14:textId="77777777" w:rsidR="00D663A6" w:rsidRPr="009D59F0" w:rsidRDefault="00D663A6" w:rsidP="00D663A6">
            <w:pPr>
              <w:rPr>
                <w:sz w:val="22"/>
                <w:szCs w:val="22"/>
              </w:rPr>
            </w:pPr>
          </w:p>
          <w:p w14:paraId="6FFEDF6B" w14:textId="42DABB11" w:rsidR="00576BA1" w:rsidRDefault="00576BA1" w:rsidP="00576BA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Submarine cable capacity has grown around 36 percent per year for 2007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2014 and is expected to grow </w:t>
            </w:r>
            <w:r>
              <w:rPr>
                <w:rFonts w:eastAsia="Calibri"/>
                <w:sz w:val="22"/>
                <w:szCs w:val="22"/>
              </w:rPr>
              <w:t xml:space="preserve">around </w:t>
            </w:r>
            <w:r>
              <w:rPr>
                <w:sz w:val="22"/>
                <w:szCs w:val="22"/>
              </w:rPr>
              <w:t xml:space="preserve">29 percent for </w:t>
            </w:r>
            <w:r>
              <w:rPr>
                <w:rFonts w:eastAsia="Calibri"/>
                <w:sz w:val="22"/>
                <w:szCs w:val="22"/>
              </w:rPr>
              <w:t>2014-2016</w:t>
            </w:r>
            <w:r>
              <w:rPr>
                <w:sz w:val="22"/>
                <w:szCs w:val="22"/>
              </w:rPr>
              <w:t>.</w:t>
            </w:r>
          </w:p>
          <w:p w14:paraId="1FCDED95" w14:textId="77777777" w:rsidR="00576BA1" w:rsidRDefault="00576BA1" w:rsidP="00576B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top eight foreign landing points (in descending order) for U.S. international submarine cables are Colombia, Japan, the United Kingdom, Panama, Brazil, Venezuela, Mexico, and Australia.  </w:t>
            </w:r>
          </w:p>
          <w:p w14:paraId="3A20324A" w14:textId="77777777" w:rsidR="00576BA1" w:rsidRDefault="00576BA1" w:rsidP="00576B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the Americas, Atlantic, and Pacific regions, the Atlantic region has the largest fraction of non-activated capacity.</w:t>
            </w:r>
          </w:p>
          <w:p w14:paraId="18144416" w14:textId="77777777" w:rsidR="00BC6355" w:rsidRDefault="00BC6355" w:rsidP="00BC6355">
            <w:pPr>
              <w:pStyle w:val="ListParagraph"/>
              <w:spacing w:after="0" w:line="240" w:lineRule="auto"/>
              <w:ind w:right="240"/>
              <w:rPr>
                <w:rFonts w:ascii="Times New Roman" w:hAnsi="Times New Roman" w:cs="Times New Roman"/>
              </w:rPr>
            </w:pPr>
          </w:p>
          <w:p w14:paraId="5249F3E5" w14:textId="5D3F5CA7" w:rsidR="00BD58D6" w:rsidRPr="00BD58D6" w:rsidRDefault="00D87E76" w:rsidP="00B03CC9">
            <w:pPr>
              <w:ind w:right="240"/>
            </w:pPr>
            <w:r>
              <w:rPr>
                <w:sz w:val="22"/>
                <w:szCs w:val="22"/>
              </w:rPr>
              <w:t>As part of the process for developing this report, t</w:t>
            </w:r>
            <w:r w:rsidR="00BD58D6" w:rsidRPr="00BD58D6">
              <w:rPr>
                <w:sz w:val="22"/>
                <w:szCs w:val="22"/>
              </w:rPr>
              <w:t xml:space="preserve">he Commission </w:t>
            </w:r>
            <w:r w:rsidR="00334FB7">
              <w:rPr>
                <w:sz w:val="22"/>
                <w:szCs w:val="22"/>
              </w:rPr>
              <w:t>developed a</w:t>
            </w:r>
            <w:r w:rsidR="005411D2">
              <w:rPr>
                <w:sz w:val="22"/>
                <w:szCs w:val="22"/>
              </w:rPr>
              <w:t xml:space="preserve"> </w:t>
            </w:r>
            <w:r w:rsidR="00334FB7">
              <w:rPr>
                <w:sz w:val="22"/>
                <w:szCs w:val="22"/>
              </w:rPr>
              <w:t>mo</w:t>
            </w:r>
            <w:r w:rsidR="004937F1">
              <w:rPr>
                <w:sz w:val="22"/>
                <w:szCs w:val="22"/>
              </w:rPr>
              <w:t>dern</w:t>
            </w:r>
            <w:r w:rsidR="005411D2">
              <w:rPr>
                <w:sz w:val="22"/>
                <w:szCs w:val="22"/>
              </w:rPr>
              <w:t xml:space="preserve"> and user-friendly </w:t>
            </w:r>
            <w:r w:rsidR="00334FB7" w:rsidRPr="00BD58D6">
              <w:rPr>
                <w:sz w:val="22"/>
                <w:szCs w:val="22"/>
              </w:rPr>
              <w:t>online filing system</w:t>
            </w:r>
            <w:r>
              <w:rPr>
                <w:sz w:val="22"/>
                <w:szCs w:val="22"/>
              </w:rPr>
              <w:t xml:space="preserve"> </w:t>
            </w:r>
            <w:r w:rsidR="00DF24F0">
              <w:rPr>
                <w:sz w:val="22"/>
                <w:szCs w:val="22"/>
              </w:rPr>
              <w:t>(</w:t>
            </w:r>
            <w:hyperlink r:id="rId9" w:history="1">
              <w:r w:rsidR="00C51BD8" w:rsidRPr="00B03449">
                <w:rPr>
                  <w:rStyle w:val="Hyperlink"/>
                  <w:sz w:val="22"/>
                  <w:szCs w:val="22"/>
                </w:rPr>
                <w:t>https://apps2.fcc.gov/section4362/login.xhtml</w:t>
              </w:r>
            </w:hyperlink>
            <w:r w:rsidR="00DF24F0">
              <w:rPr>
                <w:sz w:val="22"/>
                <w:szCs w:val="22"/>
              </w:rPr>
              <w:t>)</w:t>
            </w:r>
            <w:r w:rsidR="00576BA1">
              <w:rPr>
                <w:sz w:val="22"/>
                <w:szCs w:val="22"/>
              </w:rPr>
              <w:t>,</w:t>
            </w:r>
            <w:r w:rsidR="00334FB7" w:rsidRPr="00BD58D6">
              <w:rPr>
                <w:sz w:val="22"/>
                <w:szCs w:val="22"/>
              </w:rPr>
              <w:t xml:space="preserve"> </w:t>
            </w:r>
            <w:r w:rsidR="005411D2">
              <w:rPr>
                <w:sz w:val="22"/>
                <w:szCs w:val="22"/>
              </w:rPr>
              <w:t xml:space="preserve">which </w:t>
            </w:r>
            <w:r w:rsidR="00BD58D6">
              <w:rPr>
                <w:sz w:val="22"/>
                <w:szCs w:val="22"/>
              </w:rPr>
              <w:t xml:space="preserve">streamlined the </w:t>
            </w:r>
            <w:r w:rsidR="005411D2">
              <w:rPr>
                <w:sz w:val="22"/>
                <w:szCs w:val="22"/>
              </w:rPr>
              <w:t>submission of data</w:t>
            </w:r>
            <w:r w:rsidR="00BD58D6">
              <w:rPr>
                <w:sz w:val="22"/>
                <w:szCs w:val="22"/>
              </w:rPr>
              <w:t xml:space="preserve"> f</w:t>
            </w:r>
            <w:r w:rsidR="00296118">
              <w:rPr>
                <w:sz w:val="22"/>
                <w:szCs w:val="22"/>
              </w:rPr>
              <w:t>or</w:t>
            </w:r>
            <w:r w:rsidR="00BD58D6">
              <w:rPr>
                <w:sz w:val="22"/>
                <w:szCs w:val="22"/>
              </w:rPr>
              <w:t xml:space="preserve"> carriers and substantially improved the Commission’s ability to </w:t>
            </w:r>
            <w:r w:rsidR="00D5484B">
              <w:rPr>
                <w:sz w:val="22"/>
                <w:szCs w:val="22"/>
              </w:rPr>
              <w:t>colle</w:t>
            </w:r>
            <w:r w:rsidR="00F71815">
              <w:rPr>
                <w:sz w:val="22"/>
                <w:szCs w:val="22"/>
              </w:rPr>
              <w:t>c</w:t>
            </w:r>
            <w:r w:rsidR="00D5484B">
              <w:rPr>
                <w:sz w:val="22"/>
                <w:szCs w:val="22"/>
              </w:rPr>
              <w:t xml:space="preserve">t, </w:t>
            </w:r>
            <w:r w:rsidR="00BD58D6">
              <w:rPr>
                <w:sz w:val="22"/>
                <w:szCs w:val="22"/>
              </w:rPr>
              <w:t>review</w:t>
            </w:r>
            <w:r w:rsidR="00D5484B">
              <w:rPr>
                <w:sz w:val="22"/>
                <w:szCs w:val="22"/>
              </w:rPr>
              <w:t>,</w:t>
            </w:r>
            <w:r w:rsidR="00BD58D6">
              <w:rPr>
                <w:sz w:val="22"/>
                <w:szCs w:val="22"/>
              </w:rPr>
              <w:t xml:space="preserve"> and assess the </w:t>
            </w:r>
            <w:r w:rsidR="00D5484B">
              <w:rPr>
                <w:sz w:val="22"/>
                <w:szCs w:val="22"/>
              </w:rPr>
              <w:t xml:space="preserve">circuit capacity </w:t>
            </w:r>
            <w:r w:rsidR="00BD58D6">
              <w:rPr>
                <w:sz w:val="22"/>
                <w:szCs w:val="22"/>
              </w:rPr>
              <w:t>data.</w:t>
            </w:r>
            <w:r w:rsidR="006C1BCE">
              <w:rPr>
                <w:sz w:val="22"/>
                <w:szCs w:val="22"/>
              </w:rPr>
              <w:t xml:space="preserve">  </w:t>
            </w:r>
          </w:p>
          <w:p w14:paraId="65259FE7" w14:textId="77777777" w:rsidR="00BD58D6" w:rsidRDefault="00BD58D6" w:rsidP="00F67DA2">
            <w:pPr>
              <w:ind w:right="240"/>
            </w:pPr>
          </w:p>
          <w:p w14:paraId="3BA9E19F" w14:textId="187F2210" w:rsidR="00F67DA2" w:rsidRDefault="00F67DA2" w:rsidP="00F67DA2">
            <w:pPr>
              <w:ind w:right="240"/>
              <w:rPr>
                <w:sz w:val="22"/>
                <w:szCs w:val="22"/>
              </w:rPr>
            </w:pPr>
            <w:r w:rsidRPr="009D59F0">
              <w:rPr>
                <w:sz w:val="22"/>
                <w:szCs w:val="22"/>
              </w:rPr>
              <w:t xml:space="preserve">The </w:t>
            </w:r>
            <w:r w:rsidR="00D87E76">
              <w:rPr>
                <w:sz w:val="22"/>
                <w:szCs w:val="22"/>
              </w:rPr>
              <w:t>r</w:t>
            </w:r>
            <w:r w:rsidRPr="009D59F0">
              <w:rPr>
                <w:sz w:val="22"/>
                <w:szCs w:val="22"/>
              </w:rPr>
              <w:t xml:space="preserve">eport is available at </w:t>
            </w:r>
            <w:hyperlink r:id="rId10" w:history="1">
              <w:r w:rsidR="009D59F0" w:rsidRPr="009D59F0">
                <w:rPr>
                  <w:rStyle w:val="Hyperlink"/>
                  <w:sz w:val="22"/>
                  <w:szCs w:val="22"/>
                </w:rPr>
                <w:t>https://www.fcc.gov/general/circuit-capacity-report</w:t>
              </w:r>
            </w:hyperlink>
            <w:r w:rsidR="00D87E76">
              <w:t xml:space="preserve"> and</w:t>
            </w:r>
            <w:r w:rsidR="00896FEC">
              <w:t xml:space="preserve"> </w:t>
            </w:r>
            <w:r w:rsidRPr="009D59F0">
              <w:rPr>
                <w:sz w:val="22"/>
                <w:szCs w:val="22"/>
              </w:rPr>
              <w:t>for reference in the FCC Reference Information Center, Courtyard Level, 445 12th Street, SW, Washington, D.C.</w:t>
            </w:r>
          </w:p>
          <w:p w14:paraId="0C4AA617" w14:textId="77777777" w:rsidR="00062C1F" w:rsidRDefault="00062C1F" w:rsidP="00F67DA2">
            <w:pPr>
              <w:ind w:right="240"/>
              <w:rPr>
                <w:sz w:val="22"/>
                <w:szCs w:val="22"/>
              </w:rPr>
            </w:pPr>
          </w:p>
          <w:p w14:paraId="26D2685E" w14:textId="77777777" w:rsidR="00062C1F" w:rsidRDefault="00062C1F" w:rsidP="00F67DA2">
            <w:pPr>
              <w:ind w:right="240"/>
              <w:rPr>
                <w:sz w:val="22"/>
                <w:szCs w:val="22"/>
              </w:rPr>
            </w:pPr>
          </w:p>
          <w:p w14:paraId="64E70347" w14:textId="77777777" w:rsidR="00DF24F0" w:rsidRDefault="00DF24F0" w:rsidP="00F67DA2">
            <w:pPr>
              <w:ind w:right="240"/>
              <w:rPr>
                <w:sz w:val="22"/>
                <w:szCs w:val="22"/>
              </w:rPr>
            </w:pPr>
          </w:p>
          <w:p w14:paraId="6C50FFAA" w14:textId="77777777" w:rsidR="00DF24F0" w:rsidRDefault="00DF24F0" w:rsidP="00576BA1">
            <w:pPr>
              <w:ind w:right="240"/>
              <w:rPr>
                <w:sz w:val="22"/>
                <w:szCs w:val="22"/>
              </w:rPr>
            </w:pPr>
          </w:p>
          <w:p w14:paraId="7A6D105E" w14:textId="77777777" w:rsidR="00DF24F0" w:rsidRDefault="00DF24F0" w:rsidP="00576BA1">
            <w:pPr>
              <w:ind w:right="240"/>
              <w:rPr>
                <w:sz w:val="22"/>
                <w:szCs w:val="22"/>
              </w:rPr>
            </w:pPr>
          </w:p>
          <w:p w14:paraId="52DFA02E" w14:textId="46FF5268" w:rsidR="00576BA1" w:rsidRDefault="00576BA1" w:rsidP="00576BA1">
            <w:pPr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Bureau Contact:  Cathy Hsu, Telecommunications and Analysis Division, at (202) 418-2114 or </w:t>
            </w:r>
            <w:hyperlink r:id="rId11" w:history="1">
              <w:r>
                <w:rPr>
                  <w:rStyle w:val="Hyperlink"/>
                  <w:sz w:val="22"/>
                  <w:szCs w:val="22"/>
                </w:rPr>
                <w:t>Cathy.Hsu@fcc.gov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093136BC" w14:textId="77777777" w:rsidR="00576BA1" w:rsidRPr="00704A96" w:rsidRDefault="00576BA1" w:rsidP="00F67DA2">
            <w:pPr>
              <w:ind w:right="240"/>
              <w:rPr>
                <w:sz w:val="22"/>
                <w:szCs w:val="22"/>
              </w:rPr>
            </w:pPr>
          </w:p>
          <w:p w14:paraId="0DFB51B4" w14:textId="77777777" w:rsidR="004F0F1F" w:rsidRPr="000E18BB" w:rsidRDefault="00F708E3" w:rsidP="00E43FBC">
            <w:pPr>
              <w:ind w:right="240"/>
              <w:jc w:val="center"/>
              <w:rPr>
                <w:sz w:val="22"/>
                <w:szCs w:val="22"/>
              </w:rPr>
            </w:pPr>
            <w:r w:rsidRPr="000E18BB">
              <w:rPr>
                <w:sz w:val="22"/>
                <w:szCs w:val="22"/>
              </w:rPr>
              <w:t>###</w:t>
            </w:r>
          </w:p>
          <w:p w14:paraId="0B08880F" w14:textId="77777777" w:rsidR="00F21C67" w:rsidRPr="000E18BB" w:rsidRDefault="00F21C67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</w:p>
          <w:p w14:paraId="7D7A1811" w14:textId="6FB843A8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FFA2E6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BD3D4F4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89D67D0" w14:textId="7ED73F97" w:rsidR="00CC5E08" w:rsidRDefault="006A7863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2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9A461DD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24B4A2D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0A2FB0" w:rsidRPr="008F78D8" w14:paraId="1D5144EE" w14:textId="77777777" w:rsidTr="006D5D22">
        <w:trPr>
          <w:trHeight w:val="2181"/>
        </w:trPr>
        <w:tc>
          <w:tcPr>
            <w:tcW w:w="8856" w:type="dxa"/>
          </w:tcPr>
          <w:p w14:paraId="157AA67A" w14:textId="77777777" w:rsidR="000A2FB0" w:rsidRDefault="000A2FB0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57441E46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E43F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2F46" w14:textId="77777777" w:rsidR="00E84EC4" w:rsidRDefault="00E84EC4" w:rsidP="003C41C6">
      <w:r>
        <w:separator/>
      </w:r>
    </w:p>
  </w:endnote>
  <w:endnote w:type="continuationSeparator" w:id="0">
    <w:p w14:paraId="3F22F778" w14:textId="77777777" w:rsidR="00E84EC4" w:rsidRDefault="00E84EC4" w:rsidP="003C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DB40E" w14:textId="77777777" w:rsidR="00501866" w:rsidRDefault="00501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9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3E920" w14:textId="0ADC785A" w:rsidR="0099370E" w:rsidRDefault="00993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80647" w14:textId="77777777" w:rsidR="00682A43" w:rsidRDefault="00682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9405" w14:textId="77777777" w:rsidR="00501866" w:rsidRDefault="00501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0E36E" w14:textId="77777777" w:rsidR="00E84EC4" w:rsidRDefault="00E84EC4" w:rsidP="003C41C6">
      <w:r>
        <w:separator/>
      </w:r>
    </w:p>
  </w:footnote>
  <w:footnote w:type="continuationSeparator" w:id="0">
    <w:p w14:paraId="7D72D5AE" w14:textId="77777777" w:rsidR="00E84EC4" w:rsidRDefault="00E84EC4" w:rsidP="003C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FCA95" w14:textId="77777777" w:rsidR="00501866" w:rsidRDefault="00501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1640" w14:textId="77777777" w:rsidR="00501866" w:rsidRDefault="00501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93B7" w14:textId="77777777" w:rsidR="00501866" w:rsidRDefault="00501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8A406D7"/>
    <w:multiLevelType w:val="hybridMultilevel"/>
    <w:tmpl w:val="0D9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035B"/>
    <w:rsid w:val="0002500C"/>
    <w:rsid w:val="000311FC"/>
    <w:rsid w:val="00040127"/>
    <w:rsid w:val="0005198D"/>
    <w:rsid w:val="00062C1F"/>
    <w:rsid w:val="00081232"/>
    <w:rsid w:val="00091E65"/>
    <w:rsid w:val="00096D4A"/>
    <w:rsid w:val="000A2FB0"/>
    <w:rsid w:val="000A38EA"/>
    <w:rsid w:val="000A65AE"/>
    <w:rsid w:val="000C1E47"/>
    <w:rsid w:val="000C26F3"/>
    <w:rsid w:val="000E049E"/>
    <w:rsid w:val="000E18BB"/>
    <w:rsid w:val="0010799B"/>
    <w:rsid w:val="00115CAF"/>
    <w:rsid w:val="00117DB2"/>
    <w:rsid w:val="00123ED2"/>
    <w:rsid w:val="00125BE0"/>
    <w:rsid w:val="00142C13"/>
    <w:rsid w:val="00152776"/>
    <w:rsid w:val="00153222"/>
    <w:rsid w:val="001577D3"/>
    <w:rsid w:val="001733A6"/>
    <w:rsid w:val="001831A7"/>
    <w:rsid w:val="001865A9"/>
    <w:rsid w:val="00187DB2"/>
    <w:rsid w:val="001B20BB"/>
    <w:rsid w:val="001C4370"/>
    <w:rsid w:val="001D15CB"/>
    <w:rsid w:val="001D3779"/>
    <w:rsid w:val="001D6FF1"/>
    <w:rsid w:val="001F0469"/>
    <w:rsid w:val="00203A98"/>
    <w:rsid w:val="00206EDD"/>
    <w:rsid w:val="0021187C"/>
    <w:rsid w:val="00211BC8"/>
    <w:rsid w:val="0021247E"/>
    <w:rsid w:val="002146F6"/>
    <w:rsid w:val="00231C32"/>
    <w:rsid w:val="00240345"/>
    <w:rsid w:val="002421F0"/>
    <w:rsid w:val="00247274"/>
    <w:rsid w:val="00247BC5"/>
    <w:rsid w:val="00256238"/>
    <w:rsid w:val="00256A43"/>
    <w:rsid w:val="00265CBA"/>
    <w:rsid w:val="00266966"/>
    <w:rsid w:val="00294C0C"/>
    <w:rsid w:val="00296118"/>
    <w:rsid w:val="002A0934"/>
    <w:rsid w:val="002A491F"/>
    <w:rsid w:val="002B1013"/>
    <w:rsid w:val="002B6B88"/>
    <w:rsid w:val="002D03E5"/>
    <w:rsid w:val="002D2AB1"/>
    <w:rsid w:val="002D5924"/>
    <w:rsid w:val="002E3F1D"/>
    <w:rsid w:val="002F139E"/>
    <w:rsid w:val="002F31D0"/>
    <w:rsid w:val="00300359"/>
    <w:rsid w:val="00313210"/>
    <w:rsid w:val="0031773E"/>
    <w:rsid w:val="00334FB7"/>
    <w:rsid w:val="00347716"/>
    <w:rsid w:val="003506E1"/>
    <w:rsid w:val="003650E7"/>
    <w:rsid w:val="003727E3"/>
    <w:rsid w:val="00376BAB"/>
    <w:rsid w:val="00383C68"/>
    <w:rsid w:val="00384176"/>
    <w:rsid w:val="00385A93"/>
    <w:rsid w:val="003910F1"/>
    <w:rsid w:val="003948C7"/>
    <w:rsid w:val="003C41C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63A6F"/>
    <w:rsid w:val="00473E9C"/>
    <w:rsid w:val="00480099"/>
    <w:rsid w:val="004937F1"/>
    <w:rsid w:val="00497858"/>
    <w:rsid w:val="004A01CD"/>
    <w:rsid w:val="004B4FEA"/>
    <w:rsid w:val="004C0ADA"/>
    <w:rsid w:val="004C433E"/>
    <w:rsid w:val="004C4512"/>
    <w:rsid w:val="004C4F36"/>
    <w:rsid w:val="004D3D85"/>
    <w:rsid w:val="004E2BD8"/>
    <w:rsid w:val="004F0F1F"/>
    <w:rsid w:val="004F5657"/>
    <w:rsid w:val="00501866"/>
    <w:rsid w:val="005022AA"/>
    <w:rsid w:val="00504845"/>
    <w:rsid w:val="0050757F"/>
    <w:rsid w:val="005105AD"/>
    <w:rsid w:val="00516AD2"/>
    <w:rsid w:val="005411D2"/>
    <w:rsid w:val="00545DAE"/>
    <w:rsid w:val="00571A95"/>
    <w:rsid w:val="00571B83"/>
    <w:rsid w:val="00575A00"/>
    <w:rsid w:val="00576BA1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6D1"/>
    <w:rsid w:val="00651B9E"/>
    <w:rsid w:val="00652019"/>
    <w:rsid w:val="00654C0D"/>
    <w:rsid w:val="00656563"/>
    <w:rsid w:val="0065765A"/>
    <w:rsid w:val="00657EC9"/>
    <w:rsid w:val="00665633"/>
    <w:rsid w:val="00674C86"/>
    <w:rsid w:val="0068015E"/>
    <w:rsid w:val="00682A43"/>
    <w:rsid w:val="006861AB"/>
    <w:rsid w:val="00686B89"/>
    <w:rsid w:val="0069420F"/>
    <w:rsid w:val="006A2FC5"/>
    <w:rsid w:val="006A7863"/>
    <w:rsid w:val="006A7D75"/>
    <w:rsid w:val="006B0A70"/>
    <w:rsid w:val="006B606A"/>
    <w:rsid w:val="006C1BCE"/>
    <w:rsid w:val="006C33AF"/>
    <w:rsid w:val="006D5D22"/>
    <w:rsid w:val="006D648C"/>
    <w:rsid w:val="006E0324"/>
    <w:rsid w:val="006E4A76"/>
    <w:rsid w:val="006F1DBD"/>
    <w:rsid w:val="00700556"/>
    <w:rsid w:val="00704A96"/>
    <w:rsid w:val="00712747"/>
    <w:rsid w:val="007167DD"/>
    <w:rsid w:val="0072478B"/>
    <w:rsid w:val="0073414D"/>
    <w:rsid w:val="0075235E"/>
    <w:rsid w:val="007528A5"/>
    <w:rsid w:val="007732CC"/>
    <w:rsid w:val="00774079"/>
    <w:rsid w:val="0077752B"/>
    <w:rsid w:val="00780497"/>
    <w:rsid w:val="00793D6F"/>
    <w:rsid w:val="00794090"/>
    <w:rsid w:val="007A44F8"/>
    <w:rsid w:val="007B2613"/>
    <w:rsid w:val="007C7205"/>
    <w:rsid w:val="007D21BF"/>
    <w:rsid w:val="007F15E2"/>
    <w:rsid w:val="007F3C12"/>
    <w:rsid w:val="007F5205"/>
    <w:rsid w:val="008001AA"/>
    <w:rsid w:val="008215E7"/>
    <w:rsid w:val="00825267"/>
    <w:rsid w:val="00830FC6"/>
    <w:rsid w:val="00865EAA"/>
    <w:rsid w:val="00866F06"/>
    <w:rsid w:val="008728F5"/>
    <w:rsid w:val="008824C2"/>
    <w:rsid w:val="008827FE"/>
    <w:rsid w:val="008930CD"/>
    <w:rsid w:val="008960E4"/>
    <w:rsid w:val="00896FEC"/>
    <w:rsid w:val="008A3940"/>
    <w:rsid w:val="008A5754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385E"/>
    <w:rsid w:val="008F66C2"/>
    <w:rsid w:val="008F78D8"/>
    <w:rsid w:val="00903614"/>
    <w:rsid w:val="00932415"/>
    <w:rsid w:val="00934FDF"/>
    <w:rsid w:val="00961620"/>
    <w:rsid w:val="009734B6"/>
    <w:rsid w:val="0098096F"/>
    <w:rsid w:val="0098437A"/>
    <w:rsid w:val="00986C92"/>
    <w:rsid w:val="0099370E"/>
    <w:rsid w:val="00993C47"/>
    <w:rsid w:val="009972BC"/>
    <w:rsid w:val="009B4B16"/>
    <w:rsid w:val="009C34F9"/>
    <w:rsid w:val="009C59E0"/>
    <w:rsid w:val="009D59F0"/>
    <w:rsid w:val="009E54A1"/>
    <w:rsid w:val="009F4E25"/>
    <w:rsid w:val="009F5B1F"/>
    <w:rsid w:val="00A02CCA"/>
    <w:rsid w:val="00A35DFD"/>
    <w:rsid w:val="00A440F8"/>
    <w:rsid w:val="00A702DF"/>
    <w:rsid w:val="00A775A3"/>
    <w:rsid w:val="00A81B5B"/>
    <w:rsid w:val="00A82FAD"/>
    <w:rsid w:val="00A9673A"/>
    <w:rsid w:val="00A96EF2"/>
    <w:rsid w:val="00AA24BA"/>
    <w:rsid w:val="00AA37B3"/>
    <w:rsid w:val="00AA5C35"/>
    <w:rsid w:val="00AA5ED9"/>
    <w:rsid w:val="00AB44E5"/>
    <w:rsid w:val="00AC0A38"/>
    <w:rsid w:val="00AC4E0E"/>
    <w:rsid w:val="00AC517B"/>
    <w:rsid w:val="00AD0D19"/>
    <w:rsid w:val="00AD51F9"/>
    <w:rsid w:val="00AF051B"/>
    <w:rsid w:val="00B037A2"/>
    <w:rsid w:val="00B03CC9"/>
    <w:rsid w:val="00B31870"/>
    <w:rsid w:val="00B320B8"/>
    <w:rsid w:val="00B35EE2"/>
    <w:rsid w:val="00B36DEF"/>
    <w:rsid w:val="00B45182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6355"/>
    <w:rsid w:val="00BD19E8"/>
    <w:rsid w:val="00BD4273"/>
    <w:rsid w:val="00BD58D6"/>
    <w:rsid w:val="00BF6A85"/>
    <w:rsid w:val="00C01483"/>
    <w:rsid w:val="00C06294"/>
    <w:rsid w:val="00C32920"/>
    <w:rsid w:val="00C432E4"/>
    <w:rsid w:val="00C51BD8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484B"/>
    <w:rsid w:val="00D663A6"/>
    <w:rsid w:val="00D723F0"/>
    <w:rsid w:val="00D8133F"/>
    <w:rsid w:val="00D87E76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A88"/>
    <w:rsid w:val="00DD117B"/>
    <w:rsid w:val="00DD1750"/>
    <w:rsid w:val="00DD72FA"/>
    <w:rsid w:val="00DF24F0"/>
    <w:rsid w:val="00E349AA"/>
    <w:rsid w:val="00E41390"/>
    <w:rsid w:val="00E41CA0"/>
    <w:rsid w:val="00E4366B"/>
    <w:rsid w:val="00E43FBC"/>
    <w:rsid w:val="00E50A4A"/>
    <w:rsid w:val="00E606DE"/>
    <w:rsid w:val="00E644FE"/>
    <w:rsid w:val="00E72733"/>
    <w:rsid w:val="00E742FA"/>
    <w:rsid w:val="00E74C11"/>
    <w:rsid w:val="00E76816"/>
    <w:rsid w:val="00E83DBF"/>
    <w:rsid w:val="00E84EC4"/>
    <w:rsid w:val="00E87C13"/>
    <w:rsid w:val="00E94CD9"/>
    <w:rsid w:val="00EA1A76"/>
    <w:rsid w:val="00EA290B"/>
    <w:rsid w:val="00EA52F9"/>
    <w:rsid w:val="00EA7AFF"/>
    <w:rsid w:val="00EE0E90"/>
    <w:rsid w:val="00EE655F"/>
    <w:rsid w:val="00EF3BCA"/>
    <w:rsid w:val="00F01B0D"/>
    <w:rsid w:val="00F1238F"/>
    <w:rsid w:val="00F14394"/>
    <w:rsid w:val="00F16485"/>
    <w:rsid w:val="00F21C67"/>
    <w:rsid w:val="00F228ED"/>
    <w:rsid w:val="00F26E31"/>
    <w:rsid w:val="00F27C6C"/>
    <w:rsid w:val="00F335D2"/>
    <w:rsid w:val="00F34A8D"/>
    <w:rsid w:val="00F50D25"/>
    <w:rsid w:val="00F535D8"/>
    <w:rsid w:val="00F61155"/>
    <w:rsid w:val="00F67DA2"/>
    <w:rsid w:val="00F708E3"/>
    <w:rsid w:val="00F71815"/>
    <w:rsid w:val="00F76561"/>
    <w:rsid w:val="00F84736"/>
    <w:rsid w:val="00FB219B"/>
    <w:rsid w:val="00FC6C29"/>
    <w:rsid w:val="00FD0FB9"/>
    <w:rsid w:val="00FD1FB7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A7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52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C4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6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aliases w:val="Footnote Text Char1 Char,ALTS FOOTNOTE Char Char,fn Char Char,Footnote Text Char Char Char,Footnote Text Char1 Char Char Char,Footnote Text Char Char Char Char Char,ALTS FOOTNOTE Char Char Char1 Char Char"/>
    <w:basedOn w:val="Normal"/>
    <w:link w:val="FootnoteTextChar"/>
    <w:unhideWhenUsed/>
    <w:rsid w:val="00D663A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Text Char1 Char Char,ALTS FOOTNOTE Char Char Char,fn Char Char Char,Footnote Text Char Char Char Char,Footnote Text Char1 Char Char Char Char,Footnote Text Char Char Char Char Char Char"/>
    <w:basedOn w:val="DefaultParagraphFont"/>
    <w:link w:val="FootnoteText"/>
    <w:rsid w:val="00D663A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D663A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B6B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B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B88"/>
    <w:rPr>
      <w:b/>
      <w:bCs/>
    </w:rPr>
  </w:style>
  <w:style w:type="paragraph" w:styleId="Revision">
    <w:name w:val="Revision"/>
    <w:hidden/>
    <w:uiPriority w:val="99"/>
    <w:semiHidden/>
    <w:rsid w:val="002B6B8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52F9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52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C4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6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aliases w:val="Footnote Text Char1 Char,ALTS FOOTNOTE Char Char,fn Char Char,Footnote Text Char Char Char,Footnote Text Char1 Char Char Char,Footnote Text Char Char Char Char Char,ALTS FOOTNOTE Char Char Char1 Char Char"/>
    <w:basedOn w:val="Normal"/>
    <w:link w:val="FootnoteTextChar"/>
    <w:unhideWhenUsed/>
    <w:rsid w:val="00D663A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Text Char1 Char Char,ALTS FOOTNOTE Char Char Char,fn Char Char Char,Footnote Text Char Char Char Char,Footnote Text Char1 Char Char Char Char,Footnote Text Char Char Char Char Char Char"/>
    <w:basedOn w:val="DefaultParagraphFont"/>
    <w:link w:val="FootnoteText"/>
    <w:rsid w:val="00D663A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D663A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B6B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B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B88"/>
    <w:rPr>
      <w:b/>
      <w:bCs/>
    </w:rPr>
  </w:style>
  <w:style w:type="paragraph" w:styleId="Revision">
    <w:name w:val="Revision"/>
    <w:hidden/>
    <w:uiPriority w:val="99"/>
    <w:semiHidden/>
    <w:rsid w:val="002B6B8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52F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office-media-relat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thy.Hsu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cc.gov/general/circuit-capacity-repo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2.fcc.gov/section4362/login.x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2339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2016-01-13T16:50:00Z</dcterms:created>
  <dcterms:modified xsi:type="dcterms:W3CDTF">2016-01-13T16:50:00Z</dcterms:modified>
  <cp:category> </cp:category>
  <cp:contentStatus> </cp:contentStatus>
</cp:coreProperties>
</file>